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Discorso di Presentazione — v3</w:t>
      </w:r>
    </w:p>
    <w:p>
      <w:pPr>
        <w:spacing w:after="60"/>
        <w:jc w:val="center"/>
      </w:pPr>
      <w:r>
        <w:rPr>
          <w:i/>
          <w:iCs/>
        </w:rPr>
        <w:t xml:space="preserve">Olist E-Commerce — Data Warehouse &amp; Visualization</w:t>
      </w:r>
    </w:p>
    <w:p>
      <w:pPr>
        <w:spacing w:after="240"/>
        <w:jc w:val="center"/>
      </w:pPr>
      <w:r>
        <w:rPr>
          <w:i/>
          <w:iCs/>
        </w:rPr>
        <w:t xml:space="preserve">Emanuele Colecchia — A.A. 2025/2026</w:t>
      </w:r>
    </w:p>
    <w:p>
      <w:pPr>
        <w:spacing w:after="120"/>
      </w:pPr>
      <w:r>
        <w:rPr>
          <w:i/>
          <w:iCs/>
          <w:color w:val="666666"/>
        </w:rPr>
        <w:t xml:space="preserve">[ Presentazione in inglese (presentazione_orale.html, 12 slide). Tableau aperto sul secondo schermo per le slide 8–11. Durata totale ~5 minuti: se la demo si allunga, le slide 9–11 si possono coprire in 15 secondi l'una leggendo solo il numero grande. ]</w:t>
      </w:r>
    </w:p>
    <w:p>
      <w:pPr>
        <w:pStyle w:val="Heading1"/>
      </w:pPr>
      <w:r>
        <w:t xml:space="preserve">SLIDE 1 — Title</w:t>
      </w:r>
    </w:p>
    <w:p>
      <w:pPr>
        <w:spacing w:after="120"/>
      </w:pPr>
      <w:r>
        <w:rPr>
          <w:i/>
          <w:iCs/>
          <w:color w:val="666666"/>
        </w:rPr>
        <w:t xml:space="preserve">[ ~20 secondi. Sguardo al prof, tono tranquillo. ]</w:t>
      </w:r>
    </w:p>
    <w:p>
      <w:pPr>
        <w:pBdr>
          <w:left w:val="single" w:color="009739" w:sz="12" w:space="8"/>
        </w:pBdr>
        <w:spacing w:after="140"/>
        <w:ind w:left="360"/>
      </w:pPr>
      <w:r>
        <w:t xml:space="preserve">Good morning, professor. My project is an end-to-end Data Warehouse built on the Olist dataset — around one hundred thousand real, anonymised orders from Brazilian e-commerce, between 2016 and 2018. I'll walk you through the whole pipeline, from the raw CSV files to four interactive Tableau dashboards, which are open on the other screen.</w:t>
      </w:r>
    </w:p>
    <w:p>
      <w:pPr>
        <w:pStyle w:val="Heading1"/>
      </w:pPr>
      <w:r>
        <w:t xml:space="preserve">SLIDE 2 — Dataset &amp; Business Questions</w:t>
      </w:r>
    </w:p>
    <w:p>
      <w:pPr>
        <w:spacing w:after="120"/>
      </w:pPr>
      <w:r>
        <w:rPr>
          <w:i/>
          <w:iCs/>
          <w:color w:val="666666"/>
        </w:rPr>
        <w:t xml:space="preserve">[ ~30 secondi. ]</w:t>
      </w:r>
    </w:p>
    <w:p>
      <w:pPr>
        <w:pBdr>
          <w:left w:val="single" w:color="009739" w:sz="12" w:space="8"/>
        </w:pBdr>
        <w:spacing w:after="140"/>
        <w:ind w:left="360"/>
      </w:pPr>
      <w:r>
        <w:t xml:space="preserve">The source is public, on Kaggle: nine relational CSV files, over 1.4 million rows in total. Before modelling anything, I fixed three business questions, because they drive every design choice that follows: which product categories generate the most revenue and where; how sales evolved over time and whether there are seasonal peaks; and where delivery delays concentrate — and how they affect customer reviews.</w:t>
      </w:r>
    </w:p>
    <w:p>
      <w:pPr>
        <w:pStyle w:val="Heading1"/>
      </w:pPr>
      <w:r>
        <w:t xml:space="preserve">SLIDE 3 — Project Pipeline</w:t>
      </w:r>
    </w:p>
    <w:p>
      <w:pPr>
        <w:spacing w:after="120"/>
      </w:pPr>
      <w:r>
        <w:rPr>
          <w:i/>
          <w:iCs/>
          <w:color w:val="666666"/>
        </w:rPr>
        <w:t xml:space="preserve">[ ~25 secondi. Indicare i 7 step con il cursore. ]</w:t>
      </w:r>
    </w:p>
    <w:p>
      <w:pPr>
        <w:pBdr>
          <w:left w:val="single" w:color="009739" w:sz="12" w:space="8"/>
        </w:pBdr>
        <w:spacing w:after="140"/>
        <w:ind w:left="360"/>
      </w:pPr>
      <w:r>
        <w:t xml:space="preserve">The method follows the standard architecture from the course: I first integrated the sources into a reconciled relational database, then assessed data quality, cleaned the data, designed the conceptual model with the DFM, translated it into a star schema, and loaded everything into SQLite through an ETL script. Every transformation is tracked in an audit log, and the whole pipeline is reproducible from the delivered notebooks.</w:t>
      </w:r>
    </w:p>
    <w:p>
      <w:pPr>
        <w:pStyle w:val="Heading1"/>
      </w:pPr>
      <w:r>
        <w:t xml:space="preserve">SLIDE 4 — Data Quality Assessment</w:t>
      </w:r>
    </w:p>
    <w:p>
      <w:pPr>
        <w:spacing w:after="120"/>
      </w:pPr>
      <w:r>
        <w:rPr>
          <w:i/>
          <w:iCs/>
          <w:color w:val="666666"/>
        </w:rPr>
        <w:t xml:space="preserve">[ ~40 secondi. È la parte metodologicamente più forte: non correre. ]</w:t>
      </w:r>
    </w:p>
    <w:p>
      <w:pPr>
        <w:pBdr>
          <w:left w:val="single" w:color="009739" w:sz="12" w:space="8"/>
        </w:pBdr>
        <w:spacing w:after="140"/>
        <w:ind w:left="360"/>
      </w:pPr>
      <w:r>
        <w:t xml:space="preserve">I measured quality before touching anything, using a programmatic scorecard with five indices — validity, completeness, uniqueness, consistency and precision — driven by declarative rules per attribute. Some examples of what it found: twenty-four percent of customer ZIP codes have only four digits, because the CSV stores them as numbers and drops the leading zero; the geolocation table has massive duplication — the same postal prefix with many different coordinates; and orders has about three thousand rows that violate date dependencies.</w:t>
      </w:r>
    </w:p>
    <w:p>
      <w:pPr>
        <w:pBdr>
          <w:left w:val="single" w:color="009739" w:sz="12" w:space="8"/>
        </w:pBdr>
        <w:spacing w:after="140"/>
        <w:ind w:left="360"/>
      </w:pPr>
      <w:r>
        <w:t xml:space="preserve">The scorecard alone is not enough, though: noisy data hides behind permissive rules like price greater than zero, so I also inspected the distributions. As a support tool I used a small LLM running locally through Ollama — fully offline, so no data ever leaves the machine. It helped interpret the statistical profiles and, in one case, it suggested checking the review table's key on the pair review-id plus order-id — which turned out to be important.</w:t>
      </w:r>
    </w:p>
    <w:p>
      <w:pPr>
        <w:pStyle w:val="Heading1"/>
      </w:pPr>
      <w:r>
        <w:t xml:space="preserve">SLIDE 5 — Data Cleaning</w:t>
      </w:r>
    </w:p>
    <w:p>
      <w:pPr>
        <w:spacing w:after="120"/>
      </w:pPr>
      <w:r>
        <w:rPr>
          <w:i/>
          <w:iCs/>
          <w:color w:val="666666"/>
        </w:rPr>
        <w:t xml:space="preserve">[ ~40 secondi. Il caso Reviews è la storia migliore: raccontarla bene. ]</w:t>
      </w:r>
    </w:p>
    <w:p>
      <w:pPr>
        <w:pBdr>
          <w:left w:val="single" w:color="009739" w:sz="12" w:space="8"/>
        </w:pBdr>
        <w:spacing w:after="140"/>
        <w:ind w:left="360"/>
      </w:pPr>
      <w:r>
        <w:t xml:space="preserve">The cleaning philosophy is: fix what can be fixed automatically, flag what is anomalous, and never delete blindly. Missing delivery dates are semantic nulls — the order simply hasn't been delivered — so they are flagged, never imputed. Real missing values are imputed with a global constant for the category, and with the median for physical measures, which is robust to outliers. Outliers themselves are only flagged with the IQR method; the original values stay in the reconciled database.</w:t>
      </w:r>
    </w:p>
    <w:p>
      <w:pPr>
        <w:pBdr>
          <w:left w:val="single" w:color="009739" w:sz="12" w:space="8"/>
        </w:pBdr>
        <w:spacing w:after="140"/>
        <w:ind w:left="360"/>
      </w:pPr>
      <w:r>
        <w:t xml:space="preserve">The best example of why this care matters is the Reviews table. The scorecard assumed review-id as primary key and reported hundreds of duplicates. A closer look showed the real natural key is the pair review-id plus order-id: the same review can legitimately apply to several orders. Deduplicating on the single column would have silently deleted 814 correct records. Recovering them meant 549 orders got their rating back in the fact table.</w:t>
      </w:r>
    </w:p>
    <w:p>
      <w:pPr>
        <w:pStyle w:val="Heading1"/>
      </w:pPr>
      <w:r>
        <w:t xml:space="preserve">SLIDE 6 — Design Decisions</w:t>
      </w:r>
    </w:p>
    <w:p>
      <w:pPr>
        <w:spacing w:after="120"/>
      </w:pPr>
      <w:r>
        <w:rPr>
          <w:i/>
          <w:iCs/>
          <w:color w:val="666666"/>
        </w:rPr>
        <w:t xml:space="preserve">[ ~35 secondi. ]</w:t>
      </w:r>
    </w:p>
    <w:p>
      <w:pPr>
        <w:pBdr>
          <w:left w:val="single" w:color="009739" w:sz="12" w:space="8"/>
        </w:pBdr>
        <w:spacing w:after="140"/>
        <w:ind w:left="360"/>
      </w:pPr>
      <w:r>
        <w:t xml:space="preserve">For the conceptual design I chose the single order item as the fact — the finest grain available. You can always roll up from item to order; you can never go the other way. From the attribute tree I pruned redundant identifiers, free-text fields and audit flags, and I grafted the ZIP code so that city and state connect directly to customer and seller.</w:t>
      </w:r>
    </w:p>
    <w:p>
      <w:pPr>
        <w:pBdr>
          <w:left w:val="single" w:color="009739" w:sz="12" w:space="8"/>
        </w:pBdr>
        <w:spacing w:after="140"/>
        <w:ind w:left="360"/>
      </w:pPr>
      <w:r>
        <w:t xml:space="preserve">One decision worth highlighting: an order can be paid in several instalments with different methods. I aggregated payments per order — the sum of the values, and the method of the first instalment. The consequence is that payment value is replicated on every item row, so it is additive only at order level: summing it at item level overstates the total, about nineteen million versus fifteen. This is declared explicitly in the measure glossary, so the dashboards never double-count.</w:t>
      </w:r>
    </w:p>
    <w:p>
      <w:pPr>
        <w:pStyle w:val="Heading1"/>
      </w:pPr>
      <w:r>
        <w:t xml:space="preserve">SLIDE 7 — Star Schema</w:t>
      </w:r>
    </w:p>
    <w:p>
      <w:pPr>
        <w:spacing w:after="120"/>
      </w:pPr>
      <w:r>
        <w:rPr>
          <w:i/>
          <w:iCs/>
          <w:color w:val="666666"/>
        </w:rPr>
        <w:t xml:space="preserve">[ ~30 secondi. ]</w:t>
      </w:r>
    </w:p>
    <w:p>
      <w:pPr>
        <w:pBdr>
          <w:left w:val="single" w:color="009739" w:sz="12" w:space="8"/>
        </w:pBdr>
        <w:spacing w:after="140"/>
        <w:ind w:left="360"/>
      </w:pPr>
      <w:r>
        <w:t xml:space="preserve">The result is a classic star: one fact table with 112,650 rows and five dimensions — product, customer, seller, date and payment type. I chose a star over a snowflake because the hierarchies are short, so denormalising them keeps OLAP queries simple and fast. Order-id stays in the fact table as a degenerate attribute for traceability. Referential integrity is verified with control queries: zero orphan rows. The only three NULL foreign keys belong to one delivered order that simply has no payment recorded in the source — a known quirk of the dataset, not an ETL error.</w:t>
      </w:r>
    </w:p>
    <w:p>
      <w:pPr>
        <w:pStyle w:val="Heading1"/>
      </w:pPr>
      <w:r>
        <w:t xml:space="preserve">SLIDE 8 — Dashboard: Delivery Performance</w:t>
      </w:r>
    </w:p>
    <w:p>
      <w:pPr>
        <w:spacing w:after="120"/>
      </w:pPr>
      <w:r>
        <w:rPr>
          <w:i/>
          <w:iCs/>
          <w:color w:val="666666"/>
        </w:rPr>
        <w:t xml:space="preserve">[ ~30 secondi di slide, poi passare a Tableau sull'altro schermo: filtro Year, drill-down stato→città. ]</w:t>
      </w:r>
    </w:p>
    <w:p>
      <w:pPr>
        <w:pBdr>
          <w:left w:val="single" w:color="009739" w:sz="12" w:space="8"/>
        </w:pBdr>
        <w:spacing w:after="140"/>
        <w:ind w:left="360"/>
      </w:pPr>
      <w:r>
        <w:t xml:space="preserve">Let me move to the dashboards. The first one looks at delivery performance: about seventy percent of orders arrive within two weeks, and on average deliveries actually arrive twelve days earlier than the promised date. The interesting part is geographic: northern states like Roraima and Amapá wait almost four weeks, versus about eight days for São Paulo. On the live dashboard I can slice by year, and drill down from state to city.</w:t>
      </w:r>
    </w:p>
    <w:p>
      <w:pPr>
        <w:pStyle w:val="Heading1"/>
      </w:pPr>
      <w:r>
        <w:t xml:space="preserve">SLIDE 9 — Dashboard: Geographic Analysis</w:t>
      </w:r>
    </w:p>
    <w:p>
      <w:pPr>
        <w:spacing w:after="120"/>
      </w:pPr>
      <w:r>
        <w:rPr>
          <w:i/>
          <w:iCs/>
          <w:color w:val="666666"/>
        </w:rPr>
        <w:t xml:space="preserve">[ ~25 secondi + interazione: click su uno stato nella treemap. ]</w:t>
      </w:r>
    </w:p>
    <w:p>
      <w:pPr>
        <w:pBdr>
          <w:left w:val="single" w:color="009739" w:sz="12" w:space="8"/>
        </w:pBdr>
        <w:spacing w:after="140"/>
        <w:ind w:left="360"/>
      </w:pPr>
      <w:r>
        <w:t xml:space="preserve">The geographic view confirms the concentration: São Paulo alone generates almost forty-two percent of orders, and with Rio and Minas Gerais that's two thirds of the whole volume. One technical note: Tableau doesn't geocode Brazilian state codes automatically, so I mapped them to full names with a calculated field. Clicking any state filters every other chart — that's the dice operation.</w:t>
      </w:r>
    </w:p>
    <w:p>
      <w:pPr>
        <w:pStyle w:val="Heading1"/>
      </w:pPr>
      <w:r>
        <w:t xml:space="preserve">SLIDE 10 — Dashboard: Sales &amp; Payments</w:t>
      </w:r>
    </w:p>
    <w:p>
      <w:pPr>
        <w:spacing w:after="120"/>
      </w:pPr>
      <w:r>
        <w:rPr>
          <w:i/>
          <w:iCs/>
          <w:color w:val="666666"/>
        </w:rPr>
        <w:t xml:space="preserve">[ ~25 secondi + drill-down categoria→prodotto. ]</w:t>
      </w:r>
    </w:p>
    <w:p>
      <w:pPr>
        <w:pBdr>
          <w:left w:val="single" w:color="009739" w:sz="12" w:space="8"/>
        </w:pBdr>
        <w:spacing w:after="140"/>
        <w:ind w:left="360"/>
      </w:pPr>
      <w:r>
        <w:t xml:space="preserve">On the sales side, health and beauty is the top revenue category, followed by watches and gifts. The median review score is four out of five, with almost fifty-seven thousand five-star orders, and credit cards cover about three quarters of payments. Here I can drill down from a category to the single products.</w:t>
      </w:r>
    </w:p>
    <w:p>
      <w:pPr>
        <w:pStyle w:val="Heading1"/>
      </w:pPr>
      <w:r>
        <w:t xml:space="preserve">SLIDE 11 — Dashboard: Time Trends</w:t>
      </w:r>
    </w:p>
    <w:p>
      <w:pPr>
        <w:spacing w:after="120"/>
      </w:pPr>
      <w:r>
        <w:rPr>
          <w:i/>
          <w:iCs/>
          <w:color w:val="666666"/>
        </w:rPr>
        <w:t xml:space="preserve">[ ~25 secondi + roll-up mese→anno sull'istogramma. ]</w:t>
      </w:r>
    </w:p>
    <w:p>
      <w:pPr>
        <w:pBdr>
          <w:left w:val="single" w:color="009739" w:sz="12" w:space="8"/>
        </w:pBdr>
        <w:spacing w:after="140"/>
        <w:ind w:left="360"/>
      </w:pPr>
      <w:r>
        <w:t xml:space="preserve">Over time, the platform grows strongly — and there is one unmistakable spike: November 2017, Black Friday, with about seven and a half thousand orders in a single month. The bar chart shows the same data rolled up from month to year, and the heatmap makes the seasonality readable at a glance.</w:t>
      </w:r>
    </w:p>
    <w:p>
      <w:pPr>
        <w:pStyle w:val="Heading1"/>
      </w:pPr>
      <w:r>
        <w:t xml:space="preserve">SLIDE 12 — Key Findings &amp; Conclusions</w:t>
      </w:r>
    </w:p>
    <w:p>
      <w:pPr>
        <w:spacing w:after="120"/>
      </w:pPr>
      <w:r>
        <w:rPr>
          <w:i/>
          <w:iCs/>
          <w:color w:val="666666"/>
        </w:rPr>
        <w:t xml:space="preserve">[ ~25 secondi. Chiusura decisa. ]</w:t>
      </w:r>
    </w:p>
    <w:p>
      <w:pPr>
        <w:pBdr>
          <w:left w:val="single" w:color="009739" w:sz="12" w:space="8"/>
        </w:pBdr>
        <w:spacing w:after="140"/>
        <w:ind w:left="360"/>
      </w:pPr>
      <w:r>
        <w:t xml:space="preserve">To conclude, three things I take away from this project. First: data quality has to be measured, not assumed — the scorecard, before and after, drove every intervention. Second: one wrong key assumption can silently delete correct data — the Reviews case. Third: additivity must be declared measure by measure, or dashboards quietly lie. As future work, I would add a bridge table for multiple payments and the macro-category and region hierarchies, which need external mappings. Thank you — I'm happy to take questions.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00" w:before="200"/>
    </w:pPr>
    <w:rPr>
      <w:b/>
      <w:bCs/>
      <w:sz w:val="38"/>
      <w:szCs w:val="38"/>
    </w:rPr>
  </w:style>
  <w:style w:type="paragraph" w:styleId="Heading1">
    <w:name w:val="Heading 1"/>
    <w:basedOn w:val="Normal"/>
    <w:next w:val="Normal"/>
    <w:qFormat/>
    <w:pPr>
      <w:spacing w:after="100" w:before="260"/>
      <w:outlineLvl w:val="0"/>
    </w:pPr>
    <w:rPr>
      <w:b/>
      <w:bCs/>
      <w:color w:val="006B2B"/>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2026-07-06T11:38:25.897Z</dcterms:created>
  <dcterms:modified xsi:type="dcterms:W3CDTF">2026-07-06T11:38:25.901Z</dcterms:modified>
</cp:coreProperties>
</file>

<file path=docProps/custom.xml><?xml version="1.0" encoding="utf-8"?>
<Properties xmlns="http://schemas.openxmlformats.org/officeDocument/2006/custom-properties" xmlns:vt="http://schemas.openxmlformats.org/officeDocument/2006/docPropsVTypes"/>
</file>