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56E35" w14:textId="189BBCB1" w:rsidR="006D5F25" w:rsidRDefault="006D5F25" w:rsidP="006D5F25">
      <w:pPr>
        <w:pStyle w:val="Title"/>
        <w:rPr>
          <w:b/>
          <w:bCs/>
        </w:rPr>
      </w:pPr>
      <w:r>
        <w:rPr>
          <w:b/>
          <w:bCs/>
        </w:rPr>
        <w:t>Supporting Information</w:t>
      </w:r>
    </w:p>
    <w:p w14:paraId="62575E60" w14:textId="745FE8DD" w:rsidR="006D5F25" w:rsidRPr="00D00300" w:rsidRDefault="006D5F25" w:rsidP="006D5F25">
      <w:pPr>
        <w:pStyle w:val="Title"/>
        <w:rPr>
          <w:b/>
          <w:bCs/>
        </w:rPr>
      </w:pPr>
      <w:r w:rsidRPr="00D00300">
        <w:rPr>
          <w:b/>
          <w:bCs/>
        </w:rPr>
        <w:t xml:space="preserve">Spatial role of land cover on West Nile virus </w:t>
      </w:r>
      <w:r>
        <w:rPr>
          <w:b/>
          <w:bCs/>
        </w:rPr>
        <w:t xml:space="preserve">disease </w:t>
      </w:r>
      <w:r w:rsidRPr="00D00300">
        <w:rPr>
          <w:b/>
          <w:bCs/>
        </w:rPr>
        <w:t>in Europe</w:t>
      </w:r>
    </w:p>
    <w:p w14:paraId="4CCC62DD" w14:textId="77777777" w:rsidR="006D5F25" w:rsidRPr="00D00300" w:rsidRDefault="006D5F25" w:rsidP="006D5F25"/>
    <w:p w14:paraId="57F997E4" w14:textId="77777777" w:rsidR="006D5F25" w:rsidRPr="00D00300" w:rsidRDefault="006D5F25" w:rsidP="006D5F25">
      <w:pPr>
        <w:rPr>
          <w:lang w:val="en-IE"/>
        </w:rPr>
      </w:pPr>
      <w:r w:rsidRPr="00D00300">
        <w:rPr>
          <w:lang w:val="en-IE"/>
        </w:rPr>
        <w:t>Nicola Riccetti</w:t>
      </w:r>
      <w:r w:rsidRPr="00D00300">
        <w:rPr>
          <w:vertAlign w:val="superscript"/>
          <w:lang w:val="en-IE"/>
        </w:rPr>
        <w:t>a</w:t>
      </w:r>
      <w:r w:rsidRPr="00D00300">
        <w:rPr>
          <w:lang w:val="en-IE"/>
        </w:rPr>
        <w:t>, Angela Fanelli</w:t>
      </w:r>
      <w:r>
        <w:rPr>
          <w:vertAlign w:val="superscript"/>
          <w:lang w:val="en-IE"/>
        </w:rPr>
        <w:t>b</w:t>
      </w:r>
      <w:r w:rsidRPr="00D00300">
        <w:rPr>
          <w:lang w:val="en-IE"/>
        </w:rPr>
        <w:t>, Wojciech Szewczyk</w:t>
      </w:r>
      <w:r w:rsidRPr="00D00300">
        <w:rPr>
          <w:vertAlign w:val="superscript"/>
          <w:lang w:val="en-IE"/>
        </w:rPr>
        <w:t>b</w:t>
      </w:r>
      <w:r>
        <w:rPr>
          <w:vertAlign w:val="superscript"/>
          <w:lang w:val="en-IE"/>
        </w:rPr>
        <w:t>*</w:t>
      </w:r>
      <w:r w:rsidRPr="00D00300">
        <w:rPr>
          <w:lang w:val="en-IE"/>
        </w:rPr>
        <w:t>, Alessandro Cescatti</w:t>
      </w:r>
      <w:r w:rsidRPr="00D00300">
        <w:rPr>
          <w:vertAlign w:val="superscript"/>
          <w:lang w:val="en-IE"/>
        </w:rPr>
        <w:t>a</w:t>
      </w:r>
      <w:r w:rsidRPr="00D00300">
        <w:rPr>
          <w:lang w:val="en-IE"/>
        </w:rPr>
        <w:t>, Juan Carlos Ciscar</w:t>
      </w:r>
      <w:r w:rsidRPr="00D00300">
        <w:rPr>
          <w:vertAlign w:val="superscript"/>
          <w:lang w:val="en-IE"/>
        </w:rPr>
        <w:t>b</w:t>
      </w:r>
      <w:r w:rsidRPr="00D00300">
        <w:rPr>
          <w:lang w:val="en-IE"/>
        </w:rPr>
        <w:t>, Grégoire Dubois</w:t>
      </w:r>
      <w:r w:rsidRPr="00D00300">
        <w:rPr>
          <w:vertAlign w:val="superscript"/>
          <w:lang w:val="en-IE"/>
        </w:rPr>
        <w:t>a</w:t>
      </w:r>
      <w:r w:rsidRPr="00D00300">
        <w:rPr>
          <w:lang w:val="en-IE"/>
        </w:rPr>
        <w:t>, Dolores Ibarreta</w:t>
      </w:r>
      <w:r w:rsidRPr="00D00300">
        <w:rPr>
          <w:vertAlign w:val="superscript"/>
          <w:lang w:val="en-IE"/>
        </w:rPr>
        <w:t>b</w:t>
      </w:r>
      <w:r w:rsidRPr="00D00300">
        <w:rPr>
          <w:lang w:val="en-IE"/>
        </w:rPr>
        <w:t>, Jordi Figuerola</w:t>
      </w:r>
      <w:r w:rsidRPr="00D00300">
        <w:rPr>
          <w:vertAlign w:val="superscript"/>
          <w:lang w:val="en-IE"/>
        </w:rPr>
        <w:t>c,d</w:t>
      </w:r>
      <w:r w:rsidRPr="00D00300">
        <w:rPr>
          <w:lang w:val="en-IE"/>
        </w:rPr>
        <w:t xml:space="preserve"> , and Emanuele Massaro</w:t>
      </w:r>
      <w:r w:rsidRPr="00D00300">
        <w:rPr>
          <w:vertAlign w:val="superscript"/>
          <w:lang w:val="en-IE"/>
        </w:rPr>
        <w:t>a</w:t>
      </w:r>
    </w:p>
    <w:p w14:paraId="1D44FD57" w14:textId="77777777" w:rsidR="006D5F25" w:rsidRPr="00D00300" w:rsidRDefault="006D5F25" w:rsidP="006D5F25">
      <w:r w:rsidRPr="00D00300">
        <w:t>Affiliations:</w:t>
      </w:r>
    </w:p>
    <w:p w14:paraId="7AB7C194" w14:textId="77777777" w:rsidR="006D5F25" w:rsidRPr="0016604F" w:rsidRDefault="006D5F25" w:rsidP="006D5F25">
      <w:pPr>
        <w:rPr>
          <w:lang w:val="it-IT"/>
        </w:rPr>
      </w:pPr>
      <w:r w:rsidRPr="00D00300">
        <w:rPr>
          <w:vertAlign w:val="superscript"/>
        </w:rPr>
        <w:t>a</w:t>
      </w:r>
      <w:r w:rsidRPr="00D00300">
        <w:t xml:space="preserve">European Commission, Joint Research Centre (JRC). </w:t>
      </w:r>
      <w:r w:rsidRPr="0016604F">
        <w:rPr>
          <w:lang w:val="it-IT"/>
        </w:rPr>
        <w:t>Via E. Fermi 2749, 21027 Ispra (VA) – Italy</w:t>
      </w:r>
    </w:p>
    <w:p w14:paraId="768A35D6" w14:textId="77777777" w:rsidR="006D5F25" w:rsidRPr="0016604F" w:rsidRDefault="006D5F25" w:rsidP="006D5F25">
      <w:pPr>
        <w:rPr>
          <w:vertAlign w:val="superscript"/>
          <w:lang w:val="it-IT"/>
        </w:rPr>
      </w:pPr>
      <w:r w:rsidRPr="00D00300">
        <w:rPr>
          <w:vertAlign w:val="superscript"/>
        </w:rPr>
        <w:t>b</w:t>
      </w:r>
      <w:r w:rsidRPr="00D00300">
        <w:t xml:space="preserve">European Commission, Joint Research Centre (JRC). </w:t>
      </w:r>
      <w:r w:rsidRPr="0016604F">
        <w:rPr>
          <w:lang w:val="it-IT"/>
        </w:rPr>
        <w:t>C. Inca Garcilaso, 3, 41092 Sevilla – Spain</w:t>
      </w:r>
      <w:r w:rsidRPr="0016604F">
        <w:rPr>
          <w:vertAlign w:val="superscript"/>
          <w:lang w:val="it-IT"/>
        </w:rPr>
        <w:t xml:space="preserve"> </w:t>
      </w:r>
    </w:p>
    <w:p w14:paraId="2F404250" w14:textId="77777777" w:rsidR="006D5F25" w:rsidRPr="00D00300" w:rsidRDefault="006D5F25" w:rsidP="006D5F25">
      <w:pPr>
        <w:rPr>
          <w:lang w:val="es-ES"/>
        </w:rPr>
      </w:pPr>
      <w:r w:rsidRPr="00D00300">
        <w:rPr>
          <w:vertAlign w:val="superscript"/>
          <w:lang w:val="es-ES"/>
        </w:rPr>
        <w:t>c</w:t>
      </w:r>
      <w:r w:rsidRPr="00D00300">
        <w:rPr>
          <w:lang w:val="es-ES"/>
        </w:rPr>
        <w:t>Estacion Biologica de Doñana, Consejo Superior de Investigaciones Científicas (CSIC). Avda. Americo Vespucio 26, 41092 Sevilla – Spain</w:t>
      </w:r>
    </w:p>
    <w:p w14:paraId="4F3CBC5F" w14:textId="77777777" w:rsidR="006D5F25" w:rsidRPr="0016604F" w:rsidRDefault="006D5F25" w:rsidP="006D5F25">
      <w:pPr>
        <w:rPr>
          <w:lang w:val="en-IE"/>
        </w:rPr>
      </w:pPr>
      <w:r w:rsidRPr="00D00300">
        <w:rPr>
          <w:vertAlign w:val="superscript"/>
          <w:lang w:val="es-ES"/>
        </w:rPr>
        <w:t>d</w:t>
      </w:r>
      <w:r w:rsidRPr="00D00300">
        <w:rPr>
          <w:lang w:val="es-ES"/>
        </w:rPr>
        <w:t xml:space="preserve">Centro de Investigación Biomédica en Red Epidemiología y Salud Pública (CIBER ESP). </w:t>
      </w:r>
      <w:r w:rsidRPr="0016604F">
        <w:rPr>
          <w:lang w:val="en-IE"/>
        </w:rPr>
        <w:t>Avda. Monforte de Lemos, 3-5, 28029 Madrid - Spain</w:t>
      </w:r>
    </w:p>
    <w:p w14:paraId="68136306" w14:textId="77777777" w:rsidR="006D5F25" w:rsidRPr="0016604F" w:rsidRDefault="006D5F25" w:rsidP="006D5F25">
      <w:pPr>
        <w:rPr>
          <w:rFonts w:cs="Times New Roman"/>
          <w:sz w:val="20"/>
          <w:vertAlign w:val="superscript"/>
          <w:lang w:val="en-IE"/>
        </w:rPr>
      </w:pPr>
    </w:p>
    <w:p w14:paraId="4ACAC734" w14:textId="77777777" w:rsidR="006D5F25" w:rsidRPr="0016604F" w:rsidRDefault="006D5F25" w:rsidP="006D5F25">
      <w:pPr>
        <w:rPr>
          <w:lang w:val="en-IE"/>
        </w:rPr>
      </w:pPr>
      <w:r w:rsidRPr="0016604F">
        <w:rPr>
          <w:lang w:val="en-IE"/>
        </w:rPr>
        <w:t>Corresponding author (*):</w:t>
      </w:r>
    </w:p>
    <w:p w14:paraId="76A7A3B3" w14:textId="29A28CAC" w:rsidR="00261C21" w:rsidRDefault="006D5F25" w:rsidP="006D5F25">
      <w:pPr>
        <w:rPr>
          <w:sz w:val="22"/>
          <w:lang w:val="en-IE"/>
        </w:rPr>
      </w:pPr>
      <w:r w:rsidRPr="00D00300">
        <w:rPr>
          <w:lang w:val="en-IE"/>
        </w:rPr>
        <w:t>Wojciech Szewczyk</w:t>
      </w:r>
      <w:r w:rsidRPr="0016604F">
        <w:rPr>
          <w:szCs w:val="18"/>
          <w:lang w:val="en-IE"/>
        </w:rPr>
        <w:t>,</w:t>
      </w:r>
      <w:r>
        <w:rPr>
          <w:szCs w:val="18"/>
          <w:lang w:val="en-IE"/>
        </w:rPr>
        <w:t xml:space="preserve"> </w:t>
      </w:r>
      <w:hyperlink r:id="rId5" w:history="1">
        <w:r w:rsidRPr="00AD5CDA">
          <w:rPr>
            <w:rStyle w:val="Hyperlink"/>
            <w:sz w:val="22"/>
            <w:lang w:val="it-IT"/>
          </w:rPr>
          <w:t>Wojciech.SZEWCZYK@ec.europa.eu</w:t>
        </w:r>
      </w:hyperlink>
    </w:p>
    <w:p w14:paraId="5BFB6911" w14:textId="56FA8F0F" w:rsidR="006D5F25" w:rsidRDefault="006D5F25" w:rsidP="006D5F25">
      <w:pPr>
        <w:rPr>
          <w:sz w:val="22"/>
          <w:lang w:val="en-IE"/>
        </w:rPr>
      </w:pPr>
    </w:p>
    <w:p w14:paraId="654F2324" w14:textId="2803FD1D" w:rsidR="006D5F25" w:rsidRDefault="006D5F25" w:rsidP="006D5F25">
      <w:pPr>
        <w:rPr>
          <w:sz w:val="22"/>
          <w:lang w:val="en-IE"/>
        </w:rPr>
      </w:pPr>
    </w:p>
    <w:p w14:paraId="3C11FDA1" w14:textId="193BD6E4" w:rsidR="006D5F25" w:rsidRDefault="006D5F25" w:rsidP="006D5F25">
      <w:pPr>
        <w:rPr>
          <w:sz w:val="22"/>
          <w:lang w:val="en-IE"/>
        </w:rPr>
      </w:pPr>
    </w:p>
    <w:p w14:paraId="27AFB4A8" w14:textId="1AB263FB" w:rsidR="006D5F25" w:rsidRDefault="006D5F25" w:rsidP="006D5F25">
      <w:pPr>
        <w:rPr>
          <w:sz w:val="22"/>
          <w:lang w:val="en-IE"/>
        </w:rPr>
      </w:pPr>
    </w:p>
    <w:p w14:paraId="48B24A95" w14:textId="7AE40B05" w:rsidR="006D5F25" w:rsidRDefault="006D5F25" w:rsidP="006D5F25">
      <w:pPr>
        <w:rPr>
          <w:sz w:val="22"/>
          <w:lang w:val="en-IE"/>
        </w:rPr>
      </w:pPr>
    </w:p>
    <w:p w14:paraId="1987B74E" w14:textId="068FE1D0" w:rsidR="006D5F25" w:rsidRDefault="006D5F25" w:rsidP="006D5F25">
      <w:pPr>
        <w:rPr>
          <w:sz w:val="22"/>
          <w:lang w:val="en-IE"/>
        </w:rPr>
      </w:pPr>
    </w:p>
    <w:p w14:paraId="58D69E0F" w14:textId="3C7A99D0" w:rsidR="006D5F25" w:rsidRDefault="006D5F25" w:rsidP="006D5F25">
      <w:pPr>
        <w:rPr>
          <w:sz w:val="22"/>
          <w:lang w:val="en-IE"/>
        </w:rPr>
      </w:pPr>
    </w:p>
    <w:p w14:paraId="466B9DC6" w14:textId="29908D46" w:rsidR="006D5F25" w:rsidRDefault="006D5F25" w:rsidP="006D5F25">
      <w:pPr>
        <w:rPr>
          <w:sz w:val="22"/>
          <w:lang w:val="en-IE"/>
        </w:rPr>
      </w:pPr>
    </w:p>
    <w:p w14:paraId="29886FD4" w14:textId="7236D0BC" w:rsidR="006D5F25" w:rsidRDefault="006D5F25" w:rsidP="006D5F25">
      <w:pPr>
        <w:rPr>
          <w:sz w:val="22"/>
          <w:lang w:val="en-IE"/>
        </w:rPr>
      </w:pPr>
    </w:p>
    <w:p w14:paraId="3BF2A965" w14:textId="67594D26" w:rsidR="006D5F25" w:rsidRDefault="006D5F25" w:rsidP="006D5F25">
      <w:pPr>
        <w:rPr>
          <w:sz w:val="22"/>
          <w:lang w:val="en-IE"/>
        </w:rPr>
      </w:pPr>
    </w:p>
    <w:p w14:paraId="67F19341" w14:textId="39AB0665" w:rsidR="006D5F25" w:rsidRDefault="006D5F25" w:rsidP="006D5F25">
      <w:pPr>
        <w:rPr>
          <w:sz w:val="22"/>
          <w:lang w:val="en-IE"/>
        </w:rPr>
      </w:pPr>
    </w:p>
    <w:p w14:paraId="71212C1A" w14:textId="20A5D25D" w:rsidR="006D5F25" w:rsidRDefault="006D5F25" w:rsidP="006D5F25">
      <w:pPr>
        <w:rPr>
          <w:sz w:val="22"/>
          <w:lang w:val="en-IE"/>
        </w:rPr>
      </w:pPr>
    </w:p>
    <w:p w14:paraId="14840970" w14:textId="286AC463" w:rsidR="006D5F25" w:rsidRDefault="006D5F25" w:rsidP="006D5F25">
      <w:pPr>
        <w:rPr>
          <w:sz w:val="22"/>
          <w:lang w:val="en-IE"/>
        </w:rPr>
      </w:pPr>
    </w:p>
    <w:p w14:paraId="22FCD45F" w14:textId="586C0226" w:rsidR="006D5F25" w:rsidRDefault="006D5F25" w:rsidP="006D5F25">
      <w:pPr>
        <w:rPr>
          <w:sz w:val="22"/>
          <w:lang w:val="en-IE"/>
        </w:rPr>
      </w:pPr>
    </w:p>
    <w:p w14:paraId="429B4A24" w14:textId="5A7814DA" w:rsidR="006D5F25" w:rsidRDefault="006D5F25" w:rsidP="006D5F25">
      <w:pPr>
        <w:rPr>
          <w:sz w:val="22"/>
          <w:lang w:val="en-IE"/>
        </w:rPr>
      </w:pPr>
    </w:p>
    <w:p w14:paraId="4BC4DDDD" w14:textId="5A804BFD" w:rsidR="006D5F25" w:rsidRDefault="006D5F25" w:rsidP="006D5F25">
      <w:pPr>
        <w:rPr>
          <w:sz w:val="22"/>
          <w:lang w:val="en-IE"/>
        </w:rPr>
      </w:pPr>
    </w:p>
    <w:p w14:paraId="3686EBFB" w14:textId="7117CD7A" w:rsidR="006D5F25" w:rsidRDefault="006D5F25" w:rsidP="006D5F25">
      <w:pPr>
        <w:rPr>
          <w:sz w:val="22"/>
          <w:lang w:val="en-IE"/>
        </w:rPr>
      </w:pPr>
    </w:p>
    <w:p w14:paraId="1E9AC3BA" w14:textId="1CECF2F6" w:rsidR="00F10B2E" w:rsidRDefault="00F10B2E" w:rsidP="00F10B2E">
      <w:pPr>
        <w:pStyle w:val="Heading3"/>
      </w:pPr>
      <w:r>
        <w:rPr>
          <w:rStyle w:val="Emphasis"/>
        </w:rPr>
        <w:lastRenderedPageBreak/>
        <w:t>SI.1 Sensitivity analysis for selecting the spatial distance threshold (d)</w:t>
      </w:r>
    </w:p>
    <w:p w14:paraId="32538087" w14:textId="77777777" w:rsidR="00F10B2E" w:rsidRDefault="00F10B2E" w:rsidP="00F10B2E">
      <w:pPr>
        <w:pStyle w:val="NormalWeb"/>
      </w:pPr>
      <w:r>
        <w:t xml:space="preserve">To identify an appropriate threshold distance for the distance-band spatial weights matrix, we performed a systematic sensitivity analysis varying </w:t>
      </w:r>
      <w:r>
        <w:rPr>
          <w:rStyle w:val="Strong"/>
        </w:rPr>
        <w:t xml:space="preserve">d </w:t>
      </w:r>
      <w:r>
        <w:rPr>
          <w:rStyle w:val="Strong"/>
          <w:rFonts w:ascii="Cambria Math" w:hAnsi="Cambria Math" w:cs="Cambria Math"/>
        </w:rPr>
        <w:t>∈</w:t>
      </w:r>
      <w:r>
        <w:rPr>
          <w:rStyle w:val="Strong"/>
        </w:rPr>
        <w:t xml:space="preserve"> {100, 125, 150, 175, 200 km}</w:t>
      </w:r>
      <w:r>
        <w:t>. For each value of d, we computed:</w:t>
      </w:r>
    </w:p>
    <w:p w14:paraId="4876793C" w14:textId="77777777" w:rsidR="00F10B2E" w:rsidRDefault="00F10B2E" w:rsidP="00F10B2E">
      <w:pPr>
        <w:pStyle w:val="NormalWeb"/>
        <w:numPr>
          <w:ilvl w:val="0"/>
          <w:numId w:val="1"/>
        </w:numPr>
      </w:pPr>
      <w:r>
        <w:rPr>
          <w:rStyle w:val="Strong"/>
        </w:rPr>
        <w:t>Connectivity metrics</w:t>
      </w:r>
      <w:r>
        <w:t xml:space="preserve"> of the spatial weights matrix</w:t>
      </w:r>
    </w:p>
    <w:p w14:paraId="0415C380" w14:textId="77777777" w:rsidR="00F10B2E" w:rsidRDefault="00F10B2E" w:rsidP="00F10B2E">
      <w:pPr>
        <w:pStyle w:val="NormalWeb"/>
        <w:numPr>
          <w:ilvl w:val="1"/>
          <w:numId w:val="1"/>
        </w:numPr>
      </w:pPr>
      <w:r>
        <w:t>mean number of neighbors per region</w:t>
      </w:r>
    </w:p>
    <w:p w14:paraId="51F9AAAA" w14:textId="77777777" w:rsidR="00F10B2E" w:rsidRDefault="00F10B2E" w:rsidP="00F10B2E">
      <w:pPr>
        <w:pStyle w:val="NormalWeb"/>
        <w:numPr>
          <w:ilvl w:val="1"/>
          <w:numId w:val="1"/>
        </w:numPr>
      </w:pPr>
      <w:r>
        <w:t>minimum and maximum number of neighbors</w:t>
      </w:r>
    </w:p>
    <w:p w14:paraId="72151931" w14:textId="77777777" w:rsidR="00F10B2E" w:rsidRDefault="00F10B2E" w:rsidP="00F10B2E">
      <w:pPr>
        <w:pStyle w:val="NormalWeb"/>
        <w:numPr>
          <w:ilvl w:val="1"/>
          <w:numId w:val="1"/>
        </w:numPr>
      </w:pPr>
      <w:r>
        <w:t>number of spatial isolates (regions with zero neighbors)</w:t>
      </w:r>
    </w:p>
    <w:p w14:paraId="2E745A0C" w14:textId="77777777" w:rsidR="00F10B2E" w:rsidRDefault="00F10B2E" w:rsidP="00F10B2E">
      <w:pPr>
        <w:pStyle w:val="NormalWeb"/>
        <w:numPr>
          <w:ilvl w:val="0"/>
          <w:numId w:val="1"/>
        </w:numPr>
      </w:pPr>
      <w:r>
        <w:rPr>
          <w:rStyle w:val="Strong"/>
        </w:rPr>
        <w:t>Spatial autocorrelation</w:t>
      </w:r>
      <w:r>
        <w:t xml:space="preserve"> of residuals from the non-spatial OLS model</w:t>
      </w:r>
      <w:r>
        <w:br/>
        <w:t xml:space="preserve">using </w:t>
      </w:r>
      <w:r>
        <w:rPr>
          <w:rStyle w:val="Strong"/>
        </w:rPr>
        <w:t>Moran’s I</w:t>
      </w:r>
      <w:r>
        <w:t xml:space="preserve"> with 999 permutations.</w:t>
      </w:r>
    </w:p>
    <w:p w14:paraId="20E5F911" w14:textId="28E5B733" w:rsidR="00F10B2E" w:rsidRDefault="00F10B2E" w:rsidP="00F10B2E">
      <w:pPr>
        <w:pStyle w:val="NormalWeb"/>
        <w:numPr>
          <w:ilvl w:val="0"/>
          <w:numId w:val="1"/>
        </w:numPr>
      </w:pPr>
      <w:r>
        <w:rPr>
          <w:rStyle w:val="Strong"/>
        </w:rPr>
        <w:t>Residual spatial autocorrelation after GWR</w:t>
      </w:r>
      <w:r>
        <w:br/>
        <w:t>to confirm whether the spatial model sufficiently removes dependence.</w:t>
      </w:r>
    </w:p>
    <w:p w14:paraId="3190B51A" w14:textId="696F6B5F" w:rsidR="00F10B2E" w:rsidRDefault="00F10B2E" w:rsidP="00F10B2E">
      <w:pPr>
        <w:pStyle w:val="Heading3"/>
      </w:pPr>
      <w:r>
        <w:rPr>
          <w:rStyle w:val="Strong"/>
          <w:b/>
          <w:bCs/>
        </w:rPr>
        <w:t>Table S1 Connectivity properties of the spatial weights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741"/>
        <w:gridCol w:w="507"/>
        <w:gridCol w:w="547"/>
        <w:gridCol w:w="869"/>
      </w:tblGrid>
      <w:tr w:rsidR="00F10B2E" w14:paraId="66FBDD7B" w14:textId="77777777" w:rsidTr="00F10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07B91" w14:textId="77777777" w:rsidR="00F10B2E" w:rsidRDefault="00F10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 (km)</w:t>
            </w:r>
          </w:p>
        </w:tc>
        <w:tc>
          <w:tcPr>
            <w:tcW w:w="0" w:type="auto"/>
            <w:vAlign w:val="center"/>
            <w:hideMark/>
          </w:tcPr>
          <w:p w14:paraId="37112A57" w14:textId="77777777" w:rsidR="00F10B2E" w:rsidRDefault="00F10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 neighbors</w:t>
            </w:r>
          </w:p>
        </w:tc>
        <w:tc>
          <w:tcPr>
            <w:tcW w:w="0" w:type="auto"/>
            <w:vAlign w:val="center"/>
            <w:hideMark/>
          </w:tcPr>
          <w:p w14:paraId="28921C15" w14:textId="77777777" w:rsidR="00F10B2E" w:rsidRDefault="00F10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084C0841" w14:textId="77777777" w:rsidR="00F10B2E" w:rsidRDefault="00F10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67E5690C" w14:textId="77777777" w:rsidR="00F10B2E" w:rsidRDefault="00F10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Isolates</w:t>
            </w:r>
          </w:p>
        </w:tc>
      </w:tr>
      <w:tr w:rsidR="00F10B2E" w14:paraId="54C975EA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95A4" w14:textId="77777777" w:rsidR="00F10B2E" w:rsidRDefault="00F10B2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4BB5AC3D" w14:textId="77777777" w:rsidR="00F10B2E" w:rsidRDefault="00F10B2E">
            <w:r>
              <w:t>18.32</w:t>
            </w:r>
          </w:p>
        </w:tc>
        <w:tc>
          <w:tcPr>
            <w:tcW w:w="0" w:type="auto"/>
            <w:vAlign w:val="center"/>
            <w:hideMark/>
          </w:tcPr>
          <w:p w14:paraId="139D7D13" w14:textId="77777777" w:rsidR="00F10B2E" w:rsidRDefault="00F10B2E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BD3FE5F" w14:textId="77777777" w:rsidR="00F10B2E" w:rsidRDefault="00F10B2E">
            <w:r>
              <w:t>59</w:t>
            </w:r>
          </w:p>
        </w:tc>
        <w:tc>
          <w:tcPr>
            <w:tcW w:w="0" w:type="auto"/>
            <w:vAlign w:val="center"/>
            <w:hideMark/>
          </w:tcPr>
          <w:p w14:paraId="2ED24C64" w14:textId="77777777" w:rsidR="00F10B2E" w:rsidRDefault="00F10B2E">
            <w:r>
              <w:rPr>
                <w:rStyle w:val="Strong"/>
              </w:rPr>
              <w:t>28</w:t>
            </w:r>
          </w:p>
        </w:tc>
      </w:tr>
      <w:tr w:rsidR="00F10B2E" w14:paraId="3EA6A62B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66D3" w14:textId="77777777" w:rsidR="00F10B2E" w:rsidRDefault="00F10B2E">
            <w:r>
              <w:t>125</w:t>
            </w:r>
          </w:p>
        </w:tc>
        <w:tc>
          <w:tcPr>
            <w:tcW w:w="0" w:type="auto"/>
            <w:vAlign w:val="center"/>
            <w:hideMark/>
          </w:tcPr>
          <w:p w14:paraId="301E9E2C" w14:textId="77777777" w:rsidR="00F10B2E" w:rsidRDefault="00F10B2E">
            <w:r>
              <w:t>27.78</w:t>
            </w:r>
          </w:p>
        </w:tc>
        <w:tc>
          <w:tcPr>
            <w:tcW w:w="0" w:type="auto"/>
            <w:vAlign w:val="center"/>
            <w:hideMark/>
          </w:tcPr>
          <w:p w14:paraId="21A6B895" w14:textId="77777777" w:rsidR="00F10B2E" w:rsidRDefault="00F10B2E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403E142" w14:textId="77777777" w:rsidR="00F10B2E" w:rsidRDefault="00F10B2E">
            <w:r>
              <w:t>81</w:t>
            </w:r>
          </w:p>
        </w:tc>
        <w:tc>
          <w:tcPr>
            <w:tcW w:w="0" w:type="auto"/>
            <w:vAlign w:val="center"/>
            <w:hideMark/>
          </w:tcPr>
          <w:p w14:paraId="73E54C22" w14:textId="77777777" w:rsidR="00F10B2E" w:rsidRDefault="00F10B2E">
            <w:r>
              <w:rPr>
                <w:rStyle w:val="Strong"/>
              </w:rPr>
              <w:t>6</w:t>
            </w:r>
          </w:p>
        </w:tc>
      </w:tr>
      <w:tr w:rsidR="00F10B2E" w14:paraId="2B6A2F5D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962A" w14:textId="77777777" w:rsidR="00F10B2E" w:rsidRDefault="00F10B2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612A9B3A" w14:textId="77777777" w:rsidR="00F10B2E" w:rsidRDefault="00F10B2E">
            <w:r>
              <w:t>38.93</w:t>
            </w:r>
          </w:p>
        </w:tc>
        <w:tc>
          <w:tcPr>
            <w:tcW w:w="0" w:type="auto"/>
            <w:vAlign w:val="center"/>
            <w:hideMark/>
          </w:tcPr>
          <w:p w14:paraId="3A91F555" w14:textId="77777777" w:rsidR="00F10B2E" w:rsidRDefault="00F10B2E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C7DA1FD" w14:textId="77777777" w:rsidR="00F10B2E" w:rsidRDefault="00F10B2E">
            <w:r>
              <w:t>114</w:t>
            </w:r>
          </w:p>
        </w:tc>
        <w:tc>
          <w:tcPr>
            <w:tcW w:w="0" w:type="auto"/>
            <w:vAlign w:val="center"/>
            <w:hideMark/>
          </w:tcPr>
          <w:p w14:paraId="4ABC0DCC" w14:textId="77777777" w:rsidR="00F10B2E" w:rsidRDefault="00F10B2E">
            <w:r>
              <w:rPr>
                <w:rStyle w:val="Strong"/>
              </w:rPr>
              <w:t>4</w:t>
            </w:r>
          </w:p>
        </w:tc>
      </w:tr>
      <w:tr w:rsidR="00F10B2E" w14:paraId="3FFFD356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DDFA" w14:textId="77777777" w:rsidR="00F10B2E" w:rsidRDefault="00F10B2E">
            <w:r>
              <w:t>175</w:t>
            </w:r>
          </w:p>
        </w:tc>
        <w:tc>
          <w:tcPr>
            <w:tcW w:w="0" w:type="auto"/>
            <w:vAlign w:val="center"/>
            <w:hideMark/>
          </w:tcPr>
          <w:p w14:paraId="79FB7577" w14:textId="77777777" w:rsidR="00F10B2E" w:rsidRDefault="00F10B2E">
            <w:r>
              <w:t>51.78</w:t>
            </w:r>
          </w:p>
        </w:tc>
        <w:tc>
          <w:tcPr>
            <w:tcW w:w="0" w:type="auto"/>
            <w:vAlign w:val="center"/>
            <w:hideMark/>
          </w:tcPr>
          <w:p w14:paraId="3ED65888" w14:textId="77777777" w:rsidR="00F10B2E" w:rsidRDefault="00F10B2E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00F2E73" w14:textId="77777777" w:rsidR="00F10B2E" w:rsidRDefault="00F10B2E">
            <w:r>
              <w:t>144</w:t>
            </w:r>
          </w:p>
        </w:tc>
        <w:tc>
          <w:tcPr>
            <w:tcW w:w="0" w:type="auto"/>
            <w:vAlign w:val="center"/>
            <w:hideMark/>
          </w:tcPr>
          <w:p w14:paraId="2175D1D6" w14:textId="77777777" w:rsidR="00F10B2E" w:rsidRDefault="00F10B2E">
            <w:r>
              <w:t>3</w:t>
            </w:r>
          </w:p>
        </w:tc>
      </w:tr>
      <w:tr w:rsidR="00F10B2E" w14:paraId="6584B3FB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66DA" w14:textId="77777777" w:rsidR="00F10B2E" w:rsidRDefault="00F10B2E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5185A684" w14:textId="77777777" w:rsidR="00F10B2E" w:rsidRDefault="00F10B2E">
            <w:r>
              <w:t>66.23</w:t>
            </w:r>
          </w:p>
        </w:tc>
        <w:tc>
          <w:tcPr>
            <w:tcW w:w="0" w:type="auto"/>
            <w:vAlign w:val="center"/>
            <w:hideMark/>
          </w:tcPr>
          <w:p w14:paraId="0F51F052" w14:textId="77777777" w:rsidR="00F10B2E" w:rsidRDefault="00F10B2E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57D2F83" w14:textId="77777777" w:rsidR="00F10B2E" w:rsidRDefault="00F10B2E">
            <w:r>
              <w:t>188</w:t>
            </w:r>
          </w:p>
        </w:tc>
        <w:tc>
          <w:tcPr>
            <w:tcW w:w="0" w:type="auto"/>
            <w:vAlign w:val="center"/>
            <w:hideMark/>
          </w:tcPr>
          <w:p w14:paraId="3E94977F" w14:textId="77777777" w:rsidR="00F10B2E" w:rsidRDefault="00F10B2E">
            <w:r>
              <w:t>2</w:t>
            </w:r>
          </w:p>
        </w:tc>
      </w:tr>
    </w:tbl>
    <w:p w14:paraId="3A15DC49" w14:textId="061577B7" w:rsidR="00F10B2E" w:rsidRDefault="00F10B2E" w:rsidP="00F10B2E">
      <w:pPr>
        <w:pStyle w:val="NormalWeb"/>
      </w:pPr>
      <w:r>
        <w:t>Thresholds below 150 km lead to sparse weight matrices with many isolates (28 at 100 km). Distances ≥150 km produce well-connected systems with very few isolates while avoiding excessive neighbor counts.</w:t>
      </w:r>
    </w:p>
    <w:p w14:paraId="73B0A426" w14:textId="5C96458F" w:rsidR="00F10B2E" w:rsidRDefault="00F10B2E" w:rsidP="00F10B2E">
      <w:pPr>
        <w:pStyle w:val="Heading3"/>
      </w:pPr>
      <w:r>
        <w:rPr>
          <w:rStyle w:val="Strong"/>
          <w:b/>
          <w:bCs/>
        </w:rPr>
        <w:t>Table S2 Spatial autocorrelation of OLS residuals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114"/>
        <w:gridCol w:w="856"/>
      </w:tblGrid>
      <w:tr w:rsidR="00F10B2E" w14:paraId="6A122F08" w14:textId="77777777" w:rsidTr="00F10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63885" w14:textId="77777777" w:rsidR="00F10B2E" w:rsidRDefault="00F10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 (km)</w:t>
            </w:r>
          </w:p>
        </w:tc>
        <w:tc>
          <w:tcPr>
            <w:tcW w:w="0" w:type="auto"/>
            <w:vAlign w:val="center"/>
            <w:hideMark/>
          </w:tcPr>
          <w:p w14:paraId="500323C0" w14:textId="77777777" w:rsidR="00F10B2E" w:rsidRDefault="00F10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Moran’s I</w:t>
            </w:r>
          </w:p>
        </w:tc>
        <w:tc>
          <w:tcPr>
            <w:tcW w:w="0" w:type="auto"/>
            <w:vAlign w:val="center"/>
            <w:hideMark/>
          </w:tcPr>
          <w:p w14:paraId="237F69FF" w14:textId="77777777" w:rsidR="00F10B2E" w:rsidRDefault="00F10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p-value</w:t>
            </w:r>
          </w:p>
        </w:tc>
      </w:tr>
      <w:tr w:rsidR="00F10B2E" w14:paraId="2EEDB391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261D" w14:textId="77777777" w:rsidR="00F10B2E" w:rsidRDefault="00F10B2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4BFA0911" w14:textId="77777777" w:rsidR="00F10B2E" w:rsidRDefault="00F10B2E">
            <w:r>
              <w:t>0.2103</w:t>
            </w:r>
          </w:p>
        </w:tc>
        <w:tc>
          <w:tcPr>
            <w:tcW w:w="0" w:type="auto"/>
            <w:vAlign w:val="center"/>
            <w:hideMark/>
          </w:tcPr>
          <w:p w14:paraId="523AA58B" w14:textId="77777777" w:rsidR="00F10B2E" w:rsidRDefault="00F10B2E">
            <w:r>
              <w:t>0.002</w:t>
            </w:r>
          </w:p>
        </w:tc>
      </w:tr>
      <w:tr w:rsidR="00F10B2E" w14:paraId="2ED5037C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94FE" w14:textId="77777777" w:rsidR="00F10B2E" w:rsidRDefault="00F10B2E">
            <w:r>
              <w:t>125</w:t>
            </w:r>
          </w:p>
        </w:tc>
        <w:tc>
          <w:tcPr>
            <w:tcW w:w="0" w:type="auto"/>
            <w:vAlign w:val="center"/>
            <w:hideMark/>
          </w:tcPr>
          <w:p w14:paraId="7A76D3E0" w14:textId="77777777" w:rsidR="00F10B2E" w:rsidRDefault="00F10B2E">
            <w:r>
              <w:t>0.1547</w:t>
            </w:r>
          </w:p>
        </w:tc>
        <w:tc>
          <w:tcPr>
            <w:tcW w:w="0" w:type="auto"/>
            <w:vAlign w:val="center"/>
            <w:hideMark/>
          </w:tcPr>
          <w:p w14:paraId="3BAB1F1A" w14:textId="77777777" w:rsidR="00F10B2E" w:rsidRDefault="00F10B2E">
            <w:r>
              <w:t>0.001</w:t>
            </w:r>
          </w:p>
        </w:tc>
      </w:tr>
      <w:tr w:rsidR="00F10B2E" w14:paraId="3FD40133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7A1F" w14:textId="77777777" w:rsidR="00F10B2E" w:rsidRDefault="00F10B2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63A0DB70" w14:textId="77777777" w:rsidR="00F10B2E" w:rsidRDefault="00F10B2E">
            <w:r>
              <w:t>0.1293</w:t>
            </w:r>
          </w:p>
        </w:tc>
        <w:tc>
          <w:tcPr>
            <w:tcW w:w="0" w:type="auto"/>
            <w:vAlign w:val="center"/>
            <w:hideMark/>
          </w:tcPr>
          <w:p w14:paraId="2D0F5246" w14:textId="77777777" w:rsidR="00F10B2E" w:rsidRDefault="00F10B2E">
            <w:r>
              <w:t>0.001</w:t>
            </w:r>
          </w:p>
        </w:tc>
      </w:tr>
      <w:tr w:rsidR="00F10B2E" w14:paraId="441E291A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DD17" w14:textId="77777777" w:rsidR="00F10B2E" w:rsidRDefault="00F10B2E">
            <w:r>
              <w:t>175</w:t>
            </w:r>
          </w:p>
        </w:tc>
        <w:tc>
          <w:tcPr>
            <w:tcW w:w="0" w:type="auto"/>
            <w:vAlign w:val="center"/>
            <w:hideMark/>
          </w:tcPr>
          <w:p w14:paraId="5DB493D8" w14:textId="77777777" w:rsidR="00F10B2E" w:rsidRDefault="00F10B2E">
            <w:r>
              <w:t>0.0999</w:t>
            </w:r>
          </w:p>
        </w:tc>
        <w:tc>
          <w:tcPr>
            <w:tcW w:w="0" w:type="auto"/>
            <w:vAlign w:val="center"/>
            <w:hideMark/>
          </w:tcPr>
          <w:p w14:paraId="7398B329" w14:textId="77777777" w:rsidR="00F10B2E" w:rsidRDefault="00F10B2E">
            <w:r>
              <w:t>0.001</w:t>
            </w:r>
          </w:p>
        </w:tc>
      </w:tr>
      <w:tr w:rsidR="00F10B2E" w14:paraId="427F078D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9200" w14:textId="77777777" w:rsidR="00F10B2E" w:rsidRDefault="00F10B2E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40BCF5BF" w14:textId="77777777" w:rsidR="00F10B2E" w:rsidRDefault="00F10B2E">
            <w:r>
              <w:t>0.0897</w:t>
            </w:r>
          </w:p>
        </w:tc>
        <w:tc>
          <w:tcPr>
            <w:tcW w:w="0" w:type="auto"/>
            <w:vAlign w:val="center"/>
            <w:hideMark/>
          </w:tcPr>
          <w:p w14:paraId="2C2C81DF" w14:textId="77777777" w:rsidR="00F10B2E" w:rsidRDefault="00F10B2E">
            <w:r>
              <w:t>0.002</w:t>
            </w:r>
          </w:p>
        </w:tc>
      </w:tr>
    </w:tbl>
    <w:p w14:paraId="38BEE36A" w14:textId="4FC9A6EB" w:rsidR="00F10B2E" w:rsidRDefault="00F10B2E" w:rsidP="00F10B2E">
      <w:pPr>
        <w:pStyle w:val="NormalWeb"/>
      </w:pPr>
      <w:r>
        <w:lastRenderedPageBreak/>
        <w:t xml:space="preserve">OLS residuals show </w:t>
      </w:r>
      <w:r>
        <w:rPr>
          <w:rStyle w:val="Strong"/>
        </w:rPr>
        <w:t>persistent positive spatial autocorrelation</w:t>
      </w:r>
      <w:r>
        <w:t xml:space="preserve"> for all distances tested, confirming that a spatial model is required. While Moran’s I decreases as d increases, it remains strongly significant throughout the range.</w:t>
      </w:r>
    </w:p>
    <w:p w14:paraId="0E273DB1" w14:textId="7015E9F2" w:rsidR="00F10B2E" w:rsidRDefault="00F10B2E" w:rsidP="00F10B2E">
      <w:pPr>
        <w:pStyle w:val="Heading3"/>
      </w:pPr>
      <w:r>
        <w:rPr>
          <w:rStyle w:val="Strong"/>
          <w:b/>
          <w:bCs/>
        </w:rPr>
        <w:t>Table S3 GWR residual spatial autocorrelation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214"/>
        <w:gridCol w:w="1100"/>
        <w:gridCol w:w="1114"/>
        <w:gridCol w:w="856"/>
      </w:tblGrid>
      <w:tr w:rsidR="00F10B2E" w14:paraId="59CC0854" w14:textId="77777777" w:rsidTr="00F10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65D29" w14:textId="77777777" w:rsidR="00F10B2E" w:rsidRDefault="00F10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 (km)</w:t>
            </w:r>
          </w:p>
        </w:tc>
        <w:tc>
          <w:tcPr>
            <w:tcW w:w="0" w:type="auto"/>
            <w:vAlign w:val="center"/>
            <w:hideMark/>
          </w:tcPr>
          <w:p w14:paraId="61E0A7AA" w14:textId="77777777" w:rsidR="00F10B2E" w:rsidRDefault="00F10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028D0053" w14:textId="77777777" w:rsidR="00F10B2E" w:rsidRDefault="00F10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AICc</w:t>
            </w:r>
          </w:p>
        </w:tc>
        <w:tc>
          <w:tcPr>
            <w:tcW w:w="0" w:type="auto"/>
            <w:vAlign w:val="center"/>
            <w:hideMark/>
          </w:tcPr>
          <w:p w14:paraId="76522247" w14:textId="77777777" w:rsidR="00F10B2E" w:rsidRDefault="00F10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Moran’s I</w:t>
            </w:r>
          </w:p>
        </w:tc>
        <w:tc>
          <w:tcPr>
            <w:tcW w:w="0" w:type="auto"/>
            <w:vAlign w:val="center"/>
            <w:hideMark/>
          </w:tcPr>
          <w:p w14:paraId="47F9EB7D" w14:textId="77777777" w:rsidR="00F10B2E" w:rsidRDefault="00F10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p-value</w:t>
            </w:r>
          </w:p>
        </w:tc>
      </w:tr>
      <w:tr w:rsidR="00F10B2E" w14:paraId="662B0BE3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6A44" w14:textId="77777777" w:rsidR="00F10B2E" w:rsidRDefault="00F10B2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57C16DD2" w14:textId="77777777" w:rsidR="00F10B2E" w:rsidRDefault="00F10B2E">
            <w:r>
              <w:t>77</w:t>
            </w:r>
          </w:p>
        </w:tc>
        <w:tc>
          <w:tcPr>
            <w:tcW w:w="0" w:type="auto"/>
            <w:vAlign w:val="center"/>
            <w:hideMark/>
          </w:tcPr>
          <w:p w14:paraId="329EF731" w14:textId="77777777" w:rsidR="00F10B2E" w:rsidRDefault="00F10B2E">
            <w:r>
              <w:t>–14040.55</w:t>
            </w:r>
          </w:p>
        </w:tc>
        <w:tc>
          <w:tcPr>
            <w:tcW w:w="0" w:type="auto"/>
            <w:vAlign w:val="center"/>
            <w:hideMark/>
          </w:tcPr>
          <w:p w14:paraId="177DEDD7" w14:textId="77777777" w:rsidR="00F10B2E" w:rsidRDefault="00F10B2E">
            <w:r>
              <w:t>0.0251</w:t>
            </w:r>
          </w:p>
        </w:tc>
        <w:tc>
          <w:tcPr>
            <w:tcW w:w="0" w:type="auto"/>
            <w:vAlign w:val="center"/>
            <w:hideMark/>
          </w:tcPr>
          <w:p w14:paraId="551A1F2E" w14:textId="77777777" w:rsidR="00F10B2E" w:rsidRDefault="00F10B2E">
            <w:r>
              <w:t>0.023</w:t>
            </w:r>
          </w:p>
        </w:tc>
      </w:tr>
      <w:tr w:rsidR="00F10B2E" w14:paraId="1AB95455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FE0D" w14:textId="77777777" w:rsidR="00F10B2E" w:rsidRDefault="00F10B2E">
            <w:r>
              <w:t>125</w:t>
            </w:r>
          </w:p>
        </w:tc>
        <w:tc>
          <w:tcPr>
            <w:tcW w:w="0" w:type="auto"/>
            <w:vAlign w:val="center"/>
            <w:hideMark/>
          </w:tcPr>
          <w:p w14:paraId="28E5F27E" w14:textId="77777777" w:rsidR="00F10B2E" w:rsidRDefault="00F10B2E">
            <w:r>
              <w:t>77</w:t>
            </w:r>
          </w:p>
        </w:tc>
        <w:tc>
          <w:tcPr>
            <w:tcW w:w="0" w:type="auto"/>
            <w:vAlign w:val="center"/>
            <w:hideMark/>
          </w:tcPr>
          <w:p w14:paraId="1894A757" w14:textId="77777777" w:rsidR="00F10B2E" w:rsidRDefault="00F10B2E">
            <w:r>
              <w:t>–14040.55</w:t>
            </w:r>
          </w:p>
        </w:tc>
        <w:tc>
          <w:tcPr>
            <w:tcW w:w="0" w:type="auto"/>
            <w:vAlign w:val="center"/>
            <w:hideMark/>
          </w:tcPr>
          <w:p w14:paraId="19E466BC" w14:textId="77777777" w:rsidR="00F10B2E" w:rsidRDefault="00F10B2E">
            <w:r>
              <w:t>0.0072</w:t>
            </w:r>
          </w:p>
        </w:tc>
        <w:tc>
          <w:tcPr>
            <w:tcW w:w="0" w:type="auto"/>
            <w:vAlign w:val="center"/>
            <w:hideMark/>
          </w:tcPr>
          <w:p w14:paraId="6A4601A0" w14:textId="77777777" w:rsidR="00F10B2E" w:rsidRDefault="00F10B2E">
            <w:r>
              <w:t>0.167</w:t>
            </w:r>
          </w:p>
        </w:tc>
      </w:tr>
      <w:tr w:rsidR="00F10B2E" w14:paraId="7246C96B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085C" w14:textId="77777777" w:rsidR="00F10B2E" w:rsidRDefault="00F10B2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377E9634" w14:textId="77777777" w:rsidR="00F10B2E" w:rsidRDefault="00F10B2E">
            <w:r>
              <w:t>77</w:t>
            </w:r>
          </w:p>
        </w:tc>
        <w:tc>
          <w:tcPr>
            <w:tcW w:w="0" w:type="auto"/>
            <w:vAlign w:val="center"/>
            <w:hideMark/>
          </w:tcPr>
          <w:p w14:paraId="0E550822" w14:textId="77777777" w:rsidR="00F10B2E" w:rsidRDefault="00F10B2E">
            <w:r>
              <w:t>–14040.55</w:t>
            </w:r>
          </w:p>
        </w:tc>
        <w:tc>
          <w:tcPr>
            <w:tcW w:w="0" w:type="auto"/>
            <w:vAlign w:val="center"/>
            <w:hideMark/>
          </w:tcPr>
          <w:p w14:paraId="6F25BF83" w14:textId="77777777" w:rsidR="00F10B2E" w:rsidRDefault="00F10B2E">
            <w:r>
              <w:t>0.0033</w:t>
            </w:r>
          </w:p>
        </w:tc>
        <w:tc>
          <w:tcPr>
            <w:tcW w:w="0" w:type="auto"/>
            <w:vAlign w:val="center"/>
            <w:hideMark/>
          </w:tcPr>
          <w:p w14:paraId="16310984" w14:textId="77777777" w:rsidR="00F10B2E" w:rsidRDefault="00F10B2E">
            <w:r>
              <w:t>0.264</w:t>
            </w:r>
          </w:p>
        </w:tc>
      </w:tr>
      <w:tr w:rsidR="00F10B2E" w14:paraId="3136F443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FE1E" w14:textId="77777777" w:rsidR="00F10B2E" w:rsidRDefault="00F10B2E">
            <w:r>
              <w:t>175</w:t>
            </w:r>
          </w:p>
        </w:tc>
        <w:tc>
          <w:tcPr>
            <w:tcW w:w="0" w:type="auto"/>
            <w:vAlign w:val="center"/>
            <w:hideMark/>
          </w:tcPr>
          <w:p w14:paraId="34867C45" w14:textId="77777777" w:rsidR="00F10B2E" w:rsidRDefault="00F10B2E">
            <w:r>
              <w:t>77</w:t>
            </w:r>
          </w:p>
        </w:tc>
        <w:tc>
          <w:tcPr>
            <w:tcW w:w="0" w:type="auto"/>
            <w:vAlign w:val="center"/>
            <w:hideMark/>
          </w:tcPr>
          <w:p w14:paraId="265A45D3" w14:textId="77777777" w:rsidR="00F10B2E" w:rsidRDefault="00F10B2E">
            <w:r>
              <w:t>–14040.55</w:t>
            </w:r>
          </w:p>
        </w:tc>
        <w:tc>
          <w:tcPr>
            <w:tcW w:w="0" w:type="auto"/>
            <w:vAlign w:val="center"/>
            <w:hideMark/>
          </w:tcPr>
          <w:p w14:paraId="70357290" w14:textId="77777777" w:rsidR="00F10B2E" w:rsidRDefault="00F10B2E">
            <w:r>
              <w:t>0.0027</w:t>
            </w:r>
          </w:p>
        </w:tc>
        <w:tc>
          <w:tcPr>
            <w:tcW w:w="0" w:type="auto"/>
            <w:vAlign w:val="center"/>
            <w:hideMark/>
          </w:tcPr>
          <w:p w14:paraId="4D78E005" w14:textId="77777777" w:rsidR="00F10B2E" w:rsidRDefault="00F10B2E">
            <w:r>
              <w:t>0.271</w:t>
            </w:r>
          </w:p>
        </w:tc>
      </w:tr>
      <w:tr w:rsidR="00F10B2E" w14:paraId="1B7EBE67" w14:textId="77777777" w:rsidTr="00F1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7D04" w14:textId="77777777" w:rsidR="00F10B2E" w:rsidRDefault="00F10B2E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18D9D1A8" w14:textId="77777777" w:rsidR="00F10B2E" w:rsidRDefault="00F10B2E">
            <w:r>
              <w:t>77</w:t>
            </w:r>
          </w:p>
        </w:tc>
        <w:tc>
          <w:tcPr>
            <w:tcW w:w="0" w:type="auto"/>
            <w:vAlign w:val="center"/>
            <w:hideMark/>
          </w:tcPr>
          <w:p w14:paraId="774CCD47" w14:textId="77777777" w:rsidR="00F10B2E" w:rsidRDefault="00F10B2E">
            <w:r>
              <w:t>–14040.55</w:t>
            </w:r>
          </w:p>
        </w:tc>
        <w:tc>
          <w:tcPr>
            <w:tcW w:w="0" w:type="auto"/>
            <w:vAlign w:val="center"/>
            <w:hideMark/>
          </w:tcPr>
          <w:p w14:paraId="586C2649" w14:textId="77777777" w:rsidR="00F10B2E" w:rsidRDefault="00F10B2E">
            <w:r>
              <w:t>0.0042</w:t>
            </w:r>
          </w:p>
        </w:tc>
        <w:tc>
          <w:tcPr>
            <w:tcW w:w="0" w:type="auto"/>
            <w:vAlign w:val="center"/>
            <w:hideMark/>
          </w:tcPr>
          <w:p w14:paraId="4805A459" w14:textId="77777777" w:rsidR="00F10B2E" w:rsidRDefault="00F10B2E">
            <w:r>
              <w:t>0.183</w:t>
            </w:r>
          </w:p>
        </w:tc>
      </w:tr>
    </w:tbl>
    <w:p w14:paraId="685B479D" w14:textId="77777777" w:rsidR="00F10B2E" w:rsidRDefault="00F10B2E" w:rsidP="00F10B2E">
      <w:pPr>
        <w:pStyle w:val="NormalWeb"/>
      </w:pPr>
      <w:r>
        <w:t xml:space="preserve">GWR fits produced identical optimal bandwidths across all distances and substantially reduced residual spatial dependence. For </w:t>
      </w:r>
      <w:r>
        <w:rPr>
          <w:rStyle w:val="Strong"/>
        </w:rPr>
        <w:t>d ≥ 125 km</w:t>
      </w:r>
      <w:r>
        <w:t>, Moran’s I is statistically insignificant, confirming that the model effectively removes spatial autocorrelation.</w:t>
      </w:r>
    </w:p>
    <w:p w14:paraId="10D735D8" w14:textId="009E6201" w:rsidR="00F10B2E" w:rsidRDefault="00F10B2E" w:rsidP="00F10B2E"/>
    <w:p w14:paraId="5EC6F9AC" w14:textId="57A0A42B" w:rsidR="00F10B2E" w:rsidRDefault="00F10B2E" w:rsidP="00F10B2E">
      <w:pPr>
        <w:pStyle w:val="Heading3"/>
      </w:pPr>
      <w:r>
        <w:rPr>
          <w:rStyle w:val="Strong"/>
          <w:b/>
          <w:bCs/>
        </w:rPr>
        <w:t>Choice of the final distance threshold</w:t>
      </w:r>
    </w:p>
    <w:p w14:paraId="12653698" w14:textId="77777777" w:rsidR="00F10B2E" w:rsidRDefault="00F10B2E" w:rsidP="00F10B2E">
      <w:pPr>
        <w:pStyle w:val="NormalWeb"/>
      </w:pPr>
      <w:r>
        <w:t xml:space="preserve">Based on these results, we selected </w:t>
      </w:r>
      <w:r>
        <w:rPr>
          <w:rStyle w:val="Strong"/>
        </w:rPr>
        <w:t>d = 150 km</w:t>
      </w:r>
      <w:r>
        <w:t xml:space="preserve"> because it:</w:t>
      </w:r>
    </w:p>
    <w:p w14:paraId="4FEC2967" w14:textId="77777777" w:rsidR="00F10B2E" w:rsidRDefault="00F10B2E" w:rsidP="00F10B2E">
      <w:pPr>
        <w:pStyle w:val="NormalWeb"/>
        <w:numPr>
          <w:ilvl w:val="0"/>
          <w:numId w:val="3"/>
        </w:numPr>
      </w:pPr>
      <w:r>
        <w:t>reduces spatial isolates to a minimal level (4 units),</w:t>
      </w:r>
    </w:p>
    <w:p w14:paraId="31FD397F" w14:textId="77777777" w:rsidR="00F10B2E" w:rsidRDefault="00F10B2E" w:rsidP="00F10B2E">
      <w:pPr>
        <w:pStyle w:val="NormalWeb"/>
        <w:numPr>
          <w:ilvl w:val="0"/>
          <w:numId w:val="3"/>
        </w:numPr>
      </w:pPr>
      <w:r>
        <w:t>preserves a reasonable and interpretable number of neighbors,</w:t>
      </w:r>
    </w:p>
    <w:p w14:paraId="5A939840" w14:textId="77777777" w:rsidR="00F10B2E" w:rsidRDefault="00F10B2E" w:rsidP="00F10B2E">
      <w:pPr>
        <w:pStyle w:val="NormalWeb"/>
        <w:numPr>
          <w:ilvl w:val="0"/>
          <w:numId w:val="3"/>
        </w:numPr>
      </w:pPr>
      <w:r>
        <w:t>avoids excessive neighborhood density at very large distances,</w:t>
      </w:r>
    </w:p>
    <w:p w14:paraId="6B44A44B" w14:textId="77777777" w:rsidR="00F10B2E" w:rsidRDefault="00F10B2E" w:rsidP="00F10B2E">
      <w:pPr>
        <w:pStyle w:val="NormalWeb"/>
        <w:numPr>
          <w:ilvl w:val="0"/>
          <w:numId w:val="3"/>
        </w:numPr>
      </w:pPr>
      <w:r>
        <w:t>corresponds to the point where Moran’s I stabilizes and remains highly significant,</w:t>
      </w:r>
    </w:p>
    <w:p w14:paraId="435FB14E" w14:textId="77777777" w:rsidR="00F10B2E" w:rsidRDefault="00F10B2E" w:rsidP="00F10B2E">
      <w:pPr>
        <w:pStyle w:val="NormalWeb"/>
        <w:numPr>
          <w:ilvl w:val="0"/>
          <w:numId w:val="3"/>
        </w:numPr>
      </w:pPr>
      <w:r>
        <w:t>yields GWR residuals without significant spatial autocorrelation.</w:t>
      </w:r>
    </w:p>
    <w:p w14:paraId="4921D214" w14:textId="77777777" w:rsidR="00F10B2E" w:rsidRDefault="00F10B2E" w:rsidP="00F10B2E">
      <w:pPr>
        <w:pStyle w:val="NormalWeb"/>
      </w:pPr>
      <w:r>
        <w:t xml:space="preserve">Thus, </w:t>
      </w:r>
      <w:r>
        <w:rPr>
          <w:rStyle w:val="Strong"/>
        </w:rPr>
        <w:t>150 km provides an optimal balance between connectivity, locality, and model performance</w:t>
      </w:r>
      <w:r>
        <w:t>, and all spatial results are robust to alternative thresholds within the 100–200 km range.</w:t>
      </w:r>
    </w:p>
    <w:p w14:paraId="284998D5" w14:textId="2B815D2B" w:rsidR="00F10B2E" w:rsidRDefault="00F10B2E" w:rsidP="00F10B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i/>
          <w:iCs/>
          <w:sz w:val="27"/>
          <w:szCs w:val="27"/>
          <w:lang w:eastAsia="en-GB"/>
        </w:rPr>
      </w:pPr>
    </w:p>
    <w:p w14:paraId="1CDFFE82" w14:textId="48C6F9E9" w:rsidR="00F10B2E" w:rsidRDefault="00F10B2E" w:rsidP="006D5F2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i/>
          <w:iCs/>
          <w:sz w:val="27"/>
          <w:szCs w:val="27"/>
          <w:lang w:eastAsia="en-GB"/>
        </w:rPr>
      </w:pPr>
    </w:p>
    <w:p w14:paraId="146E35E4" w14:textId="631621ED" w:rsidR="00F10B2E" w:rsidRDefault="00F10B2E" w:rsidP="006D5F2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i/>
          <w:iCs/>
          <w:sz w:val="27"/>
          <w:szCs w:val="27"/>
          <w:lang w:eastAsia="en-GB"/>
        </w:rPr>
      </w:pPr>
    </w:p>
    <w:p w14:paraId="6320607B" w14:textId="6C223149" w:rsidR="00F10B2E" w:rsidRDefault="00F10B2E" w:rsidP="006D5F2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i/>
          <w:iCs/>
          <w:sz w:val="27"/>
          <w:szCs w:val="27"/>
          <w:lang w:eastAsia="en-GB"/>
        </w:rPr>
      </w:pPr>
    </w:p>
    <w:p w14:paraId="76C9BF38" w14:textId="77777777" w:rsidR="00F10B2E" w:rsidRDefault="00F10B2E" w:rsidP="006D5F2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i/>
          <w:iCs/>
          <w:sz w:val="27"/>
          <w:szCs w:val="27"/>
          <w:lang w:eastAsia="en-GB"/>
        </w:rPr>
      </w:pPr>
    </w:p>
    <w:p w14:paraId="26F0E10A" w14:textId="3B44313C" w:rsidR="006D5F25" w:rsidRPr="006D5F25" w:rsidRDefault="00F10B2E" w:rsidP="006D5F2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>
        <w:rPr>
          <w:rFonts w:eastAsia="Times New Roman" w:cs="Times New Roman"/>
          <w:b/>
          <w:bCs/>
          <w:i/>
          <w:iCs/>
          <w:sz w:val="27"/>
          <w:szCs w:val="27"/>
          <w:lang w:eastAsia="en-GB"/>
        </w:rPr>
        <w:lastRenderedPageBreak/>
        <w:t xml:space="preserve">SI.2 </w:t>
      </w:r>
      <w:r w:rsidR="006D5F25" w:rsidRPr="006D5F25">
        <w:rPr>
          <w:rFonts w:eastAsia="Times New Roman" w:cs="Times New Roman"/>
          <w:b/>
          <w:bCs/>
          <w:i/>
          <w:iCs/>
          <w:sz w:val="27"/>
          <w:szCs w:val="27"/>
          <w:lang w:eastAsia="en-GB"/>
        </w:rPr>
        <w:t>Variance Inflation Factor (VIF) Analysis</w:t>
      </w:r>
    </w:p>
    <w:p w14:paraId="01F5F535" w14:textId="77777777" w:rsidR="006D5F25" w:rsidRPr="006D5F25" w:rsidRDefault="006D5F25" w:rsidP="006D5F2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GB"/>
        </w:rPr>
      </w:pPr>
      <w:r w:rsidRPr="006D5F25">
        <w:rPr>
          <w:rFonts w:eastAsia="Times New Roman" w:cs="Times New Roman"/>
          <w:szCs w:val="24"/>
          <w:lang w:eastAsia="en-GB"/>
        </w:rPr>
        <w:t xml:space="preserve">To evaluate multicollinearity among predictors, we computed the Variance Inflation Factors (VIFs) using the standardized design matrix prior to model fitting. VIF values were calculated with the </w:t>
      </w:r>
      <w:r w:rsidRPr="006D5F25">
        <w:rPr>
          <w:rFonts w:ascii="Courier New" w:eastAsia="Times New Roman" w:hAnsi="Courier New" w:cs="Courier New"/>
          <w:sz w:val="20"/>
          <w:szCs w:val="20"/>
          <w:lang w:eastAsia="en-GB"/>
        </w:rPr>
        <w:t>variance_inflation_factor</w:t>
      </w:r>
      <w:r w:rsidRPr="006D5F25">
        <w:rPr>
          <w:rFonts w:eastAsia="Times New Roman" w:cs="Times New Roman"/>
          <w:szCs w:val="24"/>
          <w:lang w:eastAsia="en-GB"/>
        </w:rPr>
        <w:t xml:space="preserve"> function from the </w:t>
      </w:r>
      <w:r w:rsidRPr="006D5F25">
        <w:rPr>
          <w:rFonts w:eastAsia="Times New Roman" w:cs="Times New Roman"/>
          <w:b/>
          <w:bCs/>
          <w:szCs w:val="24"/>
          <w:lang w:eastAsia="en-GB"/>
        </w:rPr>
        <w:t>statsmodels</w:t>
      </w:r>
      <w:r w:rsidRPr="006D5F25">
        <w:rPr>
          <w:rFonts w:eastAsia="Times New Roman" w:cs="Times New Roman"/>
          <w:szCs w:val="24"/>
          <w:lang w:eastAsia="en-GB"/>
        </w:rPr>
        <w:t xml:space="preserve"> package. The results are reported in Table S1.</w:t>
      </w:r>
    </w:p>
    <w:p w14:paraId="53CCAB0C" w14:textId="77777777" w:rsidR="006D5F25" w:rsidRPr="006D5F25" w:rsidRDefault="006D5F25" w:rsidP="006D5F2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GB"/>
        </w:rPr>
      </w:pPr>
      <w:r w:rsidRPr="006D5F25">
        <w:rPr>
          <w:rFonts w:eastAsia="Times New Roman" w:cs="Times New Roman"/>
          <w:szCs w:val="24"/>
          <w:lang w:eastAsia="en-GB"/>
        </w:rPr>
        <w:t>The majority of predictors show VIF &lt; 5, indicating acceptable levels of multicollinearity. Higher VIFs were observed for seasonal mean temperature variables (</w:t>
      </w:r>
      <w:r w:rsidRPr="006D5F25">
        <w:rPr>
          <w:rFonts w:eastAsia="Times New Roman" w:cs="Times New Roman"/>
          <w:b/>
          <w:bCs/>
          <w:szCs w:val="24"/>
          <w:lang w:eastAsia="en-GB"/>
        </w:rPr>
        <w:t>Mean_T_Spring</w:t>
      </w:r>
      <w:r w:rsidRPr="006D5F25">
        <w:rPr>
          <w:rFonts w:eastAsia="Times New Roman" w:cs="Times New Roman"/>
          <w:szCs w:val="24"/>
          <w:lang w:eastAsia="en-GB"/>
        </w:rPr>
        <w:t xml:space="preserve"> = 144.86; </w:t>
      </w:r>
      <w:r w:rsidRPr="006D5F25">
        <w:rPr>
          <w:rFonts w:eastAsia="Times New Roman" w:cs="Times New Roman"/>
          <w:b/>
          <w:bCs/>
          <w:szCs w:val="24"/>
          <w:lang w:eastAsia="en-GB"/>
        </w:rPr>
        <w:t>Mean_T_Summer</w:t>
      </w:r>
      <w:r w:rsidRPr="006D5F25">
        <w:rPr>
          <w:rFonts w:eastAsia="Times New Roman" w:cs="Times New Roman"/>
          <w:szCs w:val="24"/>
          <w:lang w:eastAsia="en-GB"/>
        </w:rPr>
        <w:t xml:space="preserve"> = 187.94), reflecting the strong cross-seasonal correlation typical of European climate gradients. This aligns with our modelling strategy: among seasonal mean temperatures, only </w:t>
      </w:r>
      <w:r w:rsidRPr="006D5F25">
        <w:rPr>
          <w:rFonts w:eastAsia="Times New Roman" w:cs="Times New Roman"/>
          <w:b/>
          <w:bCs/>
          <w:szCs w:val="24"/>
          <w:lang w:eastAsia="en-GB"/>
        </w:rPr>
        <w:t>Mean_T_Spring</w:t>
      </w:r>
      <w:r w:rsidRPr="006D5F25">
        <w:rPr>
          <w:rFonts w:eastAsia="Times New Roman" w:cs="Times New Roman"/>
          <w:szCs w:val="24"/>
          <w:lang w:eastAsia="en-GB"/>
        </w:rPr>
        <w:t xml:space="preserve"> was retained in the final model to avoid redundancy. After this adjustment, all remaining predictors display VIF values below commonly used thresholds of concern (VIF &lt; 10).</w:t>
      </w:r>
    </w:p>
    <w:p w14:paraId="6DCADF6C" w14:textId="77777777" w:rsidR="006D5F25" w:rsidRPr="006D5F25" w:rsidRDefault="006D5F25" w:rsidP="006D5F2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GB"/>
        </w:rPr>
      </w:pPr>
      <w:r w:rsidRPr="006D5F25">
        <w:rPr>
          <w:rFonts w:eastAsia="Times New Roman" w:cs="Times New Roman"/>
          <w:szCs w:val="24"/>
          <w:lang w:eastAsia="en-GB"/>
        </w:rPr>
        <w:t>These diagnostics confirm that the final model is not unduly affected by multicollinearity.</w:t>
      </w:r>
    </w:p>
    <w:p w14:paraId="1AEA30F1" w14:textId="5EB5FCC9" w:rsidR="006D5F25" w:rsidRPr="006D5F25" w:rsidRDefault="006D5F25" w:rsidP="006D5F2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6D5F25">
        <w:rPr>
          <w:rFonts w:eastAsia="Times New Roman" w:cs="Times New Roman"/>
          <w:b/>
          <w:bCs/>
          <w:sz w:val="27"/>
          <w:szCs w:val="27"/>
          <w:lang w:eastAsia="en-GB"/>
        </w:rPr>
        <w:t>Table S</w:t>
      </w:r>
      <w:r w:rsidR="001161E0">
        <w:rPr>
          <w:rFonts w:eastAsia="Times New Roman" w:cs="Times New Roman"/>
          <w:b/>
          <w:bCs/>
          <w:sz w:val="27"/>
          <w:szCs w:val="27"/>
          <w:lang w:eastAsia="en-GB"/>
        </w:rPr>
        <w:t>4</w:t>
      </w:r>
      <w:r w:rsidRPr="006D5F25">
        <w:rPr>
          <w:rFonts w:eastAsia="Times New Roman" w:cs="Times New Roman"/>
          <w:b/>
          <w:bCs/>
          <w:sz w:val="27"/>
          <w:szCs w:val="27"/>
          <w:lang w:eastAsia="en-GB"/>
        </w:rPr>
        <w:t>. Variance Inflation Factors (VIFs) for all predictors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755"/>
      </w:tblGrid>
      <w:tr w:rsidR="006D5F25" w:rsidRPr="006D5F25" w14:paraId="52C7DD9F" w14:textId="77777777" w:rsidTr="001161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44706" w14:textId="77777777" w:rsidR="006D5F25" w:rsidRPr="006D5F25" w:rsidRDefault="006D5F25" w:rsidP="006D5F2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b/>
                <w:bCs/>
                <w:szCs w:val="24"/>
                <w:lang w:eastAsia="en-GB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30570DF" w14:textId="77777777" w:rsidR="006D5F25" w:rsidRPr="006D5F25" w:rsidRDefault="006D5F25" w:rsidP="006D5F2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b/>
                <w:bCs/>
                <w:szCs w:val="24"/>
                <w:lang w:eastAsia="en-GB"/>
              </w:rPr>
              <w:t>VIF</w:t>
            </w:r>
          </w:p>
        </w:tc>
      </w:tr>
      <w:tr w:rsidR="006D5F25" w:rsidRPr="006D5F25" w14:paraId="34A43500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08F5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Mean_T_Summer</w:t>
            </w:r>
          </w:p>
        </w:tc>
        <w:tc>
          <w:tcPr>
            <w:tcW w:w="0" w:type="auto"/>
            <w:vAlign w:val="center"/>
            <w:hideMark/>
          </w:tcPr>
          <w:p w14:paraId="5BFA83EE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187.94</w:t>
            </w:r>
          </w:p>
        </w:tc>
      </w:tr>
      <w:tr w:rsidR="006D5F25" w:rsidRPr="006D5F25" w14:paraId="1A6C61A8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1E4A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Mean_T_Spring</w:t>
            </w:r>
          </w:p>
        </w:tc>
        <w:tc>
          <w:tcPr>
            <w:tcW w:w="0" w:type="auto"/>
            <w:vAlign w:val="center"/>
            <w:hideMark/>
          </w:tcPr>
          <w:p w14:paraId="72A0B5D3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144.86</w:t>
            </w:r>
          </w:p>
        </w:tc>
      </w:tr>
      <w:tr w:rsidR="006D5F25" w:rsidRPr="006D5F25" w14:paraId="081D21A3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2334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Max_DD_Autumn</w:t>
            </w:r>
          </w:p>
        </w:tc>
        <w:tc>
          <w:tcPr>
            <w:tcW w:w="0" w:type="auto"/>
            <w:vAlign w:val="center"/>
            <w:hideMark/>
          </w:tcPr>
          <w:p w14:paraId="39B24C12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10.79</w:t>
            </w:r>
          </w:p>
        </w:tc>
      </w:tr>
      <w:tr w:rsidR="006D5F25" w:rsidRPr="006D5F25" w14:paraId="71699B3E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2E8C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Max_DD_Winter</w:t>
            </w:r>
          </w:p>
        </w:tc>
        <w:tc>
          <w:tcPr>
            <w:tcW w:w="0" w:type="auto"/>
            <w:vAlign w:val="center"/>
            <w:hideMark/>
          </w:tcPr>
          <w:p w14:paraId="7C26A3DF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10.64</w:t>
            </w:r>
          </w:p>
        </w:tc>
      </w:tr>
      <w:tr w:rsidR="006D5F25" w:rsidRPr="006D5F25" w14:paraId="0523EF8C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95D4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Max_WD_Winter</w:t>
            </w:r>
          </w:p>
        </w:tc>
        <w:tc>
          <w:tcPr>
            <w:tcW w:w="0" w:type="auto"/>
            <w:vAlign w:val="center"/>
            <w:hideMark/>
          </w:tcPr>
          <w:p w14:paraId="6901CD0A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5.14</w:t>
            </w:r>
          </w:p>
        </w:tc>
      </w:tr>
      <w:tr w:rsidR="006D5F25" w:rsidRPr="006D5F25" w14:paraId="11B36EA4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8B73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Mean_P_Winter</w:t>
            </w:r>
          </w:p>
        </w:tc>
        <w:tc>
          <w:tcPr>
            <w:tcW w:w="0" w:type="auto"/>
            <w:vAlign w:val="center"/>
            <w:hideMark/>
          </w:tcPr>
          <w:p w14:paraId="5957A074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4.34</w:t>
            </w:r>
          </w:p>
        </w:tc>
      </w:tr>
      <w:tr w:rsidR="006D5F25" w:rsidRPr="006D5F25" w14:paraId="17A521FE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3DA8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Max_DD_Spring</w:t>
            </w:r>
          </w:p>
        </w:tc>
        <w:tc>
          <w:tcPr>
            <w:tcW w:w="0" w:type="auto"/>
            <w:vAlign w:val="center"/>
            <w:hideMark/>
          </w:tcPr>
          <w:p w14:paraId="705212B8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3.84</w:t>
            </w:r>
          </w:p>
        </w:tc>
      </w:tr>
      <w:tr w:rsidR="006D5F25" w:rsidRPr="006D5F25" w14:paraId="13EF441C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DE92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Max_WD_Autumn</w:t>
            </w:r>
          </w:p>
        </w:tc>
        <w:tc>
          <w:tcPr>
            <w:tcW w:w="0" w:type="auto"/>
            <w:vAlign w:val="center"/>
            <w:hideMark/>
          </w:tcPr>
          <w:p w14:paraId="230863F4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3.61</w:t>
            </w:r>
          </w:p>
        </w:tc>
      </w:tr>
      <w:tr w:rsidR="006D5F25" w:rsidRPr="006D5F25" w14:paraId="4D886B84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B00D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14:paraId="7DB2C04E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2.24</w:t>
            </w:r>
          </w:p>
        </w:tc>
      </w:tr>
      <w:tr w:rsidR="006D5F25" w:rsidRPr="006D5F25" w14:paraId="4E8840B6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9879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Forest</w:t>
            </w:r>
          </w:p>
        </w:tc>
        <w:tc>
          <w:tcPr>
            <w:tcW w:w="0" w:type="auto"/>
            <w:vAlign w:val="center"/>
            <w:hideMark/>
          </w:tcPr>
          <w:p w14:paraId="3D93148D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1.89</w:t>
            </w:r>
          </w:p>
        </w:tc>
      </w:tr>
      <w:tr w:rsidR="006D5F25" w:rsidRPr="006D5F25" w14:paraId="52D9DB5F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57A3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gdp</w:t>
            </w:r>
          </w:p>
        </w:tc>
        <w:tc>
          <w:tcPr>
            <w:tcW w:w="0" w:type="auto"/>
            <w:vAlign w:val="center"/>
            <w:hideMark/>
          </w:tcPr>
          <w:p w14:paraId="6C59FA07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1.62</w:t>
            </w:r>
          </w:p>
        </w:tc>
      </w:tr>
      <w:tr w:rsidR="006D5F25" w:rsidRPr="006D5F25" w14:paraId="7E0387FC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BD08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Urban</w:t>
            </w:r>
          </w:p>
        </w:tc>
        <w:tc>
          <w:tcPr>
            <w:tcW w:w="0" w:type="auto"/>
            <w:vAlign w:val="center"/>
            <w:hideMark/>
          </w:tcPr>
          <w:p w14:paraId="457D9680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1.59</w:t>
            </w:r>
          </w:p>
        </w:tc>
      </w:tr>
      <w:tr w:rsidR="006D5F25" w:rsidRPr="006D5F25" w14:paraId="2376B7C3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C66E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48BD5BC7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1.49</w:t>
            </w:r>
          </w:p>
        </w:tc>
      </w:tr>
      <w:tr w:rsidR="006D5F25" w:rsidRPr="006D5F25" w14:paraId="0A4D5A25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7ED8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Shrub</w:t>
            </w:r>
          </w:p>
        </w:tc>
        <w:tc>
          <w:tcPr>
            <w:tcW w:w="0" w:type="auto"/>
            <w:vAlign w:val="center"/>
            <w:hideMark/>
          </w:tcPr>
          <w:p w14:paraId="3C32F77D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1.40</w:t>
            </w:r>
          </w:p>
        </w:tc>
      </w:tr>
      <w:tr w:rsidR="006D5F25" w:rsidRPr="006D5F25" w14:paraId="487B279D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E7DA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pop_dens</w:t>
            </w:r>
          </w:p>
        </w:tc>
        <w:tc>
          <w:tcPr>
            <w:tcW w:w="0" w:type="auto"/>
            <w:vAlign w:val="center"/>
            <w:hideMark/>
          </w:tcPr>
          <w:p w14:paraId="7CD668B0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1.33</w:t>
            </w:r>
          </w:p>
        </w:tc>
      </w:tr>
      <w:tr w:rsidR="006D5F25" w:rsidRPr="006D5F25" w14:paraId="2686F2E3" w14:textId="77777777" w:rsidTr="0011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9FA8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4E18BFE7" w14:textId="77777777" w:rsidR="006D5F25" w:rsidRPr="006D5F25" w:rsidRDefault="006D5F25" w:rsidP="006D5F25">
            <w:pPr>
              <w:spacing w:after="0" w:line="240" w:lineRule="auto"/>
              <w:rPr>
                <w:rFonts w:eastAsia="Times New Roman" w:cs="Times New Roman"/>
                <w:szCs w:val="24"/>
                <w:lang w:eastAsia="en-GB"/>
              </w:rPr>
            </w:pPr>
            <w:r w:rsidRPr="006D5F25">
              <w:rPr>
                <w:rFonts w:eastAsia="Times New Roman" w:cs="Times New Roman"/>
                <w:szCs w:val="24"/>
                <w:lang w:eastAsia="en-GB"/>
              </w:rPr>
              <w:t>1.24</w:t>
            </w:r>
          </w:p>
        </w:tc>
      </w:tr>
    </w:tbl>
    <w:p w14:paraId="3932C498" w14:textId="32BF137D" w:rsidR="006D5F25" w:rsidRDefault="006D5F25" w:rsidP="006D5F25"/>
    <w:p w14:paraId="675B653E" w14:textId="3847FCA0" w:rsidR="006D5F25" w:rsidRDefault="006D5F25" w:rsidP="006D5F25"/>
    <w:p w14:paraId="3CB35EB1" w14:textId="48447A9A" w:rsidR="006D5F25" w:rsidRDefault="006D5F25" w:rsidP="006D5F25"/>
    <w:p w14:paraId="062038AC" w14:textId="1D2ABFFB" w:rsidR="006D5F25" w:rsidRDefault="006D5F25" w:rsidP="006D5F25"/>
    <w:p w14:paraId="0C13BB15" w14:textId="6BFCBF43" w:rsidR="006D5F25" w:rsidRDefault="006D5F25" w:rsidP="006D5F25"/>
    <w:p w14:paraId="778C330A" w14:textId="43E22B29" w:rsidR="006D5F25" w:rsidRPr="003C6ABF" w:rsidRDefault="003C6ABF" w:rsidP="006D5F25">
      <w:pPr>
        <w:rPr>
          <w:b/>
          <w:bCs/>
          <w:i/>
          <w:iCs/>
          <w:sz w:val="27"/>
          <w:szCs w:val="27"/>
        </w:rPr>
      </w:pPr>
      <w:r w:rsidRPr="003C6ABF">
        <w:rPr>
          <w:b/>
          <w:bCs/>
          <w:i/>
          <w:iCs/>
          <w:sz w:val="27"/>
          <w:szCs w:val="27"/>
        </w:rPr>
        <w:lastRenderedPageBreak/>
        <w:t>SI.3 Aggregation of land-cover classes</w:t>
      </w:r>
    </w:p>
    <w:p w14:paraId="58AED540" w14:textId="7F3088BE" w:rsidR="003C6ABF" w:rsidRDefault="003C6ABF" w:rsidP="006D5F25">
      <w:r>
        <w:t xml:space="preserve">To harmonize the land-cover information used in our analyses, we aggregated the original ESA CCI land-use classes into a set of broader macro-categories. This classification aimed to reduce thematic complexity while retaining ecological relevance. Specifically, we grouped all forested tree-cover types into a single </w:t>
      </w:r>
      <w:r>
        <w:rPr>
          <w:rStyle w:val="Emphasis"/>
        </w:rPr>
        <w:t>Forest</w:t>
      </w:r>
      <w:r>
        <w:t xml:space="preserve"> category and various shrub-dominated formations into </w:t>
      </w:r>
      <w:r>
        <w:rPr>
          <w:rStyle w:val="Emphasis"/>
        </w:rPr>
        <w:t>Shrub</w:t>
      </w:r>
      <w:r>
        <w:t xml:space="preserve">. Urban and bare surfaces were combined under </w:t>
      </w:r>
      <w:r>
        <w:rPr>
          <w:rStyle w:val="Emphasis"/>
        </w:rPr>
        <w:t>Urban</w:t>
      </w:r>
      <w:r>
        <w:t xml:space="preserve">, while all crop-related classes formed the </w:t>
      </w:r>
      <w:r>
        <w:rPr>
          <w:rStyle w:val="Emphasis"/>
        </w:rPr>
        <w:t>Crop</w:t>
      </w:r>
      <w:r>
        <w:t xml:space="preserve"> category. </w:t>
      </w:r>
      <w:r>
        <w:rPr>
          <w:rStyle w:val="Emphasis"/>
        </w:rPr>
        <w:t>Water</w:t>
      </w:r>
      <w:r>
        <w:t xml:space="preserve"> includes all open water bodies, and remaining natural or sparsely vegetated environments, as well as flooded vegetation classes and permanent snow and ice, were grouped under </w:t>
      </w:r>
      <w:r>
        <w:rPr>
          <w:rStyle w:val="Emphasis"/>
        </w:rPr>
        <w:t>Other</w:t>
      </w:r>
      <w:r>
        <w:t>. Table Sx summarizes the correspondence between the ESA CCI classes and the macro-categories used in the study.</w:t>
      </w:r>
    </w:p>
    <w:p w14:paraId="03FAE80C" w14:textId="7F3B8B59" w:rsidR="003C6ABF" w:rsidRPr="003C6ABF" w:rsidRDefault="003C6ABF" w:rsidP="003C6ABF">
      <w:pPr>
        <w:tabs>
          <w:tab w:val="left" w:pos="3834"/>
        </w:tabs>
        <w:jc w:val="both"/>
        <w:rPr>
          <w:rFonts w:cs="Times New Roman"/>
          <w:b/>
          <w:sz w:val="27"/>
          <w:szCs w:val="27"/>
          <w:lang w:val="en-IE"/>
        </w:rPr>
      </w:pPr>
      <w:r w:rsidRPr="003C6ABF">
        <w:rPr>
          <w:rFonts w:cs="Times New Roman"/>
          <w:b/>
          <w:sz w:val="27"/>
          <w:szCs w:val="27"/>
          <w:lang w:val="en-IE"/>
        </w:rPr>
        <w:t>Table S5. Aggregation of ESA CCI classes into macro-categories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C6ABF" w14:paraId="3E87214E" w14:textId="77777777" w:rsidTr="003C6ABF">
        <w:tc>
          <w:tcPr>
            <w:tcW w:w="1555" w:type="dxa"/>
          </w:tcPr>
          <w:p w14:paraId="33E90049" w14:textId="77777777" w:rsidR="003C6ABF" w:rsidRPr="003C6ABF" w:rsidRDefault="003C6ABF" w:rsidP="00B56425">
            <w:pPr>
              <w:tabs>
                <w:tab w:val="left" w:pos="3834"/>
              </w:tabs>
              <w:jc w:val="both"/>
              <w:rPr>
                <w:rFonts w:cs="Times New Roman"/>
                <w:b/>
                <w:szCs w:val="24"/>
                <w:lang w:val="en-IE"/>
              </w:rPr>
            </w:pPr>
            <w:r w:rsidRPr="003C6ABF">
              <w:rPr>
                <w:rFonts w:cs="Times New Roman"/>
                <w:b/>
                <w:szCs w:val="24"/>
                <w:lang w:val="en-IE"/>
              </w:rPr>
              <w:t>Macro-category</w:t>
            </w:r>
          </w:p>
        </w:tc>
        <w:tc>
          <w:tcPr>
            <w:tcW w:w="7461" w:type="dxa"/>
          </w:tcPr>
          <w:p w14:paraId="0CBCB562" w14:textId="77777777" w:rsidR="003C6ABF" w:rsidRPr="003C6ABF" w:rsidRDefault="003C6ABF" w:rsidP="00B56425">
            <w:pPr>
              <w:tabs>
                <w:tab w:val="left" w:pos="3834"/>
              </w:tabs>
              <w:jc w:val="both"/>
              <w:rPr>
                <w:rFonts w:cs="Times New Roman"/>
                <w:b/>
                <w:szCs w:val="24"/>
                <w:lang w:val="en-IE"/>
              </w:rPr>
            </w:pPr>
            <w:r w:rsidRPr="003C6ABF">
              <w:rPr>
                <w:rFonts w:cs="Times New Roman"/>
                <w:b/>
                <w:szCs w:val="24"/>
                <w:lang w:val="en-IE"/>
              </w:rPr>
              <w:t>ESA CCI classes aggregated</w:t>
            </w:r>
          </w:p>
        </w:tc>
      </w:tr>
      <w:tr w:rsidR="003C6ABF" w14:paraId="5574F87D" w14:textId="77777777" w:rsidTr="003C6ABF">
        <w:tc>
          <w:tcPr>
            <w:tcW w:w="1555" w:type="dxa"/>
          </w:tcPr>
          <w:p w14:paraId="611589B9" w14:textId="77777777" w:rsidR="003C6ABF" w:rsidRPr="003C6ABF" w:rsidRDefault="003C6ABF" w:rsidP="00B56425">
            <w:pPr>
              <w:tabs>
                <w:tab w:val="left" w:pos="3834"/>
              </w:tabs>
              <w:jc w:val="both"/>
              <w:rPr>
                <w:rFonts w:cs="Times New Roman"/>
                <w:bCs/>
                <w:szCs w:val="24"/>
                <w:lang w:val="en-IE"/>
              </w:rPr>
            </w:pPr>
            <w:r w:rsidRPr="003C6ABF">
              <w:rPr>
                <w:rFonts w:cs="Times New Roman"/>
                <w:bCs/>
                <w:szCs w:val="24"/>
                <w:lang w:val="en-US"/>
              </w:rPr>
              <w:t>Forest</w:t>
            </w:r>
          </w:p>
        </w:tc>
        <w:tc>
          <w:tcPr>
            <w:tcW w:w="7461" w:type="dxa"/>
          </w:tcPr>
          <w:p w14:paraId="125156A0" w14:textId="77777777" w:rsidR="003C6ABF" w:rsidRPr="003C6ABF" w:rsidRDefault="003C6ABF" w:rsidP="00B56425">
            <w:pPr>
              <w:tabs>
                <w:tab w:val="left" w:pos="3834"/>
              </w:tabs>
              <w:jc w:val="both"/>
              <w:rPr>
                <w:rFonts w:cs="Times New Roman"/>
                <w:bCs/>
                <w:i/>
                <w:iCs/>
                <w:szCs w:val="24"/>
                <w:lang w:val="en-IE"/>
              </w:rPr>
            </w:pPr>
            <w:r w:rsidRPr="003C6ABF">
              <w:rPr>
                <w:rFonts w:cs="Times New Roman"/>
                <w:bCs/>
                <w:i/>
                <w:iCs/>
                <w:szCs w:val="24"/>
                <w:lang w:val="en-US"/>
              </w:rPr>
              <w:t>Tree cover, broadleaved, evergreen, closed to open (&gt;15%); Tree cover, broadleaved, deciduous, closed to open (&gt;15%); Tree cover, broadleaved, deciduous, closed (&gt;40%); Tree cover, broadleaved, deciduous, open (15‐40%); Tree cover, needle leaved, evergreen, closed to open (&gt;15%); Tree cover, needle leaved, evergreen, closed (&gt;40%); Tree cover, needle leaved, evergreen, open (15‐40%); Tree cover, needle leaved, deciduous, closed to open (&gt;15%); Tree cover, needle leaved, deciduous, closed (&gt;40%); Tree cover, needle leaved, deciduous, open (15‐40%); Tree cover, mixed leaf type (broadleaved and needle leaved); Mosaic tree and shrub (&gt;50%) / herbaceous cover (&lt;50%)</w:t>
            </w:r>
          </w:p>
        </w:tc>
      </w:tr>
      <w:tr w:rsidR="003C6ABF" w14:paraId="78BA087B" w14:textId="77777777" w:rsidTr="003C6ABF">
        <w:tc>
          <w:tcPr>
            <w:tcW w:w="1555" w:type="dxa"/>
          </w:tcPr>
          <w:p w14:paraId="036DAE61" w14:textId="77777777" w:rsidR="003C6ABF" w:rsidRPr="003C6ABF" w:rsidRDefault="003C6ABF" w:rsidP="00B56425">
            <w:pPr>
              <w:tabs>
                <w:tab w:val="left" w:pos="3834"/>
              </w:tabs>
              <w:jc w:val="both"/>
              <w:rPr>
                <w:rFonts w:cs="Times New Roman"/>
                <w:bCs/>
                <w:szCs w:val="24"/>
                <w:lang w:val="en-IE"/>
              </w:rPr>
            </w:pPr>
            <w:r w:rsidRPr="003C6ABF">
              <w:rPr>
                <w:rFonts w:cs="Times New Roman"/>
                <w:bCs/>
                <w:szCs w:val="24"/>
                <w:lang w:val="en-US"/>
              </w:rPr>
              <w:t>Shrub</w:t>
            </w:r>
          </w:p>
        </w:tc>
        <w:tc>
          <w:tcPr>
            <w:tcW w:w="7461" w:type="dxa"/>
          </w:tcPr>
          <w:p w14:paraId="21C75FFC" w14:textId="77777777" w:rsidR="003C6ABF" w:rsidRPr="003C6ABF" w:rsidRDefault="003C6ABF" w:rsidP="00B56425">
            <w:pPr>
              <w:tabs>
                <w:tab w:val="left" w:pos="3834"/>
              </w:tabs>
              <w:jc w:val="both"/>
              <w:rPr>
                <w:rFonts w:cs="Times New Roman"/>
                <w:bCs/>
                <w:i/>
                <w:iCs/>
                <w:szCs w:val="24"/>
                <w:lang w:val="en-IE"/>
              </w:rPr>
            </w:pPr>
            <w:r w:rsidRPr="003C6ABF">
              <w:rPr>
                <w:rFonts w:cs="Times New Roman"/>
                <w:bCs/>
                <w:i/>
                <w:iCs/>
                <w:szCs w:val="24"/>
                <w:lang w:val="en-US"/>
              </w:rPr>
              <w:t>Mosaic herbaceous cover (&gt;50%) / tree and shrub (&lt;50%); Scrubland; Evergreen shrub land; Deciduous shrub land</w:t>
            </w:r>
          </w:p>
        </w:tc>
      </w:tr>
      <w:tr w:rsidR="003C6ABF" w14:paraId="54A124B9" w14:textId="77777777" w:rsidTr="003C6ABF">
        <w:tc>
          <w:tcPr>
            <w:tcW w:w="1555" w:type="dxa"/>
          </w:tcPr>
          <w:p w14:paraId="13E450E5" w14:textId="77777777" w:rsidR="003C6ABF" w:rsidRPr="003C6ABF" w:rsidRDefault="003C6ABF" w:rsidP="00B56425">
            <w:pPr>
              <w:tabs>
                <w:tab w:val="left" w:pos="3834"/>
              </w:tabs>
              <w:jc w:val="both"/>
              <w:rPr>
                <w:rFonts w:cs="Times New Roman"/>
                <w:bCs/>
                <w:szCs w:val="24"/>
                <w:lang w:val="en-IE"/>
              </w:rPr>
            </w:pPr>
            <w:r w:rsidRPr="003C6ABF">
              <w:rPr>
                <w:rFonts w:cs="Times New Roman"/>
                <w:bCs/>
                <w:szCs w:val="24"/>
                <w:lang w:val="en-US"/>
              </w:rPr>
              <w:t>Urban</w:t>
            </w:r>
          </w:p>
        </w:tc>
        <w:tc>
          <w:tcPr>
            <w:tcW w:w="7461" w:type="dxa"/>
          </w:tcPr>
          <w:p w14:paraId="39001E8F" w14:textId="77777777" w:rsidR="003C6ABF" w:rsidRPr="003C6ABF" w:rsidRDefault="003C6ABF" w:rsidP="00B56425">
            <w:pPr>
              <w:tabs>
                <w:tab w:val="left" w:pos="3834"/>
              </w:tabs>
              <w:jc w:val="both"/>
              <w:rPr>
                <w:rFonts w:cs="Times New Roman"/>
                <w:bCs/>
                <w:i/>
                <w:iCs/>
                <w:szCs w:val="24"/>
                <w:lang w:val="en-IE"/>
              </w:rPr>
            </w:pPr>
            <w:r w:rsidRPr="003C6ABF">
              <w:rPr>
                <w:rFonts w:cs="Times New Roman"/>
                <w:bCs/>
                <w:i/>
                <w:iCs/>
                <w:szCs w:val="24"/>
                <w:lang w:val="en-US"/>
              </w:rPr>
              <w:t>Urban areas; Bare areas; Consolidated bare areas; Unconsolidated bare areas</w:t>
            </w:r>
          </w:p>
        </w:tc>
      </w:tr>
      <w:tr w:rsidR="003C6ABF" w14:paraId="0F850804" w14:textId="77777777" w:rsidTr="003C6ABF">
        <w:tc>
          <w:tcPr>
            <w:tcW w:w="1555" w:type="dxa"/>
          </w:tcPr>
          <w:p w14:paraId="450A9FB4" w14:textId="77777777" w:rsidR="003C6ABF" w:rsidRPr="003C6ABF" w:rsidRDefault="003C6ABF" w:rsidP="00B56425">
            <w:pPr>
              <w:tabs>
                <w:tab w:val="left" w:pos="3834"/>
              </w:tabs>
              <w:jc w:val="both"/>
              <w:rPr>
                <w:rFonts w:cs="Times New Roman"/>
                <w:bCs/>
                <w:szCs w:val="24"/>
                <w:lang w:val="en-IE"/>
              </w:rPr>
            </w:pPr>
            <w:r w:rsidRPr="003C6ABF">
              <w:rPr>
                <w:rFonts w:cs="Times New Roman"/>
                <w:bCs/>
                <w:szCs w:val="24"/>
                <w:lang w:val="en-US"/>
              </w:rPr>
              <w:t>Crop</w:t>
            </w:r>
          </w:p>
        </w:tc>
        <w:tc>
          <w:tcPr>
            <w:tcW w:w="7461" w:type="dxa"/>
          </w:tcPr>
          <w:p w14:paraId="439D95B5" w14:textId="77777777" w:rsidR="003C6ABF" w:rsidRPr="003C6ABF" w:rsidRDefault="003C6ABF" w:rsidP="00B56425">
            <w:pPr>
              <w:tabs>
                <w:tab w:val="left" w:pos="3834"/>
              </w:tabs>
              <w:jc w:val="both"/>
              <w:rPr>
                <w:rFonts w:cs="Times New Roman"/>
                <w:bCs/>
                <w:i/>
                <w:iCs/>
                <w:szCs w:val="24"/>
                <w:lang w:val="en-IE"/>
              </w:rPr>
            </w:pPr>
            <w:r w:rsidRPr="003C6ABF">
              <w:rPr>
                <w:rFonts w:cs="Times New Roman"/>
                <w:bCs/>
                <w:i/>
                <w:iCs/>
                <w:szCs w:val="24"/>
                <w:lang w:val="en-US"/>
              </w:rPr>
              <w:t>Cropland, rain-fed; Herbaceous cover; Tree or shrub cover; Cropland, irrigated or post‐flooding; Mosaic cropland (&gt;50%) / natural vegetation (tree, shrub, herbaceous cover) (&lt;50%); Mosaic natural vegetation (tree, shrub, herbaceous cover) (&gt;50%) / cropland (&lt;50%)</w:t>
            </w:r>
          </w:p>
        </w:tc>
      </w:tr>
      <w:tr w:rsidR="003C6ABF" w14:paraId="79E7CE5B" w14:textId="77777777" w:rsidTr="003C6ABF">
        <w:tc>
          <w:tcPr>
            <w:tcW w:w="1555" w:type="dxa"/>
          </w:tcPr>
          <w:p w14:paraId="7D912AF6" w14:textId="77777777" w:rsidR="003C6ABF" w:rsidRPr="003C6ABF" w:rsidRDefault="003C6ABF" w:rsidP="00B56425">
            <w:pPr>
              <w:tabs>
                <w:tab w:val="left" w:pos="3834"/>
              </w:tabs>
              <w:jc w:val="both"/>
              <w:rPr>
                <w:rFonts w:cs="Times New Roman"/>
                <w:bCs/>
                <w:szCs w:val="24"/>
                <w:lang w:val="en-US"/>
              </w:rPr>
            </w:pPr>
            <w:r w:rsidRPr="003C6ABF">
              <w:rPr>
                <w:rFonts w:cs="Times New Roman"/>
                <w:bCs/>
                <w:szCs w:val="24"/>
                <w:lang w:val="it-IT"/>
              </w:rPr>
              <w:t>Water</w:t>
            </w:r>
          </w:p>
        </w:tc>
        <w:tc>
          <w:tcPr>
            <w:tcW w:w="7461" w:type="dxa"/>
          </w:tcPr>
          <w:p w14:paraId="452A1155" w14:textId="77777777" w:rsidR="003C6ABF" w:rsidRPr="003C6ABF" w:rsidRDefault="003C6ABF" w:rsidP="00B56425">
            <w:pPr>
              <w:tabs>
                <w:tab w:val="left" w:pos="3834"/>
              </w:tabs>
              <w:jc w:val="both"/>
              <w:rPr>
                <w:rFonts w:cs="Times New Roman"/>
                <w:bCs/>
                <w:i/>
                <w:iCs/>
                <w:szCs w:val="24"/>
                <w:lang w:val="en-US"/>
              </w:rPr>
            </w:pPr>
            <w:r w:rsidRPr="003C6ABF">
              <w:rPr>
                <w:rFonts w:cs="Times New Roman"/>
                <w:bCs/>
                <w:i/>
                <w:iCs/>
                <w:szCs w:val="24"/>
                <w:lang w:val="it-IT"/>
              </w:rPr>
              <w:t>Water bodies</w:t>
            </w:r>
          </w:p>
        </w:tc>
      </w:tr>
      <w:tr w:rsidR="003C6ABF" w14:paraId="0D984AFD" w14:textId="77777777" w:rsidTr="003C6ABF">
        <w:tc>
          <w:tcPr>
            <w:tcW w:w="1555" w:type="dxa"/>
          </w:tcPr>
          <w:p w14:paraId="4CE46927" w14:textId="77777777" w:rsidR="003C6ABF" w:rsidRPr="003C6ABF" w:rsidRDefault="003C6ABF" w:rsidP="00B56425">
            <w:pPr>
              <w:tabs>
                <w:tab w:val="left" w:pos="3834"/>
              </w:tabs>
              <w:jc w:val="both"/>
              <w:rPr>
                <w:rFonts w:cs="Times New Roman"/>
                <w:bCs/>
                <w:szCs w:val="24"/>
                <w:lang w:val="it-IT"/>
              </w:rPr>
            </w:pPr>
            <w:r w:rsidRPr="003C6ABF">
              <w:rPr>
                <w:rFonts w:cs="Times New Roman"/>
                <w:bCs/>
                <w:szCs w:val="24"/>
                <w:lang w:val="en-US"/>
              </w:rPr>
              <w:t>Other</w:t>
            </w:r>
          </w:p>
        </w:tc>
        <w:tc>
          <w:tcPr>
            <w:tcW w:w="7461" w:type="dxa"/>
          </w:tcPr>
          <w:p w14:paraId="71A2CCD0" w14:textId="77777777" w:rsidR="003C6ABF" w:rsidRPr="003C6ABF" w:rsidRDefault="003C6ABF" w:rsidP="00B56425">
            <w:pPr>
              <w:tabs>
                <w:tab w:val="left" w:pos="3834"/>
              </w:tabs>
              <w:jc w:val="both"/>
              <w:rPr>
                <w:rFonts w:cs="Times New Roman"/>
                <w:bCs/>
                <w:i/>
                <w:iCs/>
                <w:szCs w:val="24"/>
                <w:lang w:val="en-US"/>
              </w:rPr>
            </w:pPr>
            <w:r w:rsidRPr="003C6ABF">
              <w:rPr>
                <w:rFonts w:cs="Times New Roman"/>
                <w:bCs/>
                <w:i/>
                <w:iCs/>
                <w:szCs w:val="24"/>
                <w:lang w:val="en-US"/>
              </w:rPr>
              <w:t>Grassland; Lichens and mosses; Sparse vegetation (tree, shrub, herbaceous cover) (&lt;15%); Sparse tree (&lt;15%); Sparse shrub (&lt;15%); Sparse herbaceous cover (&lt;15%); Tree cover, flooded, fresh or brackish water; Tree cover, flooded, saline water; Shrub or herbaceous cover, flooded, fresh/saline/brackish water; and Permanent snow and ice</w:t>
            </w:r>
          </w:p>
        </w:tc>
      </w:tr>
    </w:tbl>
    <w:p w14:paraId="66DF89E3" w14:textId="77777777" w:rsidR="003C6ABF" w:rsidRDefault="003C6ABF" w:rsidP="006D5F25"/>
    <w:sectPr w:rsidR="003C6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B2A23"/>
    <w:multiLevelType w:val="multilevel"/>
    <w:tmpl w:val="763C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36EF5"/>
    <w:multiLevelType w:val="multilevel"/>
    <w:tmpl w:val="E0A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05D74"/>
    <w:multiLevelType w:val="multilevel"/>
    <w:tmpl w:val="EA1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25"/>
    <w:rsid w:val="001161E0"/>
    <w:rsid w:val="00261C21"/>
    <w:rsid w:val="003C6ABF"/>
    <w:rsid w:val="006D5F25"/>
    <w:rsid w:val="00F1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6F64"/>
  <w15:chartTrackingRefBased/>
  <w15:docId w15:val="{D5FCC296-451D-4A81-8816-9E2CFD7C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F25"/>
    <w:rPr>
      <w:rFonts w:ascii="Times New Roman" w:hAnsi="Times New Roman"/>
      <w:sz w:val="24"/>
    </w:rPr>
  </w:style>
  <w:style w:type="paragraph" w:styleId="Heading3">
    <w:name w:val="heading 3"/>
    <w:basedOn w:val="Normal"/>
    <w:link w:val="Heading3Char"/>
    <w:uiPriority w:val="9"/>
    <w:qFormat/>
    <w:rsid w:val="006D5F2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D5F25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F25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styleId="Hyperlink">
    <w:name w:val="Hyperlink"/>
    <w:basedOn w:val="DefaultParagraphFont"/>
    <w:uiPriority w:val="99"/>
    <w:unhideWhenUsed/>
    <w:rsid w:val="006D5F2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D5F2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mphasis">
    <w:name w:val="Emphasis"/>
    <w:basedOn w:val="DefaultParagraphFont"/>
    <w:uiPriority w:val="20"/>
    <w:qFormat/>
    <w:rsid w:val="006D5F25"/>
    <w:rPr>
      <w:i/>
      <w:iCs/>
    </w:rPr>
  </w:style>
  <w:style w:type="paragraph" w:styleId="NormalWeb">
    <w:name w:val="Normal (Web)"/>
    <w:basedOn w:val="Normal"/>
    <w:uiPriority w:val="99"/>
    <w:unhideWhenUsed/>
    <w:rsid w:val="006D5F2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5F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D5F25"/>
    <w:rPr>
      <w:b/>
      <w:bCs/>
    </w:rPr>
  </w:style>
  <w:style w:type="table" w:styleId="TableGrid">
    <w:name w:val="Table Grid"/>
    <w:basedOn w:val="TableNormal"/>
    <w:uiPriority w:val="39"/>
    <w:rsid w:val="003C6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0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7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ojciech.SZEWCZYK@ec.europa.e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Massaro</dc:creator>
  <cp:keywords/>
  <dc:description/>
  <cp:lastModifiedBy>Emanuele Massaro</cp:lastModifiedBy>
  <cp:revision>3</cp:revision>
  <dcterms:created xsi:type="dcterms:W3CDTF">2025-11-17T08:06:00Z</dcterms:created>
  <dcterms:modified xsi:type="dcterms:W3CDTF">2025-11-27T08:49:00Z</dcterms:modified>
</cp:coreProperties>
</file>