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793A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Computação em Nuvem</w:t>
      </w:r>
    </w:p>
    <w:p w14:paraId="3B48733F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EC2 permite que você adquira esse conjunto de recursos (memória, disco, CPU e rede)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atráves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do pagamento por uso. Basta selecionar a quantidade dos recursos que necessita e iniciar uma máquina virtual EC2, também conhecida como</w:t>
      </w:r>
      <w:r w:rsidRPr="000E2AEB">
        <w:rPr>
          <w:rFonts w:ascii="Open Sans" w:eastAsia="Times New Roman" w:hAnsi="Open Sans" w:cs="Open Sans"/>
          <w:b/>
          <w:bCs/>
          <w:color w:val="666666"/>
          <w:lang w:eastAsia="pt-BR"/>
        </w:rPr>
        <w:t> instância virtual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657A152C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A primeira grande vantagem do uso do EC2 é que os recursos podem ser obtidos de forma simples 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redimensional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de acordo com sua necessidade atual e futura. O que isso significa na prática? Que você pode aumentar ou diminuir os recursos computacionais em poucos segundos, passando de uma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instâcia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de 4Gbytes de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mémoria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 2 core de CPU para uma instância de 8Gbytes de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mémória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 4 core de CPU em determinado momento e depois retornar para a configuração original, se precisar.</w:t>
      </w:r>
    </w:p>
    <w:p w14:paraId="178B184C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Isso representa, na prática, um grande ganho em tempo – e agilidade –, já que 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EC2 reduz o tempo necessário para configurar e obter novas instâncias, permitindo que você redimensione a capacidade computacional de acordo com as necessidades do seu projeto.</w:t>
      </w:r>
    </w:p>
    <w:p w14:paraId="4E2FD0E2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Lima, Leandro. </w:t>
      </w:r>
      <w:r w:rsidRPr="000E2AEB"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lang w:eastAsia="pt-BR"/>
        </w:rPr>
        <w:t xml:space="preserve">Afinal, o que é </w:t>
      </w:r>
      <w:proofErr w:type="spellStart"/>
      <w:r w:rsidRPr="000E2AEB"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lang w:eastAsia="pt-BR"/>
        </w:rPr>
        <w:t xml:space="preserve"> EC2?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Disponível em: &lt;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>http://anyconsulting.com.br/wp-content/cache/page_enhanced/www.anyconsulting.com.br/o-que-e-amazon-ec2/_index_ssl.html_gzip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&gt; Acesso em 19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Fev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2021.</w:t>
      </w:r>
    </w:p>
    <w:p w14:paraId="1B6D4D90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Avalie as assertivas abaixo sobre as instâncias de Uso geral do AMAZON EC2:</w:t>
      </w:r>
    </w:p>
    <w:p w14:paraId="4B455086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I. 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As instâncias de uso geral consiste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 várias combinações de CPU, memória, armazenamento e capacidade de rede. Os tipos de instâncias de uso geral T2 e T3 são de uso gratuito.</w:t>
      </w:r>
    </w:p>
    <w:p w14:paraId="3D2EFBE6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II. As instâncias otimizadas para computação são usadas para aplicativos que necessitam de processadores de baixo desempenho. </w:t>
      </w:r>
    </w:p>
    <w:p w14:paraId="4E826A84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III. Instâncias otimizadas para memória são projetadas para oferecerem rápido desempenho para trabalhos com carga na memória de médio conjunto de dados. </w:t>
      </w:r>
    </w:p>
    <w:p w14:paraId="7C3D1A20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IV. As instâncias para computação acelerada possuem aceleradores de hardware para funções como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calculo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de ponto flutuante, processamento gráfico de forma mais eficiente nas CPUs. </w:t>
      </w:r>
    </w:p>
    <w:p w14:paraId="4F20251A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V. Instâncias otimizadas para armazenamento são para alto acesso de leitura de gravação de conjunto de dados muitos pequenos para armazenamento local. Podem oferecer taxa de E/S de dezenas de milhares de IOPS. </w:t>
      </w:r>
    </w:p>
    <w:p w14:paraId="1F3C2A71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em:</w:t>
      </w:r>
    </w:p>
    <w:p w14:paraId="6234FC47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46FFE1E2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BF17B8" w14:textId="4A910A2B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F277C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8" type="#_x0000_t75" style="width:20.05pt;height:18.15pt" o:ole="">
                  <v:imagedata r:id="rId4" o:title=""/>
                </v:shape>
                <w:control r:id="rId5" w:name="DefaultOcxName" w:shapeid="_x0000_i11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DC536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37A83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 I e IV</w:t>
            </w:r>
          </w:p>
        </w:tc>
      </w:tr>
      <w:tr w:rsidR="000E2AEB" w:rsidRPr="000E2AEB" w14:paraId="4917F350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98353" w14:textId="012310E0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8D7783F">
                <v:shape id="_x0000_i1197" type="#_x0000_t75" style="width:20.05pt;height:18.15pt" o:ole="">
                  <v:imagedata r:id="rId4" o:title=""/>
                </v:shape>
                <w:control r:id="rId6" w:name="DefaultOcxName1" w:shapeid="_x0000_i11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FFA64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5B61B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I, II e V</w:t>
            </w:r>
          </w:p>
        </w:tc>
      </w:tr>
      <w:tr w:rsidR="000E2AEB" w:rsidRPr="000E2AEB" w14:paraId="292FACC9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E252C" w14:textId="465627B6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D2CFB87">
                <v:shape id="_x0000_i1196" type="#_x0000_t75" style="width:20.05pt;height:18.15pt" o:ole="">
                  <v:imagedata r:id="rId4" o:title=""/>
                </v:shape>
                <w:control r:id="rId7" w:name="DefaultOcxName2" w:shapeid="_x0000_i11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44CC0D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4B1A5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V</w:t>
            </w:r>
          </w:p>
        </w:tc>
      </w:tr>
      <w:tr w:rsidR="000E2AEB" w:rsidRPr="000E2AEB" w14:paraId="42105FDD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45B14" w14:textId="66B5D630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31BA4070">
                <v:shape id="_x0000_i1195" type="#_x0000_t75" style="width:20.05pt;height:18.15pt" o:ole="">
                  <v:imagedata r:id="rId4" o:title=""/>
                </v:shape>
                <w:control r:id="rId8" w:name="DefaultOcxName3" w:shapeid="_x0000_i11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6E093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2427A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 II e III</w:t>
            </w:r>
          </w:p>
          <w:p w14:paraId="213D2710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</w:tc>
      </w:tr>
      <w:tr w:rsidR="000E2AEB" w:rsidRPr="000E2AEB" w14:paraId="3FDDB315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A6CF7" w14:textId="49782FC3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146CCB9">
                <v:shape id="_x0000_i1194" type="#_x0000_t75" style="width:20.05pt;height:18.15pt" o:ole="">
                  <v:imagedata r:id="rId9" o:title=""/>
                </v:shape>
                <w:control r:id="rId10" w:name="DefaultOcxName4" w:shapeid="_x0000_i11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304BE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9ABAA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I, II, IV e V</w:t>
            </w:r>
          </w:p>
          <w:p w14:paraId="408B6CE7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372C0C50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428AC5A">
          <v:rect id="_x0000_i1025" style="width:0;height:0" o:hrstd="t" o:hrnoshade="t" o:hr="t" fillcolor="#666" stroked="f"/>
        </w:pict>
      </w:r>
    </w:p>
    <w:p w14:paraId="2FE1312E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Computação em Nuvem</w:t>
      </w:r>
    </w:p>
    <w:p w14:paraId="6D287C90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Conceito antigo, oriundo dos Mainframes em meados de 1960. Cada operador tinha a visão de estar acessando uma máquina dedicada, mas na verdade, todo recurso do Mainframe, era compartilhado para todos os operadores.</w:t>
      </w:r>
    </w:p>
    <w:p w14:paraId="453F8BC2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O objetivo do modelo é compartilhar recursos físicos entre vários ambientes isolados, sendo que, cada um deles tem sob tutela uma máquina inteira: com memória, disco, processador, rede e outros periféricos, todos entregues via abstração de virtualização.</w:t>
      </w:r>
    </w:p>
    <w:p w14:paraId="31E17D99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É como se dentro da máquina física, se criasse máquinas menores e independentes entre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sí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>. Cada máquina tem seu próprio sistema operacional completo que, por sua vez, interage com os hardwares virtuais que lhe foram entregues pelo modelo de virtualização a nível de máquina.</w:t>
      </w:r>
    </w:p>
    <w:p w14:paraId="329C348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Slack da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NodeBR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. </w:t>
      </w:r>
      <w:r w:rsidRPr="000E2AEB">
        <w:rPr>
          <w:rFonts w:ascii="Open Sans" w:eastAsia="Times New Roman" w:hAnsi="Open Sans" w:cs="Open Sans"/>
          <w:b/>
          <w:bCs/>
          <w:color w:val="666666"/>
          <w:lang w:eastAsia="pt-BR"/>
        </w:rPr>
        <w:t>Container ou máquina virtual?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Disponível em: &lt;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http://stack.desenvolvedor.expert/appendix/docker/container_vm.html&gt;. Acesso em 17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Fev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2021.</w:t>
      </w:r>
    </w:p>
    <w:p w14:paraId="2D9889C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Avalie as assertivas abaixo sobre maquinas virtuais e container:</w:t>
      </w:r>
    </w:p>
    <w:p w14:paraId="4FEB0DA8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I. A virtualização é uma camada entre o hardware e software para proteger os recursos físicos do hardware diretamente pelo software, isolando a camada da aplicação e sistema operacional da camada do hardware.</w:t>
      </w:r>
    </w:p>
    <w:p w14:paraId="0777C8DE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II. </w:t>
      </w:r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>Container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é o empacotamento da aplicação sem as suas dependências, são similares a máquina virtual com a vantagem de serem mais leves e integradas com o sistema operacional do servidor ou máquina local que está rodando.</w:t>
      </w:r>
    </w:p>
    <w:p w14:paraId="1961902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III. O propósito do </w:t>
      </w:r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>container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é emular apenas as aplicações e suas dependências para torná-la portátil, já a máquina virtual realiza a emulação do sistema operacional dentro de outro sistema operacional.</w:t>
      </w:r>
    </w:p>
    <w:p w14:paraId="4EE478D8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IV. As aplicações quando criadas em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multiplos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container como um único serviço chamamos de aplicações monolíticas.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br/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br/>
      </w:r>
    </w:p>
    <w:p w14:paraId="2DFCCB4A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em:</w:t>
      </w:r>
    </w:p>
    <w:p w14:paraId="560FA109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30A1B73A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 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0960459E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F078F" w14:textId="68BD0E1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768B5B0">
                <v:shape id="_x0000_i1193" type="#_x0000_t75" style="width:20.05pt;height:18.15pt" o:ole="">
                  <v:imagedata r:id="rId4" o:title=""/>
                </v:shape>
                <w:control r:id="rId11" w:name="DefaultOcxName5" w:shapeid="_x0000_i11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1CA79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14F69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 e III</w:t>
            </w:r>
          </w:p>
        </w:tc>
      </w:tr>
      <w:tr w:rsidR="000E2AEB" w:rsidRPr="000E2AEB" w14:paraId="18876CD5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B630A" w14:textId="538D3FBF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170EF53C">
                <v:shape id="_x0000_i1192" type="#_x0000_t75" style="width:20.05pt;height:18.15pt" o:ole="">
                  <v:imagedata r:id="rId4" o:title=""/>
                </v:shape>
                <w:control r:id="rId12" w:name="DefaultOcxName6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349A7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D6F66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 e IV</w:t>
            </w:r>
          </w:p>
        </w:tc>
      </w:tr>
      <w:tr w:rsidR="000E2AEB" w:rsidRPr="000E2AEB" w14:paraId="2C74E602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66D384" w14:textId="4ACDBC4C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3E2BF89">
                <v:shape id="_x0000_i1191" type="#_x0000_t75" style="width:20.05pt;height:18.15pt" o:ole="">
                  <v:imagedata r:id="rId4" o:title=""/>
                </v:shape>
                <w:control r:id="rId13" w:name="DefaultOcxName7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D21E7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A8889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 e II</w:t>
            </w:r>
          </w:p>
        </w:tc>
      </w:tr>
      <w:tr w:rsidR="000E2AEB" w:rsidRPr="000E2AEB" w14:paraId="3D9A78D5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8A67B" w14:textId="5693F21F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CDAC237">
                <v:shape id="_x0000_i1190" type="#_x0000_t75" style="width:20.05pt;height:18.15pt" o:ole="">
                  <v:imagedata r:id="rId9" o:title=""/>
                </v:shape>
                <w:control r:id="rId14" w:name="DefaultOcxName8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788AA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29C47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 e III</w:t>
            </w:r>
          </w:p>
          <w:p w14:paraId="6102244F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14:paraId="2A37E6B5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(D)</w:t>
            </w:r>
          </w:p>
        </w:tc>
      </w:tr>
      <w:tr w:rsidR="000E2AEB" w:rsidRPr="000E2AEB" w14:paraId="7D456E19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A5D5E" w14:textId="00125410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F596A7C">
                <v:shape id="_x0000_i1189" type="#_x0000_t75" style="width:20.05pt;height:18.15pt" o:ole="">
                  <v:imagedata r:id="rId4" o:title=""/>
                </v:shape>
                <w:control r:id="rId15" w:name="DefaultOcxName9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CBEC3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EE9A0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I, III e IV</w:t>
            </w:r>
          </w:p>
        </w:tc>
      </w:tr>
    </w:tbl>
    <w:p w14:paraId="6B9DA027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56DADB">
          <v:rect id="_x0000_i1026" style="width:0;height:0" o:hrstd="t" o:hrnoshade="t" o:hr="t" fillcolor="#666" stroked="f"/>
        </w:pict>
      </w:r>
    </w:p>
    <w:p w14:paraId="1915E7BD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Computação em Nuvem</w:t>
      </w:r>
    </w:p>
    <w:p w14:paraId="786802F7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No método tradicional de consumo de serviços ou recursos, o proprietário da infraestrutura é responsável por gerenciar cada peça de hardware e de software usado. Normalmente, leva algum tempo para um usuário acessar um novo recurso, mas este pode ser configurado exatamente como necessário.</w:t>
      </w:r>
    </w:p>
    <w:p w14:paraId="4946BE9B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A infraestrutura tradicional está frequentemente relacionada a aplicativos de núcleo anteriores (talvez ligados a tecnologias mais antigas) que não podem ser migrados com facilidade para paradigmas de cloud. A elasticidade, a padronização e outras vantagens evidentes de cloud não são motivos suficientes para a migração. Em outros casos, os regulamentos do país e uma segurança rígida podem obrigar os usuários a manter os dados próximos e/ou sob controle de gerenciamento total.</w:t>
      </w:r>
    </w:p>
    <w:p w14:paraId="3A0B2A55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BARABAS, J. </w:t>
      </w:r>
      <w:r w:rsidRPr="000E2AEB">
        <w:rPr>
          <w:rFonts w:ascii="Open Sans" w:eastAsia="Times New Roman" w:hAnsi="Open Sans" w:cs="Open Sans"/>
          <w:b/>
          <w:bCs/>
          <w:color w:val="666666"/>
          <w:lang w:eastAsia="pt-BR"/>
        </w:rPr>
        <w:t>Uma perspectiva da IBM: IaaS vs. PaaS vs. SaaS.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Disponível em: &lt;https://www.ibm.com/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br-pt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>/cloud/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learn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>/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iaas-paas-saas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>&gt;. Acesso em: 13 Dez 2020.</w:t>
      </w:r>
    </w:p>
    <w:p w14:paraId="5963D98A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Existe atualmente três modelos de serviços diferentes na Computação em Nuvem: SaaS (Software as a Service), PaaS (Platform as a Service) e IaaS (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Infrastructure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as a Service). A esse respeito, avalie as afirmações a seguir:</w:t>
      </w:r>
    </w:p>
    <w:p w14:paraId="669D7B17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I. No modelo SaaS, o provedor de serviço não tem responsabilidade nenhuma sobre o controle e gerenciamento rede, sistema operacional, servidores e gestão do armazenamento. Um exemplo de serviço é Google Drive</w:t>
      </w:r>
    </w:p>
    <w:p w14:paraId="42881A24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II. No modelo IaaS, </w:t>
      </w:r>
      <w:proofErr w:type="gramStart"/>
      <w:r w:rsidRPr="000E2AEB">
        <w:rPr>
          <w:rFonts w:ascii="Open Sans" w:eastAsia="Times New Roman" w:hAnsi="Open Sans" w:cs="Open Sans"/>
          <w:color w:val="666666"/>
          <w:lang w:eastAsia="pt-BR"/>
        </w:rPr>
        <w:t>o provedor detêm</w:t>
      </w:r>
      <w:proofErr w:type="gram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responsabilidade completa da gestão da infraestrutura física e o usuário possui o controle limitado sobre as máquinas virtuais. Um exemplo de serviço é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Web Service. </w:t>
      </w:r>
    </w:p>
    <w:p w14:paraId="7A5FA96C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III. O modelo PaaS, o provedor fornece um ambiente para desenvolvimento, gerenciamento e entrega de aplicativos, ou seja, o usuário ganha acesso a um ambiente com todas as soluções necessárias para o trabalho. A utilização desse modelo ajuda na eficiência, pois elimina a preocupação com aquisição de recursos, provisionamento, manutenção com hardware e software.</w:t>
      </w:r>
    </w:p>
    <w:p w14:paraId="42F385FA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em: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173FD054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79779" w14:textId="2349D1F5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4316EC29">
                <v:shape id="_x0000_i1188" type="#_x0000_t75" style="width:20.05pt;height:18.15pt" o:ole="">
                  <v:imagedata r:id="rId4" o:title=""/>
                </v:shape>
                <w:control r:id="rId16" w:name="DefaultOcxName10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AB3A9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AFE6F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</w:t>
            </w:r>
          </w:p>
        </w:tc>
      </w:tr>
      <w:tr w:rsidR="000E2AEB" w:rsidRPr="000E2AEB" w14:paraId="717FB9B9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7DE7E" w14:textId="2B60DAC2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16EAA3F">
                <v:shape id="_x0000_i1187" type="#_x0000_t75" style="width:20.05pt;height:18.15pt" o:ole="">
                  <v:imagedata r:id="rId4" o:title=""/>
                </v:shape>
                <w:control r:id="rId17" w:name="DefaultOcxName11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F2F30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20CBF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</w:p>
        </w:tc>
      </w:tr>
      <w:tr w:rsidR="000E2AEB" w:rsidRPr="000E2AEB" w14:paraId="5A6D62AB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4F334" w14:textId="22F5E02F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D862C6B">
                <v:shape id="_x0000_i1186" type="#_x0000_t75" style="width:20.05pt;height:18.15pt" o:ole="">
                  <v:imagedata r:id="rId4" o:title=""/>
                </v:shape>
                <w:control r:id="rId18" w:name="DefaultOcxName12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2FB9D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B9B31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</w:t>
            </w:r>
          </w:p>
        </w:tc>
      </w:tr>
      <w:tr w:rsidR="000E2AEB" w:rsidRPr="000E2AEB" w14:paraId="6DABCCFD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F18FB" w14:textId="5BF6A334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F62F689">
                <v:shape id="_x0000_i1185" type="#_x0000_t75" style="width:20.05pt;height:18.15pt" o:ole="">
                  <v:imagedata r:id="rId4" o:title=""/>
                </v:shape>
                <w:control r:id="rId19" w:name="DefaultOcxName13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E2D61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F8DB3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</w:tr>
      <w:tr w:rsidR="000E2AEB" w:rsidRPr="000E2AEB" w14:paraId="4D7310E3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3F241" w14:textId="408BFAE0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298D4BE">
                <v:shape id="_x0000_i1184" type="#_x0000_t75" style="width:20.05pt;height:18.15pt" o:ole="">
                  <v:imagedata r:id="rId9" o:title=""/>
                </v:shape>
                <w:control r:id="rId20" w:name="DefaultOcxName14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19AA1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5E56F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  <w:p w14:paraId="11DFB017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525BA696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2630DF">
          <v:rect id="_x0000_i1027" style="width:0;height:0" o:hrstd="t" o:hrnoshade="t" o:hr="t" fillcolor="#666" stroked="f"/>
        </w:pict>
      </w:r>
    </w:p>
    <w:p w14:paraId="2112A555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4/10 - Computação em Nuvem</w:t>
      </w:r>
    </w:p>
    <w:p w14:paraId="635D6360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A computação em nuvem difere dos serviços tradicionais de hospedagem de TI, pois o consumidor (seja um negócio, organização ou usuário individual) geralmente não possui a infraestrutura necessária para dar suporte aos programas ou aplicativos que eles usam.</w:t>
      </w:r>
    </w:p>
    <w:p w14:paraId="10BA4E3E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Em vez disso, esses elementos pertencem e são operados por terceiros, e o usuário final paga apenas pelos serviços que utiliza. Em outras palavras, a computação em nuvem é um modelo de computação sob demanda, baseado em utilitários.</w:t>
      </w:r>
    </w:p>
    <w:p w14:paraId="5658575F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ADENTRO. </w:t>
      </w:r>
      <w:r w:rsidRPr="000E2AEB">
        <w:rPr>
          <w:rFonts w:ascii="Open Sans" w:eastAsia="Times New Roman" w:hAnsi="Open Sans" w:cs="Open Sans"/>
          <w:b/>
          <w:bCs/>
          <w:color w:val="666666"/>
          <w:lang w:eastAsia="pt-BR"/>
        </w:rPr>
        <w:t>Entenda o Básico da Computação em Nuvem.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Disponível em: &lt;https://adentrocloud.com.br/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computacao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>-em-nuvem/&gt;. Acesso em 20 Jan 2021</w:t>
      </w:r>
    </w:p>
    <w:p w14:paraId="161CAFDB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Avalie as assertivas abaixo sobre os benefícios comerciais de utilização da computação em nuvem:</w:t>
      </w:r>
    </w:p>
    <w:p w14:paraId="65931DF4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I. Não existe custo fixo ou custo inicial, sendo que é necessário baixo investimento em infraestrutura.</w:t>
      </w:r>
    </w:p>
    <w:p w14:paraId="57F0F8B9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II. O dimensionamento é realizado na criação do ambiente, onde o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autoprovisionamento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é realizado de acordo com o crescimento da organização. </w:t>
      </w:r>
    </w:p>
    <w:p w14:paraId="5282BE4D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III. Aplicativos não podem solicitar e renunciar os recursos conforme a demanda e paga pela infraestrutura alocada. </w:t>
      </w:r>
    </w:p>
    <w:p w14:paraId="7CCB7BCB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IV. A paralelização acelera o processamento, tendo assim uma infraestrutura elástica e redução do tempo de entrega.</w:t>
      </w:r>
    </w:p>
    <w:p w14:paraId="25590333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em: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69390484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C7718" w14:textId="58D2AAB2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02DCF87">
                <v:shape id="_x0000_i1183" type="#_x0000_t75" style="width:20.05pt;height:18.15pt" o:ole="">
                  <v:imagedata r:id="rId4" o:title=""/>
                </v:shape>
                <w:control r:id="rId21" w:name="DefaultOcxName15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1BD11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F1DDB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</w:t>
            </w:r>
          </w:p>
        </w:tc>
      </w:tr>
      <w:tr w:rsidR="000E2AEB" w:rsidRPr="000E2AEB" w14:paraId="50638B2F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F315E" w14:textId="1F069F0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87F32D4">
                <v:shape id="_x0000_i1182" type="#_x0000_t75" style="width:20.05pt;height:18.15pt" o:ole="">
                  <v:imagedata r:id="rId4" o:title=""/>
                </v:shape>
                <w:control r:id="rId22" w:name="DefaultOcxName16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C5AED4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0C006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</w:t>
            </w:r>
          </w:p>
        </w:tc>
      </w:tr>
      <w:tr w:rsidR="000E2AEB" w:rsidRPr="000E2AEB" w14:paraId="20CF2FC3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F5E39" w14:textId="28C86A4C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2CDBF1E">
                <v:shape id="_x0000_i1181" type="#_x0000_t75" style="width:20.05pt;height:18.15pt" o:ole="">
                  <v:imagedata r:id="rId4" o:title=""/>
                </v:shape>
                <w:control r:id="rId23" w:name="DefaultOcxName17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2E6382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C51E9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</w:t>
            </w:r>
          </w:p>
        </w:tc>
      </w:tr>
      <w:tr w:rsidR="000E2AEB" w:rsidRPr="000E2AEB" w14:paraId="029EB1D4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816B1" w14:textId="213F9230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2A299C0B">
                <v:shape id="_x0000_i1180" type="#_x0000_t75" style="width:20.05pt;height:18.15pt" o:ole="">
                  <v:imagedata r:id="rId9" o:title=""/>
                </v:shape>
                <w:control r:id="rId24" w:name="DefaultOcxName18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B6FBF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ADE5C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  <w:p w14:paraId="3B713F85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(D)</w:t>
            </w:r>
          </w:p>
        </w:tc>
      </w:tr>
      <w:tr w:rsidR="000E2AEB" w:rsidRPr="000E2AEB" w14:paraId="25187A7E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8C3B2" w14:textId="50998266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9542A0B">
                <v:shape id="_x0000_i1179" type="#_x0000_t75" style="width:20.05pt;height:18.15pt" o:ole="">
                  <v:imagedata r:id="rId4" o:title=""/>
                </v:shape>
                <w:control r:id="rId25" w:name="DefaultOcxName19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18478D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DCC6E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</w:tc>
      </w:tr>
    </w:tbl>
    <w:p w14:paraId="37200838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DD9C85">
          <v:rect id="_x0000_i1028" style="width:0;height:0" o:hrstd="t" o:hrnoshade="t" o:hr="t" fillcolor="#666" stroked="f"/>
        </w:pict>
      </w:r>
    </w:p>
    <w:p w14:paraId="62E81B04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Computação em Nuvem</w:t>
      </w:r>
    </w:p>
    <w:p w14:paraId="7D615E03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Na figura seguinte, um desenvolvedor executa um aplicativo em uma instância do EC2 que requer acesso ao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bucket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do S3 denominado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photos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. Um administrador cria a função de serviço de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Get-pics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 associa a função à instância do EC2. A função inclui uma política de permissões que concede acesso somente leitura ao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bucket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do S3 especificado. Ele também inclui uma política de confiança que permite que a instância do EC2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assuma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a função e recupere as credenciais temporárias. Quando o aplicativo é executado na instância, ele pode usar as credenciais temporárias da função para acessar 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bucket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de fotos. </w:t>
      </w:r>
    </w:p>
    <w:p w14:paraId="1B609912" w14:textId="00A387F9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6CCA80D1" wp14:editId="04926E71">
            <wp:extent cx="5400040" cy="2567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044E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AWS BR. Disponível em: &lt;https://docs.aws.amazon.com/pt_br/IAM/latest/UserGuide/id_roles_use_switch-role-ec2.html&gt; Acesso em 17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fev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2021.</w:t>
      </w:r>
    </w:p>
    <w:p w14:paraId="30FB0A17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Avalie as assertivas abaixo sobre os três tipos de funções do AWS:</w:t>
      </w:r>
    </w:p>
    <w:p w14:paraId="29BEE175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I. Não é possível delegar função a usuários, aplicativos ou serviços sem incorporação da chave ou também conceder acesso às pessoas externas que realizarão auditoria nos recursos.</w:t>
      </w:r>
    </w:p>
    <w:p w14:paraId="1ADC1BD3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II. Função de serviço é um serviço assume uma função para realizar ações na conta da AWS.</w:t>
      </w:r>
    </w:p>
    <w:p w14:paraId="09242AB9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III. Função de serviço para uma instância do EC2 é atribuída à instância quando for executada.</w:t>
      </w:r>
    </w:p>
    <w:p w14:paraId="4B87B01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IV. Função vinculada ao serviço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én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quando um serviço da AWS é 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vinculada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diretamente a função.</w:t>
      </w:r>
    </w:p>
    <w:p w14:paraId="2F7BDECA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em:</w:t>
      </w:r>
    </w:p>
    <w:p w14:paraId="3E1EC333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21768A59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350DF" w14:textId="674B4FDA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 w14:anchorId="2FBCBE59">
                <v:shape id="_x0000_i1178" type="#_x0000_t75" style="width:20.05pt;height:18.15pt" o:ole="">
                  <v:imagedata r:id="rId4" o:title=""/>
                </v:shape>
                <w:control r:id="rId27" w:name="DefaultOcxName20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25094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A283C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II, III e IV</w:t>
            </w:r>
          </w:p>
        </w:tc>
      </w:tr>
      <w:tr w:rsidR="000E2AEB" w:rsidRPr="000E2AEB" w14:paraId="65BED04D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6383F" w14:textId="3B4E86FB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6DF2FE0">
                <v:shape id="_x0000_i1177" type="#_x0000_t75" style="width:20.05pt;height:18.15pt" o:ole="">
                  <v:imagedata r:id="rId4" o:title=""/>
                </v:shape>
                <w:control r:id="rId28" w:name="DefaultOcxName21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8A068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E6F41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 e IV</w:t>
            </w:r>
          </w:p>
        </w:tc>
      </w:tr>
      <w:tr w:rsidR="000E2AEB" w:rsidRPr="000E2AEB" w14:paraId="169476C3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A02F2" w14:textId="3ED83CB5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B3C9284">
                <v:shape id="_x0000_i1176" type="#_x0000_t75" style="width:20.05pt;height:18.15pt" o:ole="">
                  <v:imagedata r:id="rId9" o:title=""/>
                </v:shape>
                <w:control r:id="rId29" w:name="DefaultOcxName22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FEA1D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5191A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 e III</w:t>
            </w:r>
          </w:p>
          <w:p w14:paraId="60C0C79F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14:paraId="5EB6FC0C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14:paraId="2CF037AB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0E2AEB" w:rsidRPr="000E2AEB" w14:paraId="097B2A82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CCFEF" w14:textId="0C452AF2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DCDD2C2">
                <v:shape id="_x0000_i1175" type="#_x0000_t75" style="width:20.05pt;height:18.15pt" o:ole="">
                  <v:imagedata r:id="rId4" o:title=""/>
                </v:shape>
                <w:control r:id="rId30" w:name="DefaultOcxName23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E1ED67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D3947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 e IV</w:t>
            </w:r>
          </w:p>
          <w:p w14:paraId="136AF665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</w:tc>
      </w:tr>
      <w:tr w:rsidR="000E2AEB" w:rsidRPr="000E2AEB" w14:paraId="14247721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1A6658" w14:textId="351BCF06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C1B193F">
                <v:shape id="_x0000_i1174" type="#_x0000_t75" style="width:20.05pt;height:18.15pt" o:ole="">
                  <v:imagedata r:id="rId4" o:title=""/>
                </v:shape>
                <w:control r:id="rId31" w:name="DefaultOcxName24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D514F0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13ED6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I, III e IV</w:t>
            </w:r>
          </w:p>
        </w:tc>
      </w:tr>
    </w:tbl>
    <w:p w14:paraId="55FAE93B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A44547">
          <v:rect id="_x0000_i1030" style="width:0;height:0" o:hrstd="t" o:hrnoshade="t" o:hr="t" fillcolor="#666" stroked="f"/>
        </w:pict>
      </w:r>
    </w:p>
    <w:p w14:paraId="15D257C6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Computação em Nuvem</w:t>
      </w:r>
    </w:p>
    <w:p w14:paraId="417E0A84" w14:textId="6FE380D4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070281E6" wp14:editId="55CB3600">
            <wp:extent cx="5400040" cy="2851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AEB">
        <w:rPr>
          <w:rFonts w:ascii="Open Sans" w:eastAsia="Times New Roman" w:hAnsi="Open Sans" w:cs="Open Sans"/>
          <w:color w:val="666666"/>
          <w:lang w:eastAsia="pt-BR"/>
        </w:rPr>
        <w:br/>
      </w:r>
      <w:r w:rsidRPr="000E2AEB">
        <w:rPr>
          <w:rFonts w:ascii="Open Sans" w:eastAsia="Times New Roman" w:hAnsi="Open Sans" w:cs="Open Sans"/>
          <w:color w:val="666666"/>
          <w:lang w:eastAsia="pt-BR"/>
        </w:rPr>
        <w:br/>
      </w:r>
      <w:r w:rsidRPr="000E2AEB">
        <w:rPr>
          <w:rFonts w:ascii="Open Sans" w:eastAsia="Times New Roman" w:hAnsi="Open Sans" w:cs="Open Sans"/>
          <w:color w:val="666666"/>
          <w:lang w:eastAsia="pt-BR"/>
        </w:rPr>
        <w:br/>
      </w:r>
      <w:r w:rsidRPr="000E2AEB">
        <w:rPr>
          <w:rFonts w:ascii="Open Sans" w:eastAsia="Times New Roman" w:hAnsi="Open Sans" w:cs="Open Sans"/>
          <w:color w:val="666666"/>
          <w:lang w:eastAsia="pt-BR"/>
        </w:rPr>
        <w:br/>
      </w:r>
    </w:p>
    <w:p w14:paraId="1B663DA7" w14:textId="22F31C9B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noProof/>
          <w:color w:val="666666"/>
          <w:lang w:eastAsia="pt-BR"/>
        </w:rPr>
        <w:lastRenderedPageBreak/>
        <w:drawing>
          <wp:inline distT="0" distB="0" distL="0" distR="0" wp14:anchorId="063E0483" wp14:editId="73E49348">
            <wp:extent cx="5400040" cy="2851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AWS BR. Disponível em: &lt;https://aws.amazon.com/pt/blogs/aws-brasil/5-dicas-e-um-bonus-para-aumentar-sua-resiliencia-a-ataques-de-ransomware-na-aws/&gt; Acesso em: 01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Fev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2021.</w:t>
      </w:r>
    </w:p>
    <w:p w14:paraId="3C57DF06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I. __________ deve possuir uma identidade para utilizar o serviço do provedor.</w:t>
      </w:r>
    </w:p>
    <w:p w14:paraId="1213BB3B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II. _________ representa o usuário em um determinado contexto, sendo credenciais e identificadores.</w:t>
      </w:r>
    </w:p>
    <w:p w14:paraId="1A0275F1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III. _________ são uma garantia expedida pelo próprio usuário.</w:t>
      </w:r>
    </w:p>
    <w:p w14:paraId="6B73582B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IV. ___________é a verificação das _____________ de acesso do usuário identificado.</w:t>
      </w:r>
    </w:p>
    <w:p w14:paraId="430A5D9C" w14:textId="77777777" w:rsidR="000E2AEB" w:rsidRPr="000E2AEB" w:rsidRDefault="000E2AEB" w:rsidP="004720DA">
      <w:pPr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Complete as assertivas com as palavras corretas sobre os conceitos básicos fundamentais para o entendimento do AWS IAM.</w:t>
      </w:r>
    </w:p>
    <w:p w14:paraId="7FB60A67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57911B60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9FE5E" w14:textId="286FB07B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43FD2A9">
                <v:shape id="_x0000_i1173" type="#_x0000_t75" style="width:20.05pt;height:18.15pt" o:ole="">
                  <v:imagedata r:id="rId4" o:title=""/>
                </v:shape>
                <w:control r:id="rId34" w:name="DefaultOcxName25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013D2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5378E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Usuários, Identidades, Credenciais, Autorização, Permissões.</w:t>
            </w:r>
          </w:p>
        </w:tc>
      </w:tr>
      <w:tr w:rsidR="000E2AEB" w:rsidRPr="000E2AEB" w14:paraId="1F937765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41514" w14:textId="474E0EC5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F81524B">
                <v:shape id="_x0000_i1172" type="#_x0000_t75" style="width:20.05pt;height:18.15pt" o:ole="">
                  <v:imagedata r:id="rId4" o:title=""/>
                </v:shape>
                <w:control r:id="rId35" w:name="DefaultOcxName26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98CFE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28EF7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Identidades, Credenciais, Usuários, Autorização, Permissões.</w:t>
            </w:r>
          </w:p>
        </w:tc>
      </w:tr>
      <w:tr w:rsidR="000E2AEB" w:rsidRPr="000E2AEB" w14:paraId="78804EB5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8131D" w14:textId="7E235AD6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F3EEA3A">
                <v:shape id="_x0000_i1171" type="#_x0000_t75" style="width:20.05pt;height:18.15pt" o:ole="">
                  <v:imagedata r:id="rId4" o:title=""/>
                </v:shape>
                <w:control r:id="rId36" w:name="DefaultOcxName27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22CEF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E287CA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Credenciais, Autorização, Permissões, Usuários, Identidades.</w:t>
            </w:r>
          </w:p>
        </w:tc>
      </w:tr>
      <w:tr w:rsidR="000E2AEB" w:rsidRPr="000E2AEB" w14:paraId="57D6B4C5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87F65" w14:textId="3304235D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BAC8AF6">
                <v:shape id="_x0000_i1170" type="#_x0000_t75" style="width:20.05pt;height:18.15pt" o:ole="">
                  <v:imagedata r:id="rId4" o:title=""/>
                </v:shape>
                <w:control r:id="rId37" w:name="DefaultOcxName28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C3974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D50969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Autorização, Usuários, Identidades, Credenciais, Permissões.</w:t>
            </w:r>
          </w:p>
        </w:tc>
      </w:tr>
      <w:tr w:rsidR="000E2AEB" w:rsidRPr="000E2AEB" w14:paraId="0FA47605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1C92C" w14:textId="6A0AE31D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55BDBAD">
                <v:shape id="_x0000_i1169" type="#_x0000_t75" style="width:20.05pt;height:18.15pt" o:ole="">
                  <v:imagedata r:id="rId9" o:title=""/>
                </v:shape>
                <w:control r:id="rId38" w:name="DefaultOcxName29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F9480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09B1D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Usuários, Identidades, Autorização, Permissões, Credenciais.</w:t>
            </w:r>
          </w:p>
          <w:p w14:paraId="11EB6C3F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33505C15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0773A9">
          <v:rect id="_x0000_i1033" style="width:0;height:0" o:hrstd="t" o:hrnoshade="t" o:hr="t" fillcolor="#666" stroked="f"/>
        </w:pict>
      </w:r>
    </w:p>
    <w:p w14:paraId="2CE9694C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Computação em Nuvem</w:t>
      </w:r>
    </w:p>
    <w:p w14:paraId="11795005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O nível gratuito da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Web Services (AWS) foi criado para permitir que você obtenha experiência prática com os serviços da Nuvem AWS, incluindo serviços com um nível gratuito disponível por 12 meses após a data do seu cadastro na 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lastRenderedPageBreak/>
        <w:t>AWS. Além disso, ofertas de serviço adicionais que não expiram automaticamente ao final do período de 12 meses do nível gratuito.</w:t>
      </w:r>
    </w:p>
    <w:p w14:paraId="75FF8743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Cesar, Adilson. </w:t>
      </w:r>
      <w:r w:rsidRPr="000E2AEB">
        <w:rPr>
          <w:rFonts w:ascii="Open Sans" w:eastAsia="Times New Roman" w:hAnsi="Open Sans" w:cs="Open Sans"/>
          <w:b/>
          <w:bCs/>
          <w:color w:val="666666"/>
          <w:lang w:eastAsia="pt-BR"/>
        </w:rPr>
        <w:t>Aproveitando AWS Grátis por 12 meses para se certificar.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https://medium.com/@adilsonbna/aproveitando-aws-gr%C3%A1tis-por-12-meses-para-se-certificar-67022b26125b. Acesso em: 01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Fev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2021.</w:t>
      </w:r>
    </w:p>
    <w:p w14:paraId="66F4FF10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Avalie as assertivas abaixo sobre o pagamento dos serviços da AWS:</w:t>
      </w:r>
    </w:p>
    <w:p w14:paraId="5FE9EE0A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I. O Pagamento é realizado individualmente pelos serviços utilizados e sem a necessidade de realização de contratos por prazos extensos ou por licenciamento,</w:t>
      </w:r>
    </w:p>
    <w:p w14:paraId="2C5DDEAF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II. Com o pagamento conforme o uso é possível adaptar com facilidade as necessidades dinâmicas.</w:t>
      </w:r>
    </w:p>
    <w:p w14:paraId="2834AC61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III. Pode ser compradas instâncias com um pagamento para serviços EC2 e RDS com a Reserva de Serviços.</w:t>
      </w:r>
    </w:p>
    <w:p w14:paraId="07C5BFB0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IV. Não é possível obter descontos com base no volume, por exemplo o S3 é cobrado pelo GB independente do aumento do volume.</w:t>
      </w:r>
    </w:p>
    <w:p w14:paraId="48576A20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em: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1396A8BA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F2763" w14:textId="6253759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8ECDEE2">
                <v:shape id="_x0000_i1168" type="#_x0000_t75" style="width:20.05pt;height:18.15pt" o:ole="">
                  <v:imagedata r:id="rId4" o:title=""/>
                </v:shape>
                <w:control r:id="rId39" w:name="DefaultOcxName30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6F207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FFA6C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</w:t>
            </w:r>
          </w:p>
        </w:tc>
      </w:tr>
      <w:tr w:rsidR="000E2AEB" w:rsidRPr="000E2AEB" w14:paraId="1E4C763F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3907C" w14:textId="7B786FD2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022F3855">
                <v:shape id="_x0000_i1167" type="#_x0000_t75" style="width:20.05pt;height:18.15pt" o:ole="">
                  <v:imagedata r:id="rId4" o:title=""/>
                </v:shape>
                <w:control r:id="rId40" w:name="DefaultOcxName31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A9F43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CD2B6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II, III e IV</w:t>
            </w:r>
          </w:p>
        </w:tc>
      </w:tr>
      <w:tr w:rsidR="000E2AEB" w:rsidRPr="000E2AEB" w14:paraId="0B853B1B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11877" w14:textId="750ADE2B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6890B924">
                <v:shape id="_x0000_i1166" type="#_x0000_t75" style="width:20.05pt;height:18.15pt" o:ole="">
                  <v:imagedata r:id="rId4" o:title=""/>
                </v:shape>
                <w:control r:id="rId41" w:name="DefaultOcxName32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4754F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516B8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</w:tc>
      </w:tr>
      <w:tr w:rsidR="000E2AEB" w:rsidRPr="000E2AEB" w14:paraId="5A969941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93F5F" w14:textId="7C84EAF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31B96FD">
                <v:shape id="_x0000_i1165" type="#_x0000_t75" style="width:20.05pt;height:18.15pt" o:ole="">
                  <v:imagedata r:id="rId4" o:title=""/>
                </v:shape>
                <w:control r:id="rId42" w:name="DefaultOcxName33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0DAB4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131843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</w:tc>
      </w:tr>
      <w:tr w:rsidR="000E2AEB" w:rsidRPr="000E2AEB" w14:paraId="232C223E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2476D" w14:textId="3477E9E5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47C2A86">
                <v:shape id="_x0000_i1164" type="#_x0000_t75" style="width:20.05pt;height:18.15pt" o:ole="">
                  <v:imagedata r:id="rId9" o:title=""/>
                </v:shape>
                <w:control r:id="rId43" w:name="DefaultOcxName34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B0141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6C0098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</w:t>
            </w:r>
          </w:p>
          <w:p w14:paraId="185F82DD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6F2A62B6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A781C83">
          <v:rect id="_x0000_i1034" style="width:0;height:0" o:hrstd="t" o:hrnoshade="t" o:hr="t" fillcolor="#666" stroked="f"/>
        </w:pict>
      </w:r>
    </w:p>
    <w:p w14:paraId="4819D72E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Computação em Nuvem</w:t>
      </w:r>
    </w:p>
    <w:p w14:paraId="2260CB51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Nos últimos anos, o surgimento de forças, como a </w:t>
      </w:r>
      <w:r w:rsidRPr="000E2AEB">
        <w:rPr>
          <w:rFonts w:ascii="Open Sans" w:eastAsia="Times New Roman" w:hAnsi="Open Sans" w:cs="Open Sans"/>
          <w:color w:val="666666"/>
          <w:u w:val="single"/>
          <w:lang w:eastAsia="pt-BR"/>
        </w:rPr>
        <w:t>TI híbrida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>, virtualização, computação em nuvem, convergência continuada de infraestrutura e BYOD (traga seu próprio dispositivo) ofereceu aos profissionais de tecnologia novas formas de trabalhar, revolucionando o modelo tradicional até então praticado na área. Diante disso, o destino do administrador de sistemas passou a ser encarado como uma incógnita, ou seja, com tantas mudanças qual o papel desse profissional no futuro da TI?</w:t>
      </w:r>
    </w:p>
    <w:p w14:paraId="7664A077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As funções relacionadas a TI tradicional, que leva em conta a administração de sistemas, banco de dados e armazenamento, deixou de ser prioridade para empresas que buscam por profissionais de tecnologia no mercado atual. Agora, a expectativa é de que as pessoas que trabalham nessa área consigam colocar em prática conceitos e tendências tecnológicas, como arquiteturas de software sem servidor, </w:t>
      </w:r>
      <w:r w:rsidRPr="000E2AEB">
        <w:rPr>
          <w:rFonts w:ascii="Open Sans" w:eastAsia="Times New Roman" w:hAnsi="Open Sans" w:cs="Open Sans"/>
          <w:color w:val="666666"/>
          <w:u w:val="single"/>
          <w:lang w:eastAsia="pt-BR"/>
        </w:rPr>
        <w:t xml:space="preserve">Internet das Coisas 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e </w:t>
      </w:r>
      <w:r w:rsidRPr="000E2AEB">
        <w:rPr>
          <w:rFonts w:ascii="Open Sans" w:eastAsia="Times New Roman" w:hAnsi="Open Sans" w:cs="Open Sans"/>
          <w:color w:val="666666"/>
          <w:u w:val="single"/>
          <w:lang w:eastAsia="pt-BR"/>
        </w:rPr>
        <w:t xml:space="preserve">Cloud </w:t>
      </w:r>
      <w:proofErr w:type="spellStart"/>
      <w:r w:rsidRPr="000E2AEB">
        <w:rPr>
          <w:rFonts w:ascii="Open Sans" w:eastAsia="Times New Roman" w:hAnsi="Open Sans" w:cs="Open Sans"/>
          <w:color w:val="666666"/>
          <w:u w:val="single"/>
          <w:lang w:eastAsia="pt-BR"/>
        </w:rPr>
        <w:t>Computing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, mas sem deixar de lado as 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lastRenderedPageBreak/>
        <w:t>habilidades de gerenciar tecnologias e infraestruturas tradicionais. Além disso, é preciso estar atento ao pleno funcionamento dos protocolos de segurança, uma vez que as soluções, principalmente aquelas baseadas na nuvem, podem sofrer ameaças relacionadas à violação de dados.</w:t>
      </w:r>
    </w:p>
    <w:p w14:paraId="0D6CDE5C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ALEGAR TELECOM. </w:t>
      </w:r>
      <w:r w:rsidRPr="000E2AEB">
        <w:rPr>
          <w:rFonts w:ascii="Open Sans" w:eastAsia="Times New Roman" w:hAnsi="Open Sans" w:cs="Open Sans"/>
          <w:b/>
          <w:bCs/>
          <w:color w:val="666666"/>
          <w:lang w:eastAsia="pt-BR"/>
        </w:rPr>
        <w:t>Os desafios do administrador de sistemas no futuro da TI. Disponível em: &lt;</w:t>
      </w:r>
      <w:r w:rsidRPr="000E2AEB">
        <w:rPr>
          <w:rFonts w:ascii="Open Sans" w:eastAsia="Times New Roman" w:hAnsi="Open Sans" w:cs="Open Sans"/>
          <w:color w:val="666666"/>
          <w:lang w:eastAsia="pt-BR"/>
        </w:rPr>
        <w:t>https://blog.algartelecom.com.br/tecnologia/os-desafios-do-administrador-de-sistemas-no-futuro-da-ti/</w:t>
      </w:r>
      <w:r w:rsidRPr="000E2AEB">
        <w:rPr>
          <w:rFonts w:ascii="Open Sans" w:eastAsia="Times New Roman" w:hAnsi="Open Sans" w:cs="Open Sans"/>
          <w:b/>
          <w:bCs/>
          <w:color w:val="666666"/>
          <w:lang w:eastAsia="pt-BR"/>
        </w:rPr>
        <w:t>&gt; Acesso em 13 Dez 2020.</w:t>
      </w:r>
    </w:p>
    <w:p w14:paraId="249B1CE8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Cada modelos de serviços oferecidos pela nuvem possuem dois atores principais: provedor e consumidor. O Provedor fornece os serviços e o consumidor consome os serviços. Em cada modelo de serviço a responsabilidade de cada ator é diferente.</w:t>
      </w:r>
    </w:p>
    <w:p w14:paraId="6DB0AD92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I. No modelo de serviço _____, o consumidor não administra ou controla a infraestrutura da nuvem subjacente, mas tem controle sobre os sistemas operacionais, armazenamento de aplicativos implantados, e os componentes de rede selecionados.</w:t>
      </w:r>
    </w:p>
    <w:p w14:paraId="2DFFAA35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II. No modelo de serviço ____, o consumidor não administra ou controla os recursos de infraestrutura da nuvem subjacente, tais como componente de rede, servidores, sistemas operacionais, ou armazenamento. Porém o consumidor tem controle sobre os aplicativos utilizados na hospedagem de aplicativos e nas configurações de ambientes.</w:t>
      </w:r>
    </w:p>
    <w:p w14:paraId="443189F2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III. No modelo de serviço _____, o consumidor não administra ou controla a infraestrutura subjacente da nuvem. O que inclui componentes de rede, servidores, sistemas operacionais, armazenamento ou capacidade de aplicação individual. A possível exceção relaciona-se a algumas configurações específicas do usuário e de algumas configurações de aplicativos.</w:t>
      </w:r>
    </w:p>
    <w:p w14:paraId="3B85E8D3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Complete os espaços com os modelos de serviços correspondentes:</w:t>
      </w:r>
    </w:p>
    <w:p w14:paraId="1B41AD50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4FF8C99B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2948E" w14:textId="2549F25D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CEAB284">
                <v:shape id="_x0000_i1163" type="#_x0000_t75" style="width:20.05pt;height:18.15pt" o:ole="">
                  <v:imagedata r:id="rId9" o:title=""/>
                </v:shape>
                <w:control r:id="rId44" w:name="DefaultOcxName35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29D1CC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23A28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PaaS, SaaS, IaaS</w:t>
            </w:r>
          </w:p>
          <w:p w14:paraId="535DC91A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(A)</w:t>
            </w:r>
          </w:p>
        </w:tc>
      </w:tr>
      <w:tr w:rsidR="000E2AEB" w:rsidRPr="000E2AEB" w14:paraId="56DDCF6D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5B1B66" w14:textId="114CFE4A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2CF657E">
                <v:shape id="_x0000_i1162" type="#_x0000_t75" style="width:20.05pt;height:18.15pt" o:ole="">
                  <v:imagedata r:id="rId4" o:title=""/>
                </v:shape>
                <w:control r:id="rId45" w:name="DefaultOcxName36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6D499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6C26F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SaaS, </w:t>
            </w:r>
            <w:proofErr w:type="spellStart"/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Paas</w:t>
            </w:r>
            <w:proofErr w:type="spellEnd"/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IaaS</w:t>
            </w:r>
          </w:p>
        </w:tc>
      </w:tr>
      <w:tr w:rsidR="000E2AEB" w:rsidRPr="000E2AEB" w14:paraId="41023B37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6B5DCB" w14:textId="37ED4882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79757035">
                <v:shape id="_x0000_i1161" type="#_x0000_t75" style="width:20.05pt;height:18.15pt" o:ole="">
                  <v:imagedata r:id="rId4" o:title=""/>
                </v:shape>
                <w:control r:id="rId46" w:name="DefaultOcxName37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9FC61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3E198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IaaS, PaaS, SaaS</w:t>
            </w:r>
          </w:p>
        </w:tc>
      </w:tr>
      <w:tr w:rsidR="000E2AEB" w:rsidRPr="000E2AEB" w14:paraId="4E53EF5C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69343" w14:textId="6BFD06B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95E8E80">
                <v:shape id="_x0000_i1160" type="#_x0000_t75" style="width:20.05pt;height:18.15pt" o:ole="">
                  <v:imagedata r:id="rId4" o:title=""/>
                </v:shape>
                <w:control r:id="rId47" w:name="DefaultOcxName38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6C227E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41B9C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IaaS, SaaS, </w:t>
            </w:r>
            <w:proofErr w:type="spellStart"/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Paas</w:t>
            </w:r>
            <w:proofErr w:type="spellEnd"/>
          </w:p>
        </w:tc>
      </w:tr>
      <w:tr w:rsidR="000E2AEB" w:rsidRPr="000E2AEB" w14:paraId="135E2BDF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28566" w14:textId="4DE6984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B8D980C">
                <v:shape id="_x0000_i1159" type="#_x0000_t75" style="width:20.05pt;height:18.15pt" o:ole="">
                  <v:imagedata r:id="rId4" o:title=""/>
                </v:shape>
                <w:control r:id="rId48" w:name="DefaultOcxName39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45FE4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F6C66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PaaS, IaaS, SaaS</w:t>
            </w:r>
          </w:p>
        </w:tc>
      </w:tr>
    </w:tbl>
    <w:p w14:paraId="1EC5C0F0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0ECC23">
          <v:rect id="_x0000_i1035" style="width:0;height:0" o:hrstd="t" o:hrnoshade="t" o:hr="t" fillcolor="#666" stroked="f"/>
        </w:pict>
      </w:r>
    </w:p>
    <w:p w14:paraId="23877BA3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Computação em Nuvem</w:t>
      </w:r>
    </w:p>
    <w:p w14:paraId="1F9EE024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O gerenciamento de serviços em nuvem é voltado para a execução de todas as rotinas de gestão e manutenção de uma infraestrutura de Cloud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Computing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2D097E96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lastRenderedPageBreak/>
        <w:t>Gerenciamento de Infraestrutura na Nuvem é quando uma organização recruta um time especializado para atuar no processo de gestão e organização do ambiente na Nuvem.</w:t>
      </w:r>
    </w:p>
    <w:p w14:paraId="604A16D8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Nesses casos, a empresa atua de forma mais focada e estratégica no seu ramo de atuação. Já que as rotinas de gestão estarão direcionadas a outros times. Além disso, toda a infraestrutura de Cloud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Computing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estará mais flexível, disponível e alinhada às suas necessidades.</w:t>
      </w:r>
    </w:p>
    <w:p w14:paraId="155B5691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Na prática, ela auxilia em todas as rotinas de gestão e manutenção de uma infraestrutura desde a implementação dos serviços na nuvem à correção de problemas.</w:t>
      </w:r>
    </w:p>
    <w:p w14:paraId="6C14BEA8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INMETRICS. Gerenciamento de Infraestrutura na Nuvem: o que é e por que usar? Disponível em:&lt;</w:t>
      </w:r>
    </w:p>
    <w:p w14:paraId="72E325E5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https://inmetrics.com.br/gerenciamento-de-infraestrutura-na-nuvem-o-que-e-e-por-que-usar/&gt;. Acesso em: 05 Jan 2021.</w:t>
      </w:r>
    </w:p>
    <w:p w14:paraId="0F31AD91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Avalie as assertivas abaixo sobre o gerenciamento de serviços:</w:t>
      </w:r>
    </w:p>
    <w:p w14:paraId="7FDC5263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I. O Modelo NIST utiliza 3 perspectivas: Suporte a Negócios, Fornecimento e Configuração e Requisitos de portabilidade e interoperabilidade.</w:t>
      </w:r>
    </w:p>
    <w:p w14:paraId="4251A171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II. Suporte a Negócios endereçam as questões referentes a instalação, operação e manutenção dos serviços.</w:t>
      </w:r>
    </w:p>
    <w:p w14:paraId="50AB4118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III. Fornecimento e Configuração requisitos referentes a gestão de contratos, contabilidade e preços.</w:t>
      </w:r>
    </w:p>
    <w:p w14:paraId="54ED15C7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>IV. Requisitos de portabilidade e interoperabilidade são questões referentes portabilidade e interoperabilidade dos dados, sistemas e serviços.</w:t>
      </w:r>
    </w:p>
    <w:p w14:paraId="266947E4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lang w:eastAsia="pt-BR"/>
        </w:rPr>
        <w:t xml:space="preserve"> em: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6F9A11A0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7AC14" w14:textId="355AC432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CBA5B5E">
                <v:shape id="_x0000_i1158" type="#_x0000_t75" style="width:20.05pt;height:18.15pt" o:ole="">
                  <v:imagedata r:id="rId4" o:title=""/>
                </v:shape>
                <w:control r:id="rId49" w:name="DefaultOcxName40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14239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65F13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</w:t>
            </w:r>
          </w:p>
        </w:tc>
      </w:tr>
      <w:tr w:rsidR="000E2AEB" w:rsidRPr="000E2AEB" w14:paraId="34C4211C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30A09" w14:textId="4AAC08CD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44FFA57">
                <v:shape id="_x0000_i1157" type="#_x0000_t75" style="width:20.05pt;height:18.15pt" o:ole="">
                  <v:imagedata r:id="rId4" o:title=""/>
                </v:shape>
                <w:control r:id="rId50" w:name="DefaultOcxName41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4A5C0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7B693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</w:t>
            </w:r>
          </w:p>
        </w:tc>
      </w:tr>
      <w:tr w:rsidR="000E2AEB" w:rsidRPr="000E2AEB" w14:paraId="3B93C27C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3704D0" w14:textId="5208AE8E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B43C99A">
                <v:shape id="_x0000_i1156" type="#_x0000_t75" style="width:20.05pt;height:18.15pt" o:ole="">
                  <v:imagedata r:id="rId9" o:title=""/>
                </v:shape>
                <w:control r:id="rId51" w:name="DefaultOcxName42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09101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7AD5B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IV</w:t>
            </w:r>
          </w:p>
          <w:p w14:paraId="1E12354E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(C)</w:t>
            </w:r>
          </w:p>
        </w:tc>
      </w:tr>
      <w:tr w:rsidR="000E2AEB" w:rsidRPr="000E2AEB" w14:paraId="6DFAB2A1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8DE06" w14:textId="6BBDE40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1299E54D">
                <v:shape id="_x0000_i1155" type="#_x0000_t75" style="width:20.05pt;height:18.15pt" o:ole="">
                  <v:imagedata r:id="rId4" o:title=""/>
                </v:shape>
                <w:control r:id="rId52" w:name="DefaultOcxName43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A50E4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E03F6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</w:t>
            </w:r>
          </w:p>
        </w:tc>
      </w:tr>
      <w:tr w:rsidR="000E2AEB" w:rsidRPr="000E2AEB" w14:paraId="018536F6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3C885" w14:textId="32B708D4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4FE71F9">
                <v:shape id="_x0000_i1154" type="#_x0000_t75" style="width:20.05pt;height:18.15pt" o:ole="">
                  <v:imagedata r:id="rId4" o:title=""/>
                </v:shape>
                <w:control r:id="rId53" w:name="DefaultOcxName44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05DE0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E1FC3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</w:t>
            </w:r>
          </w:p>
        </w:tc>
      </w:tr>
    </w:tbl>
    <w:p w14:paraId="6E9A3AE7" w14:textId="77777777" w:rsidR="000E2AEB" w:rsidRPr="000E2AEB" w:rsidRDefault="000E2AEB" w:rsidP="000E2AE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2AE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671D60">
          <v:rect id="_x0000_i1036" style="width:0;height:0" o:hrstd="t" o:hrnoshade="t" o:hr="t" fillcolor="#666" stroked="f"/>
        </w:pict>
      </w:r>
    </w:p>
    <w:p w14:paraId="2DD2B152" w14:textId="77777777" w:rsidR="000E2AEB" w:rsidRPr="000E2AEB" w:rsidRDefault="000E2AEB" w:rsidP="000E2AEB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Computação em Nuvem</w:t>
      </w:r>
    </w:p>
    <w:p w14:paraId="06E9707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A seguinte política baseada em identidade permite que a entidade principal implícita liste um único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bucket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do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S3 denominado 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example_bucket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: </w:t>
      </w:r>
    </w:p>
    <w:p w14:paraId="448CE26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{</w:t>
      </w:r>
    </w:p>
    <w:p w14:paraId="6BD70480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lastRenderedPageBreak/>
        <w:t>"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Version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": "2012-10-17",</w:t>
      </w:r>
    </w:p>
    <w:p w14:paraId="32D49657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"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Statement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": {</w:t>
      </w:r>
    </w:p>
    <w:p w14:paraId="20985A8E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val="en-US"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"Effect": "Allow",</w:t>
      </w:r>
    </w:p>
    <w:p w14:paraId="0FD6AFFD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val="en-US"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"Action": "s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3:ListBucket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",</w:t>
      </w:r>
    </w:p>
    <w:p w14:paraId="3A2A2B71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val="en-US"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"Resource": "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arn:aws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:s3:::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example_bucket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val="en-US" w:eastAsia="pt-BR"/>
        </w:rPr>
        <w:t>"</w:t>
      </w:r>
    </w:p>
    <w:p w14:paraId="7ED1602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}</w:t>
      </w:r>
    </w:p>
    <w:p w14:paraId="416354D2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}</w:t>
      </w:r>
    </w:p>
    <w:p w14:paraId="1AB9D83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AWS BR. Disponível em: &lt;</w:t>
      </w:r>
      <w:r w:rsidRPr="000E2AEB"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lang w:eastAsia="pt-BR"/>
        </w:rPr>
        <w:t>https://docs.aws.amazon.com/pt_br/IAM/latest/UserGuide/access_policies.html#access_policy-types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&gt; Acesso em 19 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Fev.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2021.</w:t>
      </w:r>
    </w:p>
    <w:p w14:paraId="66A8FE09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Avalie as assertivas abaixo sobre as políticas do AWS:</w:t>
      </w:r>
    </w:p>
    <w:p w14:paraId="7C269EB8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I. As 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políticas baseada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 identidades são documentos JSON anexados a uma identidade e as políticas baseada em recursos são documentos JSON anexado a um recurso, são políticas embutidas e não possuem políticas gerenciadas.</w:t>
      </w:r>
    </w:p>
    <w:p w14:paraId="70A3F7EB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II. As 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políticas baseada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 identidade são as regras que controlam as ações de uma entidade (usuário ou função) pode executar, quais recursos e quais condições.</w:t>
      </w:r>
    </w:p>
    <w:p w14:paraId="5D6AF4F8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III. A política de confiança de uma função é a única suportada pelo serviço IAM, que definem quais entidades principais podem assumir a função.</w:t>
      </w:r>
    </w:p>
    <w:p w14:paraId="6B44BF02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IV. Existem duas categorias de política de identidade: Política gerenciadas 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e Política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 coluna.</w:t>
      </w:r>
    </w:p>
    <w:p w14:paraId="4760A5AA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V. Podemos citar três serviços da AWS que oferecem suporte </w:t>
      </w:r>
      <w:proofErr w:type="gram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à</w:t>
      </w:r>
      <w:proofErr w:type="gram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políticas baseada em recurso: </w:t>
      </w:r>
      <w:proofErr w:type="spellStart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>buckets</w:t>
      </w:r>
      <w:proofErr w:type="spellEnd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 xml:space="preserve"> da </w:t>
      </w:r>
      <w:proofErr w:type="spellStart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 xml:space="preserve"> S3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, tópicos da</w:t>
      </w:r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 xml:space="preserve"> </w:t>
      </w:r>
      <w:proofErr w:type="spellStart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 xml:space="preserve"> SNS</w:t>
      </w: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 filas </w:t>
      </w:r>
      <w:proofErr w:type="spellStart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>Amazon</w:t>
      </w:r>
      <w:proofErr w:type="spellEnd"/>
      <w:r w:rsidRPr="000E2AEB">
        <w:rPr>
          <w:rFonts w:ascii="Open Sans" w:eastAsia="Times New Roman" w:hAnsi="Open Sans" w:cs="Open Sans"/>
          <w:i/>
          <w:iCs/>
          <w:color w:val="666666"/>
          <w:bdr w:val="none" w:sz="0" w:space="0" w:color="auto" w:frame="1"/>
          <w:lang w:eastAsia="pt-BR"/>
        </w:rPr>
        <w:t xml:space="preserve"> SQS.</w:t>
      </w:r>
    </w:p>
    <w:p w14:paraId="61C04100" w14:textId="77777777" w:rsidR="000E2AEB" w:rsidRPr="000E2AEB" w:rsidRDefault="000E2AEB" w:rsidP="000E2AEB">
      <w:pPr>
        <w:spacing w:after="0" w:line="324" w:lineRule="atLeast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É correto apenas o que se </w:t>
      </w:r>
      <w:proofErr w:type="spellStart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>afirma</w:t>
      </w:r>
      <w:proofErr w:type="spellEnd"/>
      <w:r w:rsidRPr="000E2AEB">
        <w:rPr>
          <w:rFonts w:ascii="Open Sans" w:eastAsia="Times New Roman" w:hAnsi="Open Sans" w:cs="Open Sans"/>
          <w:color w:val="666666"/>
          <w:bdr w:val="none" w:sz="0" w:space="0" w:color="auto" w:frame="1"/>
          <w:lang w:eastAsia="pt-BR"/>
        </w:rPr>
        <w:t xml:space="preserve"> em:</w:t>
      </w:r>
    </w:p>
    <w:p w14:paraId="278A7977" w14:textId="77777777" w:rsidR="000E2AEB" w:rsidRPr="000E2AEB" w:rsidRDefault="000E2AEB" w:rsidP="000E2AEB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0E2AEB">
        <w:rPr>
          <w:rFonts w:ascii="Open Sans" w:eastAsia="Times New Roman" w:hAnsi="Open Sans" w:cs="Open Sans"/>
          <w:color w:val="FFFFFF"/>
          <w:sz w:val="16"/>
          <w:szCs w:val="16"/>
          <w:shd w:val="clear" w:color="auto" w:fill="D9534F"/>
          <w:lang w:eastAsia="pt-BR"/>
        </w:rPr>
        <w:t>Você não pontuou essa questão</w:t>
      </w:r>
    </w:p>
    <w:tbl>
      <w:tblPr>
        <w:tblW w:w="1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80"/>
        <w:gridCol w:w="18415"/>
      </w:tblGrid>
      <w:tr w:rsidR="000E2AEB" w:rsidRPr="000E2AEB" w14:paraId="748D4723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28341" w14:textId="3E38B9D0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EDE9D08">
                <v:shape id="_x0000_i1153" type="#_x0000_t75" style="width:20.05pt;height:18.15pt" o:ole="">
                  <v:imagedata r:id="rId4" o:title=""/>
                </v:shape>
                <w:control r:id="rId54" w:name="DefaultOcxName45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210DC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5D7CE5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III, IV e V</w:t>
            </w:r>
          </w:p>
        </w:tc>
      </w:tr>
      <w:tr w:rsidR="000E2AEB" w:rsidRPr="000E2AEB" w14:paraId="3D209E66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F03C5" w14:textId="4E258CA2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2D3AF561">
                <v:shape id="_x0000_i1152" type="#_x0000_t75" style="width:20.05pt;height:18.15pt" o:ole="">
                  <v:imagedata r:id="rId4" o:title=""/>
                </v:shape>
                <w:control r:id="rId55" w:name="DefaultOcxName46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098B8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FCA4B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I, II, III e V</w:t>
            </w:r>
          </w:p>
        </w:tc>
      </w:tr>
      <w:tr w:rsidR="000E2AEB" w:rsidRPr="000E2AEB" w14:paraId="3E7E499F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99256" w14:textId="2175E3F5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49E449ED">
                <v:shape id="_x0000_i1151" type="#_x0000_t75" style="width:20.05pt;height:18.15pt" o:ole="">
                  <v:imagedata r:id="rId4" o:title=""/>
                </v:shape>
                <w:control r:id="rId56" w:name="DefaultOcxName47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FBA92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537E7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III e IV</w:t>
            </w:r>
          </w:p>
        </w:tc>
      </w:tr>
      <w:tr w:rsidR="000E2AEB" w:rsidRPr="000E2AEB" w14:paraId="46B98823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B3527" w14:textId="67416364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55F4F212">
                <v:shape id="_x0000_i1150" type="#_x0000_t75" style="width:20.05pt;height:18.15pt" o:ole="">
                  <v:imagedata r:id="rId4" o:title=""/>
                </v:shape>
                <w:control r:id="rId57" w:name="DefaultOcxName48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2CB39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B0A11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 e III</w:t>
            </w:r>
          </w:p>
          <w:p w14:paraId="380E2F81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  <w:p w14:paraId="13412F20" w14:textId="77777777" w:rsidR="000E2AEB" w:rsidRPr="000E2AEB" w:rsidRDefault="000E2AEB" w:rsidP="000E2AEB">
            <w:pPr>
              <w:spacing w:after="0" w:line="3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</w:p>
        </w:tc>
      </w:tr>
      <w:tr w:rsidR="000E2AEB" w:rsidRPr="000E2AEB" w14:paraId="68FE8C84" w14:textId="77777777" w:rsidTr="000E2AE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87251" w14:textId="78AF84A9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 w14:anchorId="30F788BD">
                <v:shape id="_x0000_i1149" type="#_x0000_t75" style="width:20.05pt;height:18.15pt" o:ole="">
                  <v:imagedata r:id="rId9" o:title=""/>
                </v:shape>
                <w:control r:id="rId58" w:name="DefaultOcxName49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671D5" w14:textId="77777777" w:rsidR="000E2AEB" w:rsidRPr="000E2AEB" w:rsidRDefault="000E2AEB" w:rsidP="000E2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B9BB24" w14:textId="77777777" w:rsidR="000E2AEB" w:rsidRPr="000E2AEB" w:rsidRDefault="000E2AEB" w:rsidP="000E2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pt-BR"/>
              </w:rPr>
              <w:t>II, III e IV</w:t>
            </w:r>
          </w:p>
          <w:p w14:paraId="564D27D9" w14:textId="77777777" w:rsidR="000E2AEB" w:rsidRPr="000E2AEB" w:rsidRDefault="000E2AEB" w:rsidP="000E2AEB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2AEB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shd w:val="clear" w:color="auto" w:fill="999999"/>
                <w:lang w:eastAsia="pt-BR"/>
              </w:rPr>
              <w:t>Você assinalou essa alternativa (E)</w:t>
            </w:r>
          </w:p>
        </w:tc>
      </w:tr>
    </w:tbl>
    <w:p w14:paraId="7274696A" w14:textId="77777777" w:rsidR="002319F5" w:rsidRDefault="002319F5"/>
    <w:sectPr w:rsidR="00231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E"/>
    <w:rsid w:val="000E2AEB"/>
    <w:rsid w:val="002319F5"/>
    <w:rsid w:val="004720DA"/>
    <w:rsid w:val="00F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0FAE-37AA-45A2-8BAC-FF461ABD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0E2AEB"/>
  </w:style>
  <w:style w:type="paragraph" w:styleId="NormalWeb">
    <w:name w:val="Normal (Web)"/>
    <w:basedOn w:val="Normal"/>
    <w:uiPriority w:val="99"/>
    <w:semiHidden/>
    <w:unhideWhenUsed/>
    <w:rsid w:val="000E2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2AEB"/>
    <w:rPr>
      <w:b/>
      <w:bCs/>
    </w:rPr>
  </w:style>
  <w:style w:type="character" w:customStyle="1" w:styleId="label">
    <w:name w:val="label"/>
    <w:basedOn w:val="Fontepargpadro"/>
    <w:rsid w:val="000E2AEB"/>
  </w:style>
  <w:style w:type="character" w:styleId="nfase">
    <w:name w:val="Emphasis"/>
    <w:basedOn w:val="Fontepargpadro"/>
    <w:uiPriority w:val="20"/>
    <w:qFormat/>
    <w:rsid w:val="000E2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77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75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2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39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2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1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69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48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16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59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3.png"/><Relationship Id="rId39" Type="http://schemas.openxmlformats.org/officeDocument/2006/relationships/control" Target="activeX/activeX3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image" Target="media/image4.png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control" Target="activeX/activeX4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image" Target="media/image5.png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3035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ROSA ZOLET</dc:creator>
  <cp:keywords/>
  <dc:description/>
  <cp:lastModifiedBy>EMANUEL ROSA ZOLET</cp:lastModifiedBy>
  <cp:revision>2</cp:revision>
  <dcterms:created xsi:type="dcterms:W3CDTF">2024-08-19T19:46:00Z</dcterms:created>
  <dcterms:modified xsi:type="dcterms:W3CDTF">2024-08-19T23:48:00Z</dcterms:modified>
</cp:coreProperties>
</file>