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rFonts w:ascii="Times New Roman" w:cs="Times New Roman" w:eastAsia="Times New Roman" w:hAnsi="Times New Roman"/>
          <w:b/>
          <w:bCs/>
          <w:sz w:val="24"/>
          <w:szCs w:val="24"/>
        </w:rPr>
        <w:t xml:space="preserve">INSTITUTO FEDERAL DO RIO GRANDE DO SUL - IFRS</w:t>
      </w:r>
    </w:p>
    <w:p>
      <w:pPr>
        <w:spacing w:after="0" w:line="360" w:lineRule="auto"/>
        <w:jc w:val="center"/>
      </w:pPr>
      <w:r>
        <w:rPr>
          <w:rFonts w:ascii="Times New Roman" w:cs="Times New Roman" w:eastAsia="Times New Roman" w:hAnsi="Times New Roman"/>
          <w:b/>
          <w:bCs/>
          <w:sz w:val="24"/>
          <w:szCs w:val="24"/>
        </w:rPr>
        <w:t xml:space="preserve">CAMPUS ERECHIM</w:t>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val="false"/>
          <w:bCs w:val="false"/>
          <w:sz w:val="24"/>
          <w:szCs w:val="24"/>
        </w:rPr>
        <w:t xml:space="preserve">EMANUEL D. TONIAL</w:t>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bCs/>
          <w:sz w:val="24"/>
          <w:szCs w:val="24"/>
        </w:rPr>
        <w:t xml:space="preserve">REVISÃO DE LITERATURA: CONTAINERS E EFICIÊNCIA DE PIPELINES DE DADOS</w:t>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pPr>
      <w:r>
        <w:rPr>
          <w:rFonts w:ascii="Times New Roman" w:cs="Times New Roman" w:eastAsia="Times New Roman" w:hAnsi="Times New Roman"/>
          <w:sz w:val="24"/>
          <w:szCs w:val="24"/>
        </w:rPr>
        <w:t xml:space="preserve"/>
      </w:r>
    </w:p>
    <w:p>
      <w:pPr>
        <w:spacing w:after="0" w:line="360" w:lineRule="auto"/>
        <w:jc w:val="center"/>
      </w:pPr>
      <w:r>
        <w:rPr>
          <w:rFonts w:ascii="Times New Roman" w:cs="Times New Roman" w:eastAsia="Times New Roman" w:hAnsi="Times New Roman"/>
          <w:b w:val="false"/>
          <w:bCs w:val="false"/>
          <w:sz w:val="24"/>
          <w:szCs w:val="24"/>
        </w:rPr>
        <w:t xml:space="preserve">ERECHIM</w:t>
      </w:r>
    </w:p>
    <w:p>
      <w:pPr>
        <w:spacing w:after="0" w:line="360" w:lineRule="auto"/>
        <w:jc w:val="center"/>
      </w:pPr>
      <w:r>
        <w:rPr>
          <w:rFonts w:ascii="Times New Roman" w:cs="Times New Roman" w:eastAsia="Times New Roman" w:hAnsi="Times New Roman"/>
          <w:b w:val="false"/>
          <w:bCs w:val="false"/>
          <w:sz w:val="24"/>
          <w:szCs w:val="24"/>
        </w:rPr>
        <w:t xml:space="preserve">2026</w:t>
      </w:r>
    </w:p>
    <w:p>
      <w:pPr>
        <w:sectPr>
          <w:pgSz w:w="11906" w:h="16838" w:orient="portrait"/>
          <w:pgMar w:top="1701" w:right="1134" w:bottom="1134" w:left="1701" w:header="708" w:footer="708" w:gutter="0"/>
          <w:pgNumType/>
          <w:docGrid w:linePitch="360"/>
        </w:sectPr>
      </w:pPr>
    </w:p>
    <w:p>
      <w:pPr>
        <w:spacing w:after="360" w:line="360" w:lineRule="auto"/>
        <w:jc w:val="center"/>
      </w:pPr>
      <w:r>
        <w:rPr>
          <w:rFonts w:ascii="Times New Roman" w:cs="Times New Roman" w:eastAsia="Times New Roman" w:hAnsi="Times New Roman"/>
          <w:b/>
          <w:bCs/>
          <w:sz w:val="24"/>
          <w:szCs w:val="24"/>
        </w:rPr>
        <w:t xml:space="preserve">REVISÃO DE LITERATURA: CONTAINERS E EFICIÊNCIA DE PIPELINES DE DADOS</w:t>
      </w:r>
    </w:p>
    <w:p>
      <w:pPr>
        <w:keepNext/>
        <w:spacing w:after="200" w:before="360" w:line="360" w:lineRule="auto"/>
      </w:pPr>
      <w:r>
        <w:rPr>
          <w:rFonts w:ascii="Times New Roman" w:cs="Times New Roman" w:eastAsia="Times New Roman" w:hAnsi="Times New Roman"/>
          <w:b/>
          <w:bCs/>
          <w:sz w:val="24"/>
          <w:szCs w:val="24"/>
        </w:rPr>
        <w:t xml:space="preserve">1 TEMA CENTRAL</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O presente trabalho tem como tema central a infraestrutura de pipelines e orquestração em Engenharia de Dados, com ênfase no impacto do uso de containers na eficiência, escalabilidade e confiabilidade dos processos de tratamento e movimentação de dados em ambientes modernos de grande escala.</w:t>
      </w:r>
    </w:p>
    <w:p>
      <w:pPr>
        <w:keepNext/>
        <w:spacing w:after="200" w:before="360" w:line="360" w:lineRule="auto"/>
      </w:pPr>
      <w:r>
        <w:rPr>
          <w:rFonts w:ascii="Times New Roman" w:cs="Times New Roman" w:eastAsia="Times New Roman" w:hAnsi="Times New Roman"/>
          <w:b/>
          <w:bCs/>
          <w:sz w:val="24"/>
          <w:szCs w:val="24"/>
        </w:rPr>
        <w:t xml:space="preserve">2 PERGUNTAS DE PESQUISA IDENTIFICADAS</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A partir do tema central, foram formuladas três perguntas de pesquisa, listadas a seguir:</w:t>
      </w:r>
    </w:p>
    <w:p>
      <w:pPr>
        <w:pStyle w:val="ListParagraph"/>
        <w:numPr>
          <w:ilvl w:val="0"/>
          <w:numId w:val="2"/>
        </w:numPr>
        <w:spacing w:after="100" w:line="360" w:lineRule="auto"/>
        <w:jc w:val="both"/>
      </w:pPr>
      <w:r>
        <w:rPr>
          <w:rFonts w:ascii="Times New Roman" w:cs="Times New Roman" w:eastAsia="Times New Roman" w:hAnsi="Times New Roman"/>
          <w:b w:val="false"/>
          <w:bCs w:val="false"/>
          <w:i w:val="false"/>
          <w:iCs w:val="false"/>
          <w:sz w:val="24"/>
          <w:szCs w:val="24"/>
        </w:rPr>
        <w:t xml:space="preserve">O uso de containers afeta a eficiência das pipelines de dados em ambientes de engenharia de dados de grande escala?</w:t>
      </w:r>
    </w:p>
    <w:p>
      <w:pPr>
        <w:pStyle w:val="ListParagraph"/>
        <w:numPr>
          <w:ilvl w:val="0"/>
          <w:numId w:val="2"/>
        </w:numPr>
        <w:spacing w:after="100" w:line="360" w:lineRule="auto"/>
        <w:jc w:val="both"/>
      </w:pPr>
      <w:r>
        <w:rPr>
          <w:rFonts w:ascii="Times New Roman" w:cs="Times New Roman" w:eastAsia="Times New Roman" w:hAnsi="Times New Roman"/>
          <w:b w:val="false"/>
          <w:bCs w:val="false"/>
          <w:i w:val="false"/>
          <w:iCs w:val="false"/>
          <w:sz w:val="24"/>
          <w:szCs w:val="24"/>
        </w:rPr>
        <w:t xml:space="preserve">Existe grande impacto das pipelines de dados na qualidade e escalabilidade dos dados em empresas orientadas a dados?</w:t>
      </w:r>
    </w:p>
    <w:p>
      <w:pPr>
        <w:pStyle w:val="ListParagraph"/>
        <w:numPr>
          <w:ilvl w:val="0"/>
          <w:numId w:val="2"/>
        </w:numPr>
        <w:spacing w:after="100" w:line="360" w:lineRule="auto"/>
        <w:jc w:val="both"/>
      </w:pPr>
      <w:r>
        <w:rPr>
          <w:rFonts w:ascii="Times New Roman" w:cs="Times New Roman" w:eastAsia="Times New Roman" w:hAnsi="Times New Roman"/>
          <w:b w:val="false"/>
          <w:bCs w:val="false"/>
          <w:i w:val="false"/>
          <w:iCs w:val="false"/>
          <w:sz w:val="24"/>
          <w:szCs w:val="24"/>
        </w:rPr>
        <w:t xml:space="preserve">Como a orquestração de pipelines em infraestruturas de nuvem altera o uso de recursos computacionais?</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Após avaliação das três perguntas quanto à especificidade, mensurabilidade e disponibilidade de literatura acadêmica, a Pergunta 1 foi selecionada como foco principal do trabalho, por apresentar maior precisão técnica e maior volume de estudos disponíveis no Consensus.</w:t>
      </w:r>
    </w:p>
    <w:p>
      <w:pPr>
        <w:keepNext/>
        <w:spacing w:after="200" w:before="360" w:line="360" w:lineRule="auto"/>
      </w:pPr>
      <w:r>
        <w:rPr>
          <w:rFonts w:ascii="Times New Roman" w:cs="Times New Roman" w:eastAsia="Times New Roman" w:hAnsi="Times New Roman"/>
          <w:b/>
          <w:bCs/>
          <w:sz w:val="24"/>
          <w:szCs w:val="24"/>
        </w:rPr>
        <w:t xml:space="preserve">3 PERGUNTA DE PESQUISA SELECIONADA</w:t>
      </w:r>
    </w:p>
    <w:p>
      <w:pPr>
        <w:spacing w:after="120" w:line="360" w:lineRule="auto"/>
        <w:ind w:firstLine="709"/>
        <w:jc w:val="both"/>
      </w:pPr>
      <w:r>
        <w:rPr>
          <w:rFonts w:ascii="Times New Roman" w:cs="Times New Roman" w:eastAsia="Times New Roman" w:hAnsi="Times New Roman"/>
          <w:b/>
          <w:bCs/>
          <w:sz w:val="24"/>
          <w:szCs w:val="24"/>
        </w:rPr>
        <w:t xml:space="preserve">O uso de containers afeta a eficiência das pipelines de dados em ambientes de engenharia de dados de grande escala?</w:t>
      </w:r>
    </w:p>
    <w:p>
      <w:pPr>
        <w:keepNext/>
        <w:spacing w:after="200" w:before="360" w:line="360" w:lineRule="auto"/>
      </w:pPr>
      <w:r>
        <w:rPr>
          <w:rFonts w:ascii="Times New Roman" w:cs="Times New Roman" w:eastAsia="Times New Roman" w:hAnsi="Times New Roman"/>
          <w:b/>
          <w:bCs/>
          <w:sz w:val="24"/>
          <w:szCs w:val="24"/>
        </w:rPr>
        <w:t xml:space="preserve">4 CONSENSO ACADÊMICO</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A consulta realizada na plataforma Consensus, ferramenta de busca acadêmica baseada em inteligência artificial, revelou um consenso positivo e bem estabelecido a respeito do tema. A literatura acadêmica indica consistentemente que containers aumentam a eficiência de pipelines de dados, especialmente em cenários distribuídos e de grande volume. Os estudos apontam ganhos expressivos em throughput, latência, escalabilidade e reprodutibilidade, com overhead de performance classificado como pequeno ou desprezível para tarefas de média e alta duração. A única ressalva recorrente diz respeito ao custo inicial para configurar o ambiente e as instâncias dos containers.</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Entre os achados mais relevantes identificados pelo Consensus, destacam-se:</w:t>
      </w:r>
    </w:p>
    <w:p>
      <w:pPr>
        <w:pStyle w:val="ListParagraph"/>
        <w:numPr>
          <w:ilvl w:val="0"/>
          <w:numId w:val="3"/>
        </w:numPr>
        <w:spacing w:after="100" w:line="360" w:lineRule="auto"/>
        <w:jc w:val="both"/>
      </w:pPr>
      <w:r>
        <w:rPr>
          <w:rFonts w:ascii="Times New Roman" w:cs="Times New Roman" w:eastAsia="Times New Roman" w:hAnsi="Times New Roman"/>
          <w:b w:val="false"/>
          <w:bCs w:val="false"/>
          <w:i w:val="false"/>
          <w:iCs w:val="false"/>
          <w:sz w:val="24"/>
          <w:szCs w:val="24"/>
        </w:rPr>
        <w:t xml:space="preserve">Pipelines genômicas containerizadas com Docker apresentaram impacto mínimo no tempo de execução, com o pequeno custo sendo amplamente compensado pela facilidade de empacotamento e reprodutibilidade do ambiente (DI TOMMASO et al., 2015).</w:t>
      </w:r>
    </w:p>
    <w:p>
      <w:pPr>
        <w:pStyle w:val="ListParagraph"/>
        <w:numPr>
          <w:ilvl w:val="0"/>
          <w:numId w:val="3"/>
        </w:numPr>
        <w:spacing w:after="100" w:line="360" w:lineRule="auto"/>
        <w:jc w:val="both"/>
      </w:pPr>
      <w:r>
        <w:rPr>
          <w:rFonts w:ascii="Times New Roman" w:cs="Times New Roman" w:eastAsia="Times New Roman" w:hAnsi="Times New Roman"/>
          <w:b w:val="false"/>
          <w:bCs w:val="false"/>
          <w:i w:val="false"/>
          <w:iCs w:val="false"/>
          <w:sz w:val="24"/>
          <w:szCs w:val="24"/>
        </w:rPr>
        <w:t xml:space="preserve">Pipelines IoT containerizadas em Kubernetes com autoscaling alcançaram aumento de throughput entre 1,31x e 2,4x, com redução de latência entre 32x e 80x frente a alocações estáticas de recursos (AURANGZAIB et al., 2022).</w:t>
      </w:r>
    </w:p>
    <w:p>
      <w:pPr>
        <w:pStyle w:val="ListParagraph"/>
        <w:numPr>
          <w:ilvl w:val="0"/>
          <w:numId w:val="3"/>
        </w:numPr>
        <w:spacing w:after="100" w:line="360" w:lineRule="auto"/>
        <w:jc w:val="both"/>
      </w:pPr>
      <w:r>
        <w:rPr>
          <w:rFonts w:ascii="Times New Roman" w:cs="Times New Roman" w:eastAsia="Times New Roman" w:hAnsi="Times New Roman"/>
          <w:b w:val="false"/>
          <w:bCs w:val="false"/>
          <w:i w:val="false"/>
          <w:iCs w:val="false"/>
          <w:sz w:val="24"/>
          <w:szCs w:val="24"/>
        </w:rPr>
        <w:t xml:space="preserve">Um modelo de pipeline encapsulado em containers reduziu tempos de resposta de forma significativa em comparação a soluções de processamento concorrentes, atenuando atrasos e gargalos provocados pelo desempenho heterogêneo das aplicações (SANTIAGO DURÁN et al., 2020).</w:t>
      </w:r>
    </w:p>
    <w:p>
      <w:pPr>
        <w:pStyle w:val="ListParagraph"/>
        <w:numPr>
          <w:ilvl w:val="0"/>
          <w:numId w:val="3"/>
        </w:numPr>
        <w:spacing w:after="100" w:line="360" w:lineRule="auto"/>
        <w:jc w:val="both"/>
      </w:pPr>
      <w:r>
        <w:rPr>
          <w:rFonts w:ascii="Times New Roman" w:cs="Times New Roman" w:eastAsia="Times New Roman" w:hAnsi="Times New Roman"/>
          <w:b w:val="false"/>
          <w:bCs w:val="false"/>
          <w:i w:val="false"/>
          <w:iCs w:val="false"/>
          <w:sz w:val="24"/>
          <w:szCs w:val="24"/>
        </w:rPr>
        <w:t xml:space="preserve">Em ambientes de ETL na área da saúde, a combinação de PySpark e Docker trouxe ganhos relevantes de tempo de processamento, uso de recursos e escalabilidade (SOLTANMOHAMMADI; HIKMET, 2024).</w:t>
      </w:r>
    </w:p>
    <w:p>
      <w:pPr>
        <w:keepNext/>
        <w:spacing w:after="200" w:before="360" w:line="360" w:lineRule="auto"/>
      </w:pPr>
      <w:r>
        <w:rPr>
          <w:rFonts w:ascii="Times New Roman" w:cs="Times New Roman" w:eastAsia="Times New Roman" w:hAnsi="Times New Roman"/>
          <w:b/>
          <w:bCs/>
          <w:sz w:val="24"/>
          <w:szCs w:val="24"/>
        </w:rPr>
        <w:t xml:space="preserve">5 CONSIDERAÇÕES MAIS IMPORTANTES A PESQUISAR</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Com base no consenso acadêmico e nas lacunas identificadas na literatura, as seguintes dimensões se mostram centrais para o aprofundamento da pesquisa: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70"/>
        <w:gridCol w:w="6800"/>
      </w:tblGrid>
      <w:tr>
        <w:trPr>
          <w:tblHeader/>
        </w:trPr>
        <w:tc>
          <w:tcPr>
            <w:tcW w:type="dxa" w:w="227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Dimensão</w:t>
            </w:r>
          </w:p>
        </w:tc>
        <w:tc>
          <w:tcPr>
            <w:tcW w:type="dxa" w:w="68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O que investigar</w:t>
            </w:r>
          </w:p>
        </w:tc>
      </w:tr>
      <w:tr>
        <w:tc>
          <w:tcPr>
            <w:tcW w:type="dxa" w:w="22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Performance</w:t>
            </w:r>
          </w:p>
        </w:tc>
        <w:tc>
          <w:tcPr>
            <w:tcW w:type="dxa" w:w="68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Impacto real no tempo de execução e throughput em diferentes cargas e tipos de dados.</w:t>
            </w:r>
          </w:p>
        </w:tc>
      </w:tr>
      <w:tr>
        <w:tc>
          <w:tcPr>
            <w:tcW w:type="dxa" w:w="22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Escalabilidade</w:t>
            </w:r>
          </w:p>
        </w:tc>
        <w:tc>
          <w:tcPr>
            <w:tcW w:type="dxa" w:w="68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Como o autoscaling via Kubernetes responde a variações súbitas de demanda em pipelines de dados.</w:t>
            </w:r>
          </w:p>
        </w:tc>
      </w:tr>
      <w:tr>
        <w:tc>
          <w:tcPr>
            <w:tcW w:type="dxa" w:w="22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Reprodutibilidade</w:t>
            </w:r>
          </w:p>
        </w:tc>
        <w:tc>
          <w:tcPr>
            <w:tcW w:type="dxa" w:w="68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Consistência de resultados entre ambientes de desenvolvimento, teste e produção.</w:t>
            </w:r>
          </w:p>
        </w:tc>
      </w:tr>
      <w:tr>
        <w:tc>
          <w:tcPr>
            <w:tcW w:type="dxa" w:w="22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Trade-offs operacionais</w:t>
            </w:r>
          </w:p>
        </w:tc>
        <w:tc>
          <w:tcPr>
            <w:tcW w:type="dxa" w:w="68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Overhead de startup de containers e curva de aprendizado para equipes de engenharia.</w:t>
            </w:r>
          </w:p>
        </w:tc>
      </w:tr>
      <w:tr>
        <w:tc>
          <w:tcPr>
            <w:tcW w:type="dxa" w:w="22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Contexto setorial</w:t>
            </w:r>
          </w:p>
        </w:tc>
        <w:tc>
          <w:tcPr>
            <w:tcW w:type="dxa" w:w="68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Variações de resultado entre setores: saúde, IoT, machine learning e analytics corporativo.</w:t>
            </w:r>
          </w:p>
        </w:tc>
      </w:tr>
      <w:tr>
        <w:tc>
          <w:tcPr>
            <w:tcW w:type="dxa" w:w="22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Ferramentas de orquestração</w:t>
            </w:r>
          </w:p>
        </w:tc>
        <w:tc>
          <w:tcPr>
            <w:tcW w:type="dxa" w:w="68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Comparação entre Apache Airflow, Prefect e Dagster em ambientes containerizados.</w:t>
            </w:r>
          </w:p>
        </w:tc>
      </w:tr>
    </w:tbl>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Cabe registrar que a literatura selecionada cobre de forma robusta as dimensões de performance, escalabilidade e reprodutibilidade, mas oferece evidências mais escassas sobre a comparação direta entre Apache Airflow, Prefect e Dagster em ambientes containerizados. Essa lacuna é, em si, um dos pontos a serem explorados na continuidade da pesquisa.</w:t>
      </w:r>
    </w:p>
    <w:p>
      <w:pPr>
        <w:keepNext/>
        <w:spacing w:after="200" w:before="360" w:line="360" w:lineRule="auto"/>
      </w:pPr>
      <w:r>
        <w:rPr>
          <w:rFonts w:ascii="Times New Roman" w:cs="Times New Roman" w:eastAsia="Times New Roman" w:hAnsi="Times New Roman"/>
          <w:b/>
          <w:bCs/>
          <w:sz w:val="24"/>
          <w:szCs w:val="24"/>
        </w:rPr>
        <w:t xml:space="preserve">6 JUSTIFICATIVA</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A crescente adoção de arquiteturas orientadas a dados nas organizações torna a eficiência das pipelines de dados um fator crítico de competitividade e inovação. Nesse contexto, a containerização emerge como uma das principais estratégias de infraestrutura em engenharia de dados, impactando diretamente a velocidade de processamento, a confiabilidade operacional e a capacidade de escalonamento dos sistemas.</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Estudos recentes demonstram ganhos expressivos. Pipelines de dados em tempo real para Internet das Coisas, containerizadas em Kubernetes, alcançaram aumento de throughput entre 1,31x e 2,4x, com redução de latência de até 80x frente a alocações estáticas de recursos (AURANGZAIB et al., 2022). Em ambientes de extração, transformação e carga na área da saúde, a combinação de PySpark e Docker resultou em ganhos significativos de tempo de processamento e uso de recursos (SOLTANMOHAMMADI; HIKMET, 2024).</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Além da performance bruta, containers oferecem benefícios operacionais relevantes para equipes de engenharia de dados: portabilidade entre ambientes, isolamento de dependências, modularidade dos estágios de pipeline e reprodutibilidade do ambiente de execução, características fundamentais para pipelines confiáveis em produção. Esses ganhos operacionais são consolidados pela revisão de estado da arte sobre tecnologias de containers na nuvem (PAHL et al., 2019) e pelo papel do Docker na eliminação do chamado inferno de dependências em ambientes de pesquisa reprodutível (BOETTIGER, 2015).</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Compreender como e sob quais condições esses ganhos se materializam é, portanto, essencial para orientar decisões estratégicas de infraestrutura em times de engenharia de dados modernos, especialmente diante da expansão acelerada de volumes de dados e da diversificação das fontes e destinos de informação nas organizações contemporâneas.</w:t>
      </w:r>
    </w:p>
    <w:p>
      <w:pPr>
        <w:keepNext/>
        <w:spacing w:after="200" w:before="360" w:line="360" w:lineRule="auto"/>
      </w:pPr>
      <w:r>
        <w:rPr>
          <w:rFonts w:ascii="Times New Roman" w:cs="Times New Roman" w:eastAsia="Times New Roman" w:hAnsi="Times New Roman"/>
          <w:b/>
          <w:bCs/>
          <w:sz w:val="24"/>
          <w:szCs w:val="24"/>
        </w:rPr>
        <w:t xml:space="preserve">7 ESTRATÉGIA DE MAPEAMENTO DAS FONTES</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A construção do corpus combinou duas estratégias complementares. A primeira foi a busca de consenso na plataforma Consensus, que identificou estudos empíricos diretamente alinhados à pergunta de pesquisa, entre eles Aurangzaib et al. (2022) e Santiago Durán et al. (2020). A segunda, e principal técnica de expansão, foi o snowballing apoiado por ferramentas de mapeamento de citações, em especial o Litmaps. A partir de artigos origem de alta relevância e impacto, explorei o grafo de citações em dois sentidos:</w:t>
      </w:r>
    </w:p>
    <w:p>
      <w:pPr>
        <w:pStyle w:val="ListParagraph"/>
        <w:numPr>
          <w:ilvl w:val="0"/>
          <w:numId w:val="3"/>
        </w:numPr>
        <w:spacing w:after="100" w:line="360" w:lineRule="auto"/>
        <w:jc w:val="both"/>
      </w:pPr>
      <w:r>
        <w:rPr>
          <w:rFonts w:ascii="Times New Roman" w:cs="Times New Roman" w:eastAsia="Times New Roman" w:hAnsi="Times New Roman"/>
          <w:b w:val="false"/>
          <w:bCs w:val="false"/>
          <w:i w:val="false"/>
          <w:iCs w:val="false"/>
          <w:sz w:val="24"/>
          <w:szCs w:val="24"/>
        </w:rPr>
        <w:t xml:space="preserve">Para trás, retrospectivo: identificação das obras mais antigas e mais citadas que fundamentam o tema, os chamados clássicos.</w:t>
      </w:r>
    </w:p>
    <w:p>
      <w:pPr>
        <w:pStyle w:val="ListParagraph"/>
        <w:numPr>
          <w:ilvl w:val="0"/>
          <w:numId w:val="3"/>
        </w:numPr>
        <w:spacing w:after="100" w:line="360" w:lineRule="auto"/>
        <w:jc w:val="both"/>
      </w:pPr>
      <w:r>
        <w:rPr>
          <w:rFonts w:ascii="Times New Roman" w:cs="Times New Roman" w:eastAsia="Times New Roman" w:hAnsi="Times New Roman"/>
          <w:b w:val="false"/>
          <w:bCs w:val="false"/>
          <w:i w:val="false"/>
          <w:iCs w:val="false"/>
          <w:sz w:val="24"/>
          <w:szCs w:val="24"/>
        </w:rPr>
        <w:t xml:space="preserve">Para frente, prospectivo: identificação dos trabalhos recentes que citam os artigos origem, mostrando o estado da arte entre 2020 e 2025.</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Os critérios de seleção foram: aderência direta à pergunta de pesquisa, impacto medido pelo número de citações para os clássicos, atualidade para os trabalhos recentes e disponibilidade de texto completo. Ao final foram selecionadas 12 fontes, sendo 6 clássicas e 6 recentes, acima do mínimo de 10 fontes com pelo menos 3 de cada tipo pedido na atividade.</w:t>
      </w:r>
    </w:p>
    <w:p>
      <w:pPr>
        <w:keepNext/>
        <w:spacing w:after="200" w:before="360" w:line="360" w:lineRule="auto"/>
      </w:pPr>
      <w:r>
        <w:rPr>
          <w:rFonts w:ascii="Times New Roman" w:cs="Times New Roman" w:eastAsia="Times New Roman" w:hAnsi="Times New Roman"/>
          <w:b/>
          <w:bCs/>
          <w:sz w:val="24"/>
          <w:szCs w:val="24"/>
        </w:rPr>
        <w:t xml:space="preserve">8 ARTIGOS ORIGEM</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Os artigos a seguir funcionaram como sementes do mapeamento por snowballing, ou seja, os pontos de partida a partir dos quais o grafo de citações foi expandido nos sentidos retrospectivo e prospectivo. Todos integram, também, o conjunto final de fontes clássicas.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70"/>
      </w:tblGrid>
      <w:tr>
        <w:trPr>
          <w:tblHeader/>
        </w:trPr>
        <w:tc>
          <w:tcPr>
            <w:tcW w:type="dxa" w:w="20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Artigo origem</w:t>
            </w:r>
          </w:p>
        </w:tc>
        <w:tc>
          <w:tcPr>
            <w:tcW w:type="dxa" w:w="16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Tipo</w:t>
            </w:r>
          </w:p>
        </w:tc>
        <w:tc>
          <w:tcPr>
            <w:tcW w:type="dxa" w:w="547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Por que é seed</w:t>
            </w:r>
          </w:p>
        </w:tc>
      </w:tr>
      <w:tr>
        <w:tc>
          <w:tcPr>
            <w:tcW w:type="dxa" w:w="20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Di Tommaso et al. (2015)</w:t>
            </w:r>
          </w:p>
        </w:tc>
        <w:tc>
          <w:tcPr>
            <w:tcW w:type="dxa" w:w="16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Clássico</w:t>
            </w:r>
          </w:p>
        </w:tc>
        <w:tc>
          <w:tcPr>
            <w:tcW w:type="dxa" w:w="54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Mede empiricamente o overhead do Docker em pipelines reais de bioinformática. É o trabalho mais citado diretamente sobre containers e eficiência de pipeline.</w:t>
            </w:r>
          </w:p>
        </w:tc>
      </w:tr>
      <w:tr>
        <w:tc>
          <w:tcPr>
            <w:tcW w:type="dxa" w:w="20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Felter et al. (2015)</w:t>
            </w:r>
          </w:p>
        </w:tc>
        <w:tc>
          <w:tcPr>
            <w:tcW w:type="dxa" w:w="16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Clássico</w:t>
            </w:r>
          </w:p>
        </w:tc>
        <w:tc>
          <w:tcPr>
            <w:tcW w:type="dxa" w:w="54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Comparação canônica entre VM e container, com cerca de 1.180 citações. Fundamenta a premissa de overhead desprezível dos containers.</w:t>
            </w:r>
          </w:p>
        </w:tc>
      </w:tr>
      <w:tr>
        <w:tc>
          <w:tcPr>
            <w:tcW w:type="dxa" w:w="20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Pahl et al. (2019)</w:t>
            </w:r>
          </w:p>
        </w:tc>
        <w:tc>
          <w:tcPr>
            <w:tcW w:type="dxa" w:w="16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Clássico, revisão</w:t>
            </w:r>
          </w:p>
        </w:tc>
        <w:tc>
          <w:tcPr>
            <w:tcW w:type="dxa" w:w="54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Revisão de estado da arte sobre tecnologias de containers na nuvem. Bom hub de citações para expandir o mapa em direção a orquestração e ETL.</w:t>
            </w:r>
          </w:p>
        </w:tc>
      </w:tr>
    </w:tbl>
    <w:p>
      <w:pPr>
        <w:keepNext/>
        <w:spacing w:after="200" w:before="360" w:line="360" w:lineRule="auto"/>
      </w:pPr>
      <w:r>
        <w:rPr>
          <w:rFonts w:ascii="Times New Roman" w:cs="Times New Roman" w:eastAsia="Times New Roman" w:hAnsi="Times New Roman"/>
          <w:b/>
          <w:bCs/>
          <w:sz w:val="24"/>
          <w:szCs w:val="24"/>
        </w:rPr>
        <w:t xml:space="preserve">9 FONTES SELECIONADAS</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Foram selecionadas 12 fontes no total, sendo 6 clássicas e 6 recentes, atendendo ao mínimo de 10 fontes com ao menos 3 de cada tipo exigido pela atividade. As tabelas a seguir reúnem o conjunto completo, com a relevância de cada obra para a pergunta de pesquisa.</w:t>
      </w:r>
    </w:p>
    <w:p>
      <w:pPr>
        <w:keepNext/>
        <w:spacing w:after="160" w:before="260" w:line="360" w:lineRule="auto"/>
      </w:pPr>
      <w:r>
        <w:rPr>
          <w:rFonts w:ascii="Times New Roman" w:cs="Times New Roman" w:eastAsia="Times New Roman" w:hAnsi="Times New Roman"/>
          <w:b/>
          <w:bCs/>
          <w:sz w:val="24"/>
          <w:szCs w:val="24"/>
        </w:rPr>
        <w:t xml:space="preserve">9.1 Clássicos e mais citados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1700"/>
        <w:gridCol w:w="4770"/>
      </w:tblGrid>
      <w:tr>
        <w:trPr>
          <w:tblHeader/>
        </w:trPr>
        <w:tc>
          <w:tcPr>
            <w:tcW w:type="dxa" w:w="19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Referência</w:t>
            </w:r>
          </w:p>
        </w:tc>
        <w:tc>
          <w:tcPr>
            <w:tcW w:type="dxa" w:w="7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Ano</w:t>
            </w:r>
          </w:p>
        </w:tc>
        <w:tc>
          <w:tcPr>
            <w:tcW w:type="dxa" w:w="17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Veículo</w:t>
            </w:r>
          </w:p>
        </w:tc>
        <w:tc>
          <w:tcPr>
            <w:tcW w:type="dxa" w:w="477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Relevância para a pergunta</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Felter et al.</w:t>
            </w:r>
          </w:p>
        </w:tc>
        <w:tc>
          <w:tcPr>
            <w:tcW w:type="dxa" w:w="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2015</w:t>
            </w:r>
          </w:p>
        </w:tc>
        <w:tc>
          <w:tcPr>
            <w:tcW w:type="dxa" w:w="1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IEEE ISPASS</w:t>
            </w:r>
          </w:p>
        </w:tc>
        <w:tc>
          <w:tcPr>
            <w:tcW w:type="dxa" w:w="47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Comparação canônica entre VM e container em múltiplos benchmarks. Mostra overhead mínimo de containers, base empírica do argumento de eficiência.</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Di Tommaso et al.</w:t>
            </w:r>
          </w:p>
        </w:tc>
        <w:tc>
          <w:tcPr>
            <w:tcW w:type="dxa" w:w="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2015</w:t>
            </w:r>
          </w:p>
        </w:tc>
        <w:tc>
          <w:tcPr>
            <w:tcW w:type="dxa" w:w="1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PeerJ</w:t>
            </w:r>
          </w:p>
        </w:tc>
        <w:tc>
          <w:tcPr>
            <w:tcW w:type="dxa" w:w="47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Primeira medição empírica do overhead do Docker em pipelines reais, no domínio de bioinformática. Overhead desprezível para tarefas de maior duração.</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Boettiger</w:t>
            </w:r>
          </w:p>
        </w:tc>
        <w:tc>
          <w:tcPr>
            <w:tcW w:type="dxa" w:w="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2015</w:t>
            </w:r>
          </w:p>
        </w:tc>
        <w:tc>
          <w:tcPr>
            <w:tcW w:type="dxa" w:w="1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ACM SIGOPS OSR</w:t>
            </w:r>
          </w:p>
        </w:tc>
        <w:tc>
          <w:tcPr>
            <w:tcW w:type="dxa" w:w="47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Estabelece o papel do Docker na reprodutibilidade científica, dimensão central da confiabilidade de pipelines em produção.</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Morabito</w:t>
            </w:r>
          </w:p>
        </w:tc>
        <w:tc>
          <w:tcPr>
            <w:tcW w:type="dxa" w:w="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2017</w:t>
            </w:r>
          </w:p>
        </w:tc>
        <w:tc>
          <w:tcPr>
            <w:tcW w:type="dxa" w:w="1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IEEE Access</w:t>
            </w:r>
          </w:p>
        </w:tc>
        <w:tc>
          <w:tcPr>
            <w:tcW w:type="dxa" w:w="47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Avaliação empírica de Docker e LXC em dispositivos IoT com recursos limitados. Quantifica o overhead de containers em cenários de coleta e processamento de dados em tempo real.</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Zhang et al.</w:t>
            </w:r>
          </w:p>
        </w:tc>
        <w:tc>
          <w:tcPr>
            <w:tcW w:type="dxa" w:w="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2018</w:t>
            </w:r>
          </w:p>
        </w:tc>
        <w:tc>
          <w:tcPr>
            <w:tcW w:type="dxa" w:w="1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IEEE CLOUD</w:t>
            </w:r>
          </w:p>
        </w:tc>
        <w:tc>
          <w:tcPr>
            <w:tcW w:type="dxa" w:w="47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Comparação empírica entre containers e VMs em workloads Spark de big data. Containers apresentam melhor escalabilidade e utilização de CPU e memória.</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Pahl et al.</w:t>
            </w:r>
          </w:p>
        </w:tc>
        <w:tc>
          <w:tcPr>
            <w:tcW w:type="dxa" w:w="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2019</w:t>
            </w:r>
          </w:p>
        </w:tc>
        <w:tc>
          <w:tcPr>
            <w:tcW w:type="dxa" w:w="1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IEEE TCC</w:t>
            </w:r>
          </w:p>
        </w:tc>
        <w:tc>
          <w:tcPr>
            <w:tcW w:type="dxa" w:w="47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Revisão sistemática das tecnologias de containers na nuvem. Consolida trade-offs de performance e isolamento. Artigo origem do mapeamento.</w:t>
            </w:r>
          </w:p>
        </w:tc>
      </w:tr>
    </w:tbl>
    <w:p>
      <w:pPr>
        <w:keepNext/>
        <w:spacing w:after="160" w:before="260" w:line="360" w:lineRule="auto"/>
      </w:pPr>
      <w:r>
        <w:rPr>
          <w:rFonts w:ascii="Times New Roman" w:cs="Times New Roman" w:eastAsia="Times New Roman" w:hAnsi="Times New Roman"/>
          <w:b/>
          <w:bCs/>
          <w:sz w:val="24"/>
          <w:szCs w:val="24"/>
        </w:rPr>
        <w:t xml:space="preserve">9.2 Recentes, 2020 a 2025</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1700"/>
        <w:gridCol w:w="4770"/>
      </w:tblGrid>
      <w:tr>
        <w:trPr>
          <w:tblHeader/>
        </w:trPr>
        <w:tc>
          <w:tcPr>
            <w:tcW w:type="dxa" w:w="19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Referência</w:t>
            </w:r>
          </w:p>
        </w:tc>
        <w:tc>
          <w:tcPr>
            <w:tcW w:type="dxa" w:w="7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Ano</w:t>
            </w:r>
          </w:p>
        </w:tc>
        <w:tc>
          <w:tcPr>
            <w:tcW w:type="dxa" w:w="17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Veículo</w:t>
            </w:r>
          </w:p>
        </w:tc>
        <w:tc>
          <w:tcPr>
            <w:tcW w:type="dxa" w:w="477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Relevância para a pergunta</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Santiago Durán et al.</w:t>
            </w:r>
          </w:p>
        </w:tc>
        <w:tc>
          <w:tcPr>
            <w:tcW w:type="dxa" w:w="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2020</w:t>
            </w:r>
          </w:p>
        </w:tc>
        <w:tc>
          <w:tcPr>
            <w:tcW w:type="dxa" w:w="1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Future Gener. Comput. Syst.</w:t>
            </w:r>
          </w:p>
        </w:tc>
        <w:tc>
          <w:tcPr>
            <w:tcW w:type="dxa" w:w="47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Propõe um modelo gearbox para pipelines de software encapsulados em containers. Reduz atrasos e gargalos causados pelo desempenho heterogêneo das aplicações ao processar grandes volumes de dados.</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Aurangzaib et al.</w:t>
            </w:r>
          </w:p>
        </w:tc>
        <w:tc>
          <w:tcPr>
            <w:tcW w:type="dxa" w:w="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2022</w:t>
            </w:r>
          </w:p>
        </w:tc>
        <w:tc>
          <w:tcPr>
            <w:tcW w:type="dxa" w:w="1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IEEE CloudCom</w:t>
            </w:r>
          </w:p>
        </w:tc>
        <w:tc>
          <w:tcPr>
            <w:tcW w:type="dxa" w:w="47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Pipeline containerizado para analytics de big data em tempo real sobre Kubernetes com autoscaling. Reporta throughput de 1,31x a 2,4x e redução de latência de 32x a 80x frente à alocação estática.</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Čilić et al.</w:t>
            </w:r>
          </w:p>
        </w:tc>
        <w:tc>
          <w:tcPr>
            <w:tcW w:type="dxa" w:w="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2023</w:t>
            </w:r>
          </w:p>
        </w:tc>
        <w:tc>
          <w:tcPr>
            <w:tcW w:type="dxa" w:w="1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Sensors, MDPI</w:t>
            </w:r>
          </w:p>
        </w:tc>
        <w:tc>
          <w:tcPr>
            <w:tcW w:type="dxa" w:w="47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Avalia plataformas de orquestração de containers em edge computing em ambiente de rede real. Kubernetes apresenta potencial para escalonamento eficiente na borda da rede.</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Park; Bahn</w:t>
            </w:r>
          </w:p>
        </w:tc>
        <w:tc>
          <w:tcPr>
            <w:tcW w:type="dxa" w:w="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2023</w:t>
            </w:r>
          </w:p>
        </w:tc>
        <w:tc>
          <w:tcPr>
            <w:tcW w:type="dxa" w:w="1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Applied Sciences, MDPI</w:t>
            </w:r>
          </w:p>
        </w:tc>
        <w:tc>
          <w:tcPr>
            <w:tcW w:type="dxa" w:w="47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Quantifica o efeito do container em workloads de deep learning via rastreamento de chamadas de sistema. A solução proposta reduz latência de I/O em 82% na média.</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Aqasizade et al.</w:t>
            </w:r>
          </w:p>
        </w:tc>
        <w:tc>
          <w:tcPr>
            <w:tcW w:type="dxa" w:w="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2024</w:t>
            </w:r>
          </w:p>
        </w:tc>
        <w:tc>
          <w:tcPr>
            <w:tcW w:type="dxa" w:w="1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arXiv</w:t>
            </w:r>
          </w:p>
        </w:tc>
        <w:tc>
          <w:tcPr>
            <w:tcW w:type="dxa" w:w="47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Avalia empiricamente o overhead de containers rodando sobre máquinas virtuais em nuvem. Docker e Podman apresentam impacto negligível na maioria dos cenários.</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Soltanmohammadi; Hikmet</w:t>
            </w:r>
          </w:p>
        </w:tc>
        <w:tc>
          <w:tcPr>
            <w:tcW w:type="dxa" w:w="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2024</w:t>
            </w:r>
          </w:p>
        </w:tc>
        <w:tc>
          <w:tcPr>
            <w:tcW w:type="dxa" w:w="1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J. Data Anal. Inf. Proc.</w:t>
            </w:r>
          </w:p>
        </w:tc>
        <w:tc>
          <w:tcPr>
            <w:tcW w:type="dxa" w:w="47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ETL em saúde com PySpark e Docker sobre a base MIMIC III. Reporta ganhos de tempo de processamento, uso de recursos e escalabilidade.</w:t>
            </w:r>
          </w:p>
        </w:tc>
      </w:tr>
    </w:tbl>
    <w:p>
      <w:pPr>
        <w:keepNext/>
        <w:spacing w:after="200" w:before="360" w:line="360" w:lineRule="auto"/>
      </w:pPr>
      <w:r>
        <w:rPr>
          <w:rFonts w:ascii="Times New Roman" w:cs="Times New Roman" w:eastAsia="Times New Roman" w:hAnsi="Times New Roman"/>
          <w:b/>
          <w:bCs/>
          <w:sz w:val="24"/>
          <w:szCs w:val="24"/>
        </w:rPr>
        <w:t xml:space="preserve">10 COMPARAÇÃO DOS DADOS</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Nesta seção, é realizada a comparação e a análise finais dos artigos selecionados. Para realizar esta análise, a ferramenta utilizada foi o NotebookLM, que permitiu reunir as evidências experimentais das fontes e organizar os achados em quatro eixos: virtualização e desempenho de sistema, engenharia de ETL e big data, orquestração de containers em ambientes de borda, e cargas de trabalho especializadas, como deep learning e genômica.</w:t>
      </w:r>
    </w:p>
    <w:p>
      <w:pPr>
        <w:keepNext/>
        <w:spacing w:after="160" w:before="260" w:line="360" w:lineRule="auto"/>
      </w:pPr>
      <w:r>
        <w:rPr>
          <w:rFonts w:ascii="Times New Roman" w:cs="Times New Roman" w:eastAsia="Times New Roman" w:hAnsi="Times New Roman"/>
          <w:b/>
          <w:bCs/>
          <w:sz w:val="24"/>
          <w:szCs w:val="24"/>
        </w:rPr>
        <w:t xml:space="preserve">10.1 Comparação de tecnologias de virtualização: containers e VMs</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A escolha entre máquinas virtuais (VMs) e containers é central na engenharia de infraestrutura de dados. Enquanto as VMs oferecem isolamento forte por meio do hipervisor, os containers compartilham o kernel do host, o que resulta em maior eficiência de recursos. A Tabela 1 reúne as principais métricas de desempenho de sistema observadas nos estudos.</w:t>
      </w:r>
    </w:p>
    <w:p>
      <w:pPr>
        <w:keepNext/>
        <w:spacing w:after="60" w:before="160" w:line="240" w:lineRule="auto"/>
      </w:pPr>
      <w:r>
        <w:rPr>
          <w:rFonts w:ascii="Times New Roman" w:cs="Times New Roman" w:eastAsia="Times New Roman" w:hAnsi="Times New Roman"/>
          <w:b/>
          <w:bCs/>
          <w:sz w:val="20"/>
          <w:szCs w:val="20"/>
        </w:rPr>
        <w:t xml:space="preserve">Tabela 1: Métricas de eficiência e desempenho de sistema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100"/>
        <w:gridCol w:w="2970"/>
      </w:tblGrid>
      <w:tr>
        <w:trPr>
          <w:tblHeader/>
        </w:trPr>
        <w:tc>
          <w:tcPr>
            <w:tcW w:type="dxa" w:w="19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Métrica</w:t>
            </w:r>
          </w:p>
        </w:tc>
        <w:tc>
          <w:tcPr>
            <w:tcW w:type="dxa" w:w="21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Containers (Docker/Podman)</w:t>
            </w:r>
          </w:p>
        </w:tc>
        <w:tc>
          <w:tcPr>
            <w:tcW w:type="dxa" w:w="21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Máquinas virtuais (KVM/Xen)</w:t>
            </w:r>
          </w:p>
        </w:tc>
        <w:tc>
          <w:tcPr>
            <w:tcW w:type="dxa" w:w="297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Observações</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Tempo de boot</w:t>
            </w:r>
          </w:p>
        </w:tc>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~1,89 s</w:t>
            </w:r>
          </w:p>
        </w:tc>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mais de 1.000 s em escala</w:t>
            </w:r>
          </w:p>
        </w:tc>
        <w:tc>
          <w:tcPr>
            <w:tcW w:type="dxa" w:w="29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VMs falham ao iniciar centenas de instâncias simultâneas.</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Footprint de memória</w:t>
            </w:r>
          </w:p>
        </w:tc>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~0,03 GB por instância</w:t>
            </w:r>
          </w:p>
        </w:tc>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~0,23 GB por instância</w:t>
            </w:r>
          </w:p>
        </w:tc>
        <w:tc>
          <w:tcPr>
            <w:tcW w:type="dxa" w:w="29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O KVM exige de 3,6 a 4,6 vezes mais memória que os containers.</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Overhead de CPU</w:t>
            </w:r>
          </w:p>
        </w:tc>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desprezível (~2,67%)</w:t>
            </w:r>
          </w:p>
        </w:tc>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baixo, porém superior aos containers</w:t>
            </w:r>
          </w:p>
        </w:tc>
        <w:tc>
          <w:tcPr>
            <w:tcW w:type="dxa" w:w="29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O Docker iguala ou supera o KVM em quase todos os testes.</w:t>
            </w:r>
          </w:p>
        </w:tc>
      </w:tr>
      <w:tr>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Desempenho de I/O (disco)</w:t>
            </w:r>
          </w:p>
        </w:tc>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próximo ao nativo, degradação de ~10%</w:t>
            </w:r>
          </w:p>
        </w:tc>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superior no Xen via paravirtualização</w:t>
            </w:r>
          </w:p>
        </w:tc>
        <w:tc>
          <w:tcPr>
            <w:tcW w:type="dxa" w:w="29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O Xen (PVHVM) supera os containers em leitura e escrita em disco.</w:t>
            </w:r>
          </w:p>
        </w:tc>
      </w:tr>
    </w:tbl>
    <w:p>
      <w:pPr>
        <w:spacing w:after="200" w:before="60" w:line="240" w:lineRule="auto"/>
      </w:pPr>
      <w:r>
        <w:rPr>
          <w:rFonts w:ascii="Times New Roman" w:cs="Times New Roman" w:eastAsia="Times New Roman" w:hAnsi="Times New Roman"/>
          <w:sz w:val="20"/>
          <w:szCs w:val="20"/>
        </w:rPr>
        <w:t xml:space="preserve">Fonte: elaborada pelo autor com base nas fontes analisadas (2026).</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Os dados mostram que os containers inicializam em poucos segundos e consomem cerca de 0,03 GB por instância, contra 0,23 GB das VMs, o que representa um consumo de memória de 3,6 a 4,6 vezes menor. O overhead de CPU é praticamente desprezível. A principal vantagem das VMs aparece no desempenho de disco, no qual o Xen, por meio da paravirtualização, supera os containers em operações de leitura e escrita.</w:t>
      </w:r>
    </w:p>
    <w:p>
      <w:pPr>
        <w:keepNext/>
        <w:spacing w:after="160" w:before="260" w:line="360" w:lineRule="auto"/>
      </w:pPr>
      <w:r>
        <w:rPr>
          <w:rFonts w:ascii="Times New Roman" w:cs="Times New Roman" w:eastAsia="Times New Roman" w:hAnsi="Times New Roman"/>
          <w:b/>
          <w:bCs/>
          <w:sz w:val="24"/>
          <w:szCs w:val="24"/>
        </w:rPr>
        <w:t xml:space="preserve">10.2 Eficiência em pipelines de ETL e big data</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O processamento de grandes volumes de dados exige ferramentas escaláveis. A transição de um modelo de nó único, representado pelo Pandas, para um modelo distribuído, representado pelo PySpark, em ambientes containerizados, mostra ganhos expressivos de escala. A Tabela 2 apresenta os tempos de execução medidos sobre a base MIMIC III.</w:t>
      </w:r>
    </w:p>
    <w:p>
      <w:pPr>
        <w:keepNext/>
        <w:spacing w:after="60" w:before="160" w:line="240" w:lineRule="auto"/>
      </w:pPr>
      <w:r>
        <w:rPr>
          <w:rFonts w:ascii="Times New Roman" w:cs="Times New Roman" w:eastAsia="Times New Roman" w:hAnsi="Times New Roman"/>
          <w:b/>
          <w:bCs/>
          <w:sz w:val="20"/>
          <w:szCs w:val="20"/>
        </w:rPr>
        <w:t xml:space="preserve">Tabela 2: Comparação de desempenho em engenharia de ETL (base MIMIC III)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70"/>
        <w:gridCol w:w="2200"/>
        <w:gridCol w:w="2200"/>
        <w:gridCol w:w="2200"/>
      </w:tblGrid>
      <w:tr>
        <w:trPr>
          <w:tblHeader/>
        </w:trPr>
        <w:tc>
          <w:tcPr>
            <w:tcW w:type="dxa" w:w="247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Tamanho do dataset</w:t>
            </w:r>
          </w:p>
        </w:tc>
        <w:tc>
          <w:tcPr>
            <w:tcW w:type="dxa" w:w="22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Pandas (s)</w:t>
            </w:r>
          </w:p>
        </w:tc>
        <w:tc>
          <w:tcPr>
            <w:tcW w:type="dxa" w:w="22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PySpark (s)</w:t>
            </w:r>
          </w:p>
        </w:tc>
        <w:tc>
          <w:tcPr>
            <w:tcW w:type="dxa" w:w="22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PySpark em Docker (s)</w:t>
            </w:r>
          </w:p>
        </w:tc>
      </w:tr>
      <w:tr>
        <w:tc>
          <w:tcPr>
            <w:tcW w:type="dxa" w:w="24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0,25 GB</w:t>
            </w:r>
          </w:p>
        </w:tc>
        <w:tc>
          <w:tcPr>
            <w:tcW w:type="dxa" w:w="22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5</w:t>
            </w:r>
          </w:p>
        </w:tc>
        <w:tc>
          <w:tcPr>
            <w:tcW w:type="dxa" w:w="22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3</w:t>
            </w:r>
          </w:p>
        </w:tc>
        <w:tc>
          <w:tcPr>
            <w:tcW w:type="dxa" w:w="22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0,3</w:t>
            </w:r>
          </w:p>
        </w:tc>
      </w:tr>
      <w:tr>
        <w:tc>
          <w:tcPr>
            <w:tcW w:type="dxa" w:w="24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0,50 GB</w:t>
            </w:r>
          </w:p>
        </w:tc>
        <w:tc>
          <w:tcPr>
            <w:tcW w:type="dxa" w:w="22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15</w:t>
            </w:r>
          </w:p>
        </w:tc>
        <w:tc>
          <w:tcPr>
            <w:tcW w:type="dxa" w:w="22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5</w:t>
            </w:r>
          </w:p>
        </w:tc>
        <w:tc>
          <w:tcPr>
            <w:tcW w:type="dxa" w:w="22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0,5</w:t>
            </w:r>
          </w:p>
        </w:tc>
      </w:tr>
      <w:tr>
        <w:tc>
          <w:tcPr>
            <w:tcW w:type="dxa" w:w="24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1,00 GB</w:t>
            </w:r>
          </w:p>
        </w:tc>
        <w:tc>
          <w:tcPr>
            <w:tcW w:type="dxa" w:w="22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30</w:t>
            </w:r>
          </w:p>
        </w:tc>
        <w:tc>
          <w:tcPr>
            <w:tcW w:type="dxa" w:w="22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8</w:t>
            </w:r>
          </w:p>
        </w:tc>
        <w:tc>
          <w:tcPr>
            <w:tcW w:type="dxa" w:w="22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0,8</w:t>
            </w:r>
          </w:p>
        </w:tc>
      </w:tr>
      <w:tr>
        <w:tc>
          <w:tcPr>
            <w:tcW w:type="dxa" w:w="24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2,00 GB</w:t>
            </w:r>
          </w:p>
        </w:tc>
        <w:tc>
          <w:tcPr>
            <w:tcW w:type="dxa" w:w="22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55</w:t>
            </w:r>
          </w:p>
        </w:tc>
        <w:tc>
          <w:tcPr>
            <w:tcW w:type="dxa" w:w="22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8</w:t>
            </w:r>
          </w:p>
        </w:tc>
        <w:tc>
          <w:tcPr>
            <w:tcW w:type="dxa" w:w="22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0,8</w:t>
            </w:r>
          </w:p>
        </w:tc>
      </w:tr>
    </w:tbl>
    <w:p>
      <w:pPr>
        <w:spacing w:after="200" w:before="60" w:line="240" w:lineRule="auto"/>
      </w:pPr>
      <w:r>
        <w:rPr>
          <w:rFonts w:ascii="Times New Roman" w:cs="Times New Roman" w:eastAsia="Times New Roman" w:hAnsi="Times New Roman"/>
          <w:sz w:val="20"/>
          <w:szCs w:val="20"/>
        </w:rPr>
        <w:t xml:space="preserve">Fonte: elaborada pelo autor com base em Soltanmohammadi e Hikmet (2024).</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Enquanto o tempo de execução do Pandas cresce de forma linear com o tamanho do conjunto de dados, chegando a 55 segundos para 2 GB, o PySpark estabiliza em torno de 8 segundos. A versão containerizada do PySpark reduz ainda mais esse tempo, mantendo-se abaixo de 1 segundo em todos os volumes testados, o que confirma o ganho de desempenho da combinação entre processamento distribuído e containerização.</w:t>
      </w:r>
    </w:p>
    <w:p>
      <w:pPr>
        <w:keepNext/>
        <w:spacing w:after="160" w:before="260" w:line="360" w:lineRule="auto"/>
      </w:pPr>
      <w:r>
        <w:rPr>
          <w:rFonts w:ascii="Times New Roman" w:cs="Times New Roman" w:eastAsia="Times New Roman" w:hAnsi="Times New Roman"/>
          <w:b/>
          <w:bCs/>
          <w:sz w:val="24"/>
          <w:szCs w:val="24"/>
        </w:rPr>
        <w:t xml:space="preserve">10.3 Orquestração em ambientes de borda</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Em infraestruturas distribuídas, a escolha do orquestrador impacta diretamente a agilidade da rede e o consumo de recursos. O Kubernetes e suas versões leves, o K3s e o KubeEdge, são as soluções predominantes em dispositivos de recursos limitados. A Tabela 3 compara essas ferramentas.</w:t>
      </w:r>
    </w:p>
    <w:p>
      <w:pPr>
        <w:keepNext/>
        <w:spacing w:after="60" w:before="160" w:line="240" w:lineRule="auto"/>
      </w:pPr>
      <w:r>
        <w:rPr>
          <w:rFonts w:ascii="Times New Roman" w:cs="Times New Roman" w:eastAsia="Times New Roman" w:hAnsi="Times New Roman"/>
          <w:b/>
          <w:bCs/>
          <w:sz w:val="20"/>
          <w:szCs w:val="20"/>
        </w:rPr>
        <w:t xml:space="preserve">Tabela 3: Comparação de orquestradores em dispositivos de recursos limitados (SBCs)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2370"/>
        <w:gridCol w:w="2700"/>
      </w:tblGrid>
      <w:tr>
        <w:trPr>
          <w:tblHeader/>
        </w:trPr>
        <w:tc>
          <w:tcPr>
            <w:tcW w:type="dxa" w:w="21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Ferramenta</w:t>
            </w:r>
          </w:p>
        </w:tc>
        <w:tc>
          <w:tcPr>
            <w:tcW w:type="dxa" w:w="19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Consumo de RAM (MB)</w:t>
            </w:r>
          </w:p>
        </w:tc>
        <w:tc>
          <w:tcPr>
            <w:tcW w:type="dxa" w:w="237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Tempo de startup do serviço (s)</w:t>
            </w:r>
          </w:p>
        </w:tc>
        <w:tc>
          <w:tcPr>
            <w:tcW w:type="dxa" w:w="27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Suporte a redes privadas</w:t>
            </w:r>
          </w:p>
        </w:tc>
      </w:tr>
      <w:tr>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Kubernetes (K8s)</w:t>
            </w:r>
          </w:p>
        </w:tc>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~50</w:t>
            </w:r>
          </w:p>
        </w:tc>
        <w:tc>
          <w:tcPr>
            <w:tcW w:type="dxa" w:w="23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1,799</w:t>
            </w:r>
          </w:p>
        </w:tc>
        <w:tc>
          <w:tcPr>
            <w:tcW w:type="dxa" w:w="2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Não (requer VPN externa)</w:t>
            </w:r>
          </w:p>
        </w:tc>
      </w:tr>
      <w:tr>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K3s</w:t>
            </w:r>
          </w:p>
        </w:tc>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~50</w:t>
            </w:r>
          </w:p>
        </w:tc>
        <w:tc>
          <w:tcPr>
            <w:tcW w:type="dxa" w:w="23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2,798</w:t>
            </w:r>
          </w:p>
        </w:tc>
        <w:tc>
          <w:tcPr>
            <w:tcW w:type="dxa" w:w="2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Sim (via tunnel proxy)</w:t>
            </w:r>
          </w:p>
        </w:tc>
      </w:tr>
      <w:tr>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KubeEdge</w:t>
            </w:r>
          </w:p>
        </w:tc>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~40</w:t>
            </w:r>
          </w:p>
        </w:tc>
        <w:tc>
          <w:tcPr>
            <w:tcW w:type="dxa" w:w="23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2,858</w:t>
            </w:r>
          </w:p>
        </w:tc>
        <w:tc>
          <w:tcPr>
            <w:tcW w:type="dxa" w:w="2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Sim (via WebSocket nuvem-borda)</w:t>
            </w:r>
          </w:p>
        </w:tc>
      </w:tr>
      <w:tr>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ioFog</w:t>
            </w:r>
          </w:p>
        </w:tc>
        <w:tc>
          <w:tcPr>
            <w:tcW w:type="dxa" w:w="19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~240</w:t>
            </w:r>
          </w:p>
        </w:tc>
        <w:tc>
          <w:tcPr>
            <w:tcW w:type="dxa" w:w="23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34,537</w:t>
            </w:r>
          </w:p>
        </w:tc>
        <w:tc>
          <w:tcPr>
            <w:tcW w:type="dxa" w:w="27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Sim</w:t>
            </w:r>
          </w:p>
        </w:tc>
      </w:tr>
    </w:tbl>
    <w:p>
      <w:pPr>
        <w:spacing w:after="200" w:before="60" w:line="240" w:lineRule="auto"/>
      </w:pPr>
      <w:r>
        <w:rPr>
          <w:rFonts w:ascii="Times New Roman" w:cs="Times New Roman" w:eastAsia="Times New Roman" w:hAnsi="Times New Roman"/>
          <w:sz w:val="20"/>
          <w:szCs w:val="20"/>
        </w:rPr>
        <w:t xml:space="preserve">Fonte: elaborada pelo autor com base em Čilić et al. (2023).</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O Kubernetes padrão mostra-se eficiente em memória, com cerca de 50 MB de consumo, mas não oferece suporte nativo a redes privadas, dependendo de VPN externa. O K3s e o KubeEdge equilibram esse desempenho com flexibilidade de rede, viabilizando a inclusão de nós em redes privadas. O ioFog, ao contrário, apresenta consumo de memória muito superior e tempos de inicialização elevados, o que limita seu uso em cenários restritos.</w:t>
      </w:r>
    </w:p>
    <w:p>
      <w:pPr>
        <w:keepNext/>
        <w:spacing w:after="160" w:before="260" w:line="360" w:lineRule="auto"/>
      </w:pPr>
      <w:r>
        <w:rPr>
          <w:rFonts w:ascii="Times New Roman" w:cs="Times New Roman" w:eastAsia="Times New Roman" w:hAnsi="Times New Roman"/>
          <w:b/>
          <w:bCs/>
          <w:sz w:val="24"/>
          <w:szCs w:val="24"/>
        </w:rPr>
        <w:t xml:space="preserve">10.4 Análise de gargalos em cargas de trabalho especializadas</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A containerização não é isenta de desafios. Em aplicações de deep learning e em pipelines de curta duração, o gerenciamento de entrada e saída e a latência de inicialização tornam-se pontos críticos. A Tabela 4 relaciona o impacto da containerização aos diferentes tipos de carga de trabalho.</w:t>
      </w:r>
    </w:p>
    <w:p>
      <w:pPr>
        <w:keepNext/>
        <w:spacing w:after="60" w:before="160" w:line="240" w:lineRule="auto"/>
      </w:pPr>
      <w:r>
        <w:rPr>
          <w:rFonts w:ascii="Times New Roman" w:cs="Times New Roman" w:eastAsia="Times New Roman" w:hAnsi="Times New Roman"/>
          <w:b/>
          <w:bCs/>
          <w:sz w:val="20"/>
          <w:szCs w:val="20"/>
        </w:rPr>
        <w:t xml:space="preserve">Tabela 4: Impacto da containerização por tipo de carga de trabalho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570"/>
        <w:gridCol w:w="2600"/>
      </w:tblGrid>
      <w:tr>
        <w:trPr>
          <w:tblHeader/>
        </w:trPr>
        <w:tc>
          <w:tcPr>
            <w:tcW w:type="dxa" w:w="18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Tipo de aplicação</w:t>
            </w:r>
          </w:p>
        </w:tc>
        <w:tc>
          <w:tcPr>
            <w:tcW w:type="dxa" w:w="21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Impacto do Docker</w:t>
            </w:r>
          </w:p>
        </w:tc>
        <w:tc>
          <w:tcPr>
            <w:tcW w:type="dxa" w:w="257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Causa principal do impacto</w:t>
            </w:r>
          </w:p>
        </w:tc>
        <w:tc>
          <w:tcPr>
            <w:tcW w:type="dxa" w:w="2600"/>
            <w:tcBorders>
              <w:top w:val="single" w:color="999999" w:sz="2"/>
              <w:left w:val="single" w:color="999999" w:sz="2"/>
              <w:bottom w:val="single" w:color="999999" w:sz="2"/>
              <w:right w:val="single" w:color="999999" w:sz="2"/>
            </w:tcBorders>
            <w:shd w:fill="D5E8F0" w:color="auto" w:val="clear"/>
            <w:tcMar>
              <w:top w:type="dxa" w:w="60"/>
              <w:left w:type="dxa" w:w="100"/>
              <w:bottom w:type="dxa" w:w="60"/>
              <w:right w:type="dxa" w:w="100"/>
            </w:tcMar>
            <w:vAlign w:val="center"/>
          </w:tcPr>
          <w:p>
            <w:pPr>
              <w:spacing w:after="0" w:line="240" w:lineRule="auto"/>
              <w:jc w:val="center"/>
            </w:pPr>
            <w:r>
              <w:rPr>
                <w:rFonts w:ascii="Times New Roman" w:cs="Times New Roman" w:eastAsia="Times New Roman" w:hAnsi="Times New Roman"/>
                <w:b/>
                <w:bCs/>
                <w:sz w:val="20"/>
                <w:szCs w:val="20"/>
              </w:rPr>
              <w:t xml:space="preserve">Solução proposta</w:t>
            </w:r>
          </w:p>
        </w:tc>
      </w:tr>
      <w:tr>
        <w:tc>
          <w:tcPr>
            <w:tcW w:type="dxa" w:w="18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Deep learning</w:t>
            </w:r>
          </w:p>
        </w:tc>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Gargalo em escritas (write-back)</w:t>
            </w:r>
          </w:p>
        </w:tc>
        <w:tc>
          <w:tcPr>
            <w:tcW w:type="dxa" w:w="25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Sincronização frequente de páginas sujas (dirty pages)</w:t>
            </w:r>
          </w:p>
        </w:tc>
        <w:tc>
          <w:tcPr>
            <w:tcW w:type="dxa" w:w="26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Camada intermediária de memória não volátil (NVMe).</w:t>
            </w:r>
          </w:p>
        </w:tc>
      </w:tr>
      <w:tr>
        <w:tc>
          <w:tcPr>
            <w:tcW w:type="dxa" w:w="18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Genômica (tarefas longas)</w:t>
            </w:r>
          </w:p>
        </w:tc>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Desprezível (0,1%)</w:t>
            </w:r>
          </w:p>
        </w:tc>
        <w:tc>
          <w:tcPr>
            <w:tcW w:type="dxa" w:w="25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Estabilidade do runtime isolado</w:t>
            </w:r>
          </w:p>
        </w:tc>
        <w:tc>
          <w:tcPr>
            <w:tcW w:type="dxa" w:w="26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Uso do Nextflow para transparência.</w:t>
            </w:r>
          </w:p>
        </w:tc>
      </w:tr>
      <w:tr>
        <w:tc>
          <w:tcPr>
            <w:tcW w:type="dxa" w:w="18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Genômica (tarefas curtas)</w:t>
            </w:r>
          </w:p>
        </w:tc>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Alto (65% de lentidão)</w:t>
            </w:r>
          </w:p>
        </w:tc>
        <w:tc>
          <w:tcPr>
            <w:tcW w:type="dxa" w:w="25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Overhead de instanciar o container repetidamente</w:t>
            </w:r>
          </w:p>
        </w:tc>
        <w:tc>
          <w:tcPr>
            <w:tcW w:type="dxa" w:w="26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Agrupamento de tarefas (batching) ou processamento nativo.</w:t>
            </w:r>
          </w:p>
        </w:tc>
      </w:tr>
      <w:tr>
        <w:tc>
          <w:tcPr>
            <w:tcW w:type="dxa" w:w="18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Pesquisa científica</w:t>
            </w:r>
          </w:p>
        </w:tc>
        <w:tc>
          <w:tcPr>
            <w:tcW w:type="dxa" w:w="21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Positivo (reprodutibilidade)</w:t>
            </w:r>
          </w:p>
        </w:tc>
        <w:tc>
          <w:tcPr>
            <w:tcW w:type="dxa" w:w="257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Eliminação do inferno de dependências</w:t>
            </w:r>
          </w:p>
        </w:tc>
        <w:tc>
          <w:tcPr>
            <w:tcW w:type="dxa" w:w="2600"/>
            <w:tcBorders>
              <w:top w:val="single" w:color="999999" w:sz="2"/>
              <w:left w:val="single" w:color="999999" w:sz="2"/>
              <w:bottom w:val="single" w:color="999999" w:sz="2"/>
              <w:right w:val="single" w:color="999999" w:sz="2"/>
            </w:tcBorders>
            <w:shd w:fill="FFFFFF" w:color="auto" w:val="clear"/>
            <w:tcMar>
              <w:top w:type="dxa" w:w="60"/>
              <w:left w:type="dxa" w:w="100"/>
              <w:bottom w:type="dxa" w:w="60"/>
              <w:right w:type="dxa" w:w="100"/>
            </w:tcMar>
            <w:vAlign w:val="center"/>
          </w:tcPr>
          <w:p>
            <w:pPr>
              <w:spacing w:after="0" w:line="240" w:lineRule="auto"/>
              <w:jc w:val="left"/>
            </w:pPr>
            <w:r>
              <w:rPr>
                <w:rFonts w:ascii="Times New Roman" w:cs="Times New Roman" w:eastAsia="Times New Roman" w:hAnsi="Times New Roman"/>
                <w:b w:val="false"/>
                <w:bCs w:val="false"/>
                <w:sz w:val="20"/>
                <w:szCs w:val="20"/>
              </w:rPr>
              <w:t xml:space="preserve">Uso de Dockerfiles como documentação autoexecutável.</w:t>
            </w:r>
          </w:p>
        </w:tc>
      </w:tr>
    </w:tbl>
    <w:p>
      <w:pPr>
        <w:spacing w:after="200" w:before="60" w:line="240" w:lineRule="auto"/>
      </w:pPr>
      <w:r>
        <w:rPr>
          <w:rFonts w:ascii="Times New Roman" w:cs="Times New Roman" w:eastAsia="Times New Roman" w:hAnsi="Times New Roman"/>
          <w:sz w:val="20"/>
          <w:szCs w:val="20"/>
        </w:rPr>
        <w:t xml:space="preserve">Fonte: elaborada pelo autor com base nas fontes analisadas (2026).</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Os achados mostram que o impacto do Docker depende fortemente do tipo de tarefa. Em tarefas longas de genômica, o overhead é desprezível, próximo de 0,1%, mas em tarefas curtas ele pode chegar a 65% de lentidão, por causa do custo repetido de instanciar o container. No deep learning, o gargalo aparece nas operações de escrita, com a solução proposta no uso de camadas intermediárias de memória não volátil. Já na pesquisa científica, o efeito é positivo, pois a containerização elimina o chamado inferno de dependências e garante a reprodutibilidade dos resultados.</w:t>
      </w:r>
    </w:p>
    <w:p>
      <w:pPr>
        <w:keepNext/>
        <w:spacing w:after="160" w:before="260" w:line="360" w:lineRule="auto"/>
      </w:pPr>
      <w:r>
        <w:rPr>
          <w:rFonts w:ascii="Times New Roman" w:cs="Times New Roman" w:eastAsia="Times New Roman" w:hAnsi="Times New Roman"/>
          <w:b/>
          <w:bCs/>
          <w:sz w:val="24"/>
          <w:szCs w:val="24"/>
        </w:rPr>
        <w:t xml:space="preserve">10.5 Síntese da comparação</w:t>
      </w:r>
    </w:p>
    <w:p>
      <w:pPr>
        <w:spacing w:after="120" w:line="360" w:lineRule="auto"/>
        <w:ind w:firstLine="709"/>
        <w:jc w:val="both"/>
      </w:pPr>
      <w:r>
        <w:rPr>
          <w:rFonts w:ascii="Times New Roman" w:cs="Times New Roman" w:eastAsia="Times New Roman" w:hAnsi="Times New Roman"/>
          <w:b w:val="false"/>
          <w:bCs w:val="false"/>
          <w:i w:val="false"/>
          <w:iCs w:val="false"/>
          <w:sz w:val="24"/>
          <w:szCs w:val="24"/>
        </w:rPr>
        <w:t xml:space="preserve">De modo geral, a infraestrutura de dados moderna se beneficia da agilidade dos containers para escala horizontal e reprodutibilidade. A revisão de estado da arte de Pahl et al. (2019) consolida esse panorama ao sistematizar os trade-offs entre desempenho e isolamento que aparecem de forma recorrente nas evidências empíricas reunidas nas Tabelas 1 a 4. Para sistemas de alta intensidade de escrita, como o deep learning, recomendam-se estratégias de cache em hardware. Em ambientes de borda, o K3s e o KubeEdge oferecem o melhor equilíbrio entre o desempenho do Kubernetes e a flexibilidade de rede exigida em campo. Os dados confirmam a resposta à pergunta de pesquisa: o uso de containers afeta positivamente a eficiência das pipelines de dados, com ganhos que se intensificam em ambientes distribuídos e de grande escala, ressalvados os casos específicos de tarefas de curtíssima duração.</w:t>
      </w:r>
    </w:p>
    <w:p>
      <w:pPr>
        <w:pageBreakBefore/>
        <w:spacing w:after="240" w:before="480" w:line="360" w:lineRule="auto"/>
      </w:pPr>
      <w:r>
        <w:rPr>
          <w:rFonts w:ascii="Times New Roman" w:cs="Times New Roman" w:eastAsia="Times New Roman" w:hAnsi="Times New Roman"/>
          <w:b/>
          <w:bCs/>
          <w:sz w:val="24"/>
          <w:szCs w:val="24"/>
        </w:rPr>
        <w:t xml:space="preserve">REFERÊNCIAS</w:t>
      </w:r>
    </w:p>
    <w:p>
      <w:pPr>
        <w:spacing w:after="200" w:line="240" w:lineRule="auto"/>
        <w:jc w:val="left"/>
      </w:pPr>
      <w:r>
        <w:rPr>
          <w:rFonts w:ascii="Times New Roman" w:cs="Times New Roman" w:eastAsia="Times New Roman" w:hAnsi="Times New Roman"/>
          <w:b w:val="false"/>
          <w:bCs w:val="false"/>
          <w:i w:val="false"/>
          <w:iCs w:val="false"/>
          <w:sz w:val="24"/>
          <w:szCs w:val="24"/>
        </w:rPr>
        <w:t xml:space="preserve">AQASIZADE, H.; ATAIE, E.; BASTAM, M. </w:t>
      </w:r>
      <w:r>
        <w:rPr>
          <w:rFonts w:ascii="Times New Roman" w:cs="Times New Roman" w:eastAsia="Times New Roman" w:hAnsi="Times New Roman"/>
          <w:b w:val="false"/>
          <w:bCs w:val="false"/>
          <w:i/>
          <w:iCs/>
          <w:sz w:val="24"/>
          <w:szCs w:val="24"/>
        </w:rPr>
        <w:t xml:space="preserve">Experimental assessment of containers running on top of virtual machines</w:t>
      </w:r>
      <w:r>
        <w:rPr>
          <w:rFonts w:ascii="Times New Roman" w:cs="Times New Roman" w:eastAsia="Times New Roman" w:hAnsi="Times New Roman"/>
          <w:b w:val="false"/>
          <w:bCs w:val="false"/>
          <w:i w:val="false"/>
          <w:iCs w:val="false"/>
          <w:sz w:val="24"/>
          <w:szCs w:val="24"/>
        </w:rPr>
        <w:t xml:space="preserve">. arXiv, 2024. arXiv:2401.07539. Disponível em: </w:t>
      </w:r>
      <w:hyperlink w:history="1" r:id="rId9_4bxzzgyzufo6fvepyv4">
        <w:r>
          <w:rPr>
            <w:rFonts w:ascii="Times New Roman" w:cs="Times New Roman" w:eastAsia="Times New Roman" w:hAnsi="Times New Roman"/>
            <w:color w:val="0000FF"/>
            <w:sz w:val="24"/>
            <w:szCs w:val="24"/>
            <w:u w:val="single"/>
          </w:rPr>
          <w:t xml:space="preserve">https://arxiv.org/abs/2401.07539</w:t>
        </w:r>
      </w:hyperlink>
      <w:r>
        <w:rPr>
          <w:rFonts w:ascii="Times New Roman" w:cs="Times New Roman" w:eastAsia="Times New Roman" w:hAnsi="Times New Roman"/>
          <w:b w:val="false"/>
          <w:bCs w:val="false"/>
          <w:i w:val="false"/>
          <w:iCs w:val="false"/>
          <w:sz w:val="24"/>
          <w:szCs w:val="24"/>
        </w:rPr>
        <w:t xml:space="preserve">. Acesso em: 22 jun. 2026.</w:t>
      </w:r>
    </w:p>
    <w:p>
      <w:pPr>
        <w:spacing w:after="200" w:line="240" w:lineRule="auto"/>
        <w:jc w:val="left"/>
      </w:pPr>
      <w:r>
        <w:rPr>
          <w:rFonts w:ascii="Times New Roman" w:cs="Times New Roman" w:eastAsia="Times New Roman" w:hAnsi="Times New Roman"/>
          <w:b w:val="false"/>
          <w:bCs w:val="false"/>
          <w:i w:val="false"/>
          <w:iCs w:val="false"/>
          <w:sz w:val="24"/>
          <w:szCs w:val="24"/>
        </w:rPr>
        <w:t xml:space="preserve">AURANGZAIB, R. et al. Scalable containerized pipeline for real-time big data analytics. </w:t>
      </w:r>
      <w:r>
        <w:rPr>
          <w:rFonts w:ascii="Times New Roman" w:cs="Times New Roman" w:eastAsia="Times New Roman" w:hAnsi="Times New Roman"/>
          <w:b w:val="false"/>
          <w:bCs w:val="false"/>
          <w:i/>
          <w:iCs/>
          <w:sz w:val="24"/>
          <w:szCs w:val="24"/>
        </w:rPr>
        <w:t xml:space="preserve">In</w:t>
      </w:r>
      <w:r>
        <w:rPr>
          <w:rFonts w:ascii="Times New Roman" w:cs="Times New Roman" w:eastAsia="Times New Roman" w:hAnsi="Times New Roman"/>
          <w:b w:val="false"/>
          <w:bCs w:val="false"/>
          <w:i w:val="false"/>
          <w:iCs w:val="false"/>
          <w:sz w:val="24"/>
          <w:szCs w:val="24"/>
        </w:rPr>
        <w:t xml:space="preserve">: IEEE INTERNATIONAL CONFERENCE ON CLOUD COMPUTING TECHNOLOGY AND SCIENCE (CLOUDCOM), 2022. </w:t>
      </w:r>
      <w:r>
        <w:rPr>
          <w:rFonts w:ascii="Times New Roman" w:cs="Times New Roman" w:eastAsia="Times New Roman" w:hAnsi="Times New Roman"/>
          <w:b w:val="false"/>
          <w:bCs w:val="false"/>
          <w:i/>
          <w:iCs/>
          <w:sz w:val="24"/>
          <w:szCs w:val="24"/>
        </w:rPr>
        <w:t xml:space="preserve">Anais [...]</w:t>
      </w:r>
      <w:r>
        <w:rPr>
          <w:rFonts w:ascii="Times New Roman" w:cs="Times New Roman" w:eastAsia="Times New Roman" w:hAnsi="Times New Roman"/>
          <w:b w:val="false"/>
          <w:bCs w:val="false"/>
          <w:i w:val="false"/>
          <w:iCs w:val="false"/>
          <w:sz w:val="24"/>
          <w:szCs w:val="24"/>
        </w:rPr>
        <w:t xml:space="preserve">. [S. l.]: IEEE, 2022. p. 25-32. DOI: 10.1109/CloudCom55334.2022.00014. Disponível em: </w:t>
      </w:r>
      <w:hyperlink w:history="1" r:id="rIdj_qy6dqyelzbf7nyue-te">
        <w:r>
          <w:rPr>
            <w:rFonts w:ascii="Times New Roman" w:cs="Times New Roman" w:eastAsia="Times New Roman" w:hAnsi="Times New Roman"/>
            <w:color w:val="0000FF"/>
            <w:sz w:val="24"/>
            <w:szCs w:val="24"/>
            <w:u w:val="single"/>
          </w:rPr>
          <w:t xml:space="preserve">https://ieeexplore.ieee.org/document/10005498</w:t>
        </w:r>
      </w:hyperlink>
      <w:r>
        <w:rPr>
          <w:rFonts w:ascii="Times New Roman" w:cs="Times New Roman" w:eastAsia="Times New Roman" w:hAnsi="Times New Roman"/>
          <w:b w:val="false"/>
          <w:bCs w:val="false"/>
          <w:i w:val="false"/>
          <w:iCs w:val="false"/>
          <w:sz w:val="24"/>
          <w:szCs w:val="24"/>
        </w:rPr>
        <w:t xml:space="preserve">. Acesso em: 22 jun. 2026.</w:t>
      </w:r>
    </w:p>
    <w:p>
      <w:pPr>
        <w:spacing w:after="200" w:line="240" w:lineRule="auto"/>
        <w:jc w:val="left"/>
      </w:pPr>
      <w:r>
        <w:rPr>
          <w:rFonts w:ascii="Times New Roman" w:cs="Times New Roman" w:eastAsia="Times New Roman" w:hAnsi="Times New Roman"/>
          <w:b w:val="false"/>
          <w:bCs w:val="false"/>
          <w:i w:val="false"/>
          <w:iCs w:val="false"/>
          <w:sz w:val="24"/>
          <w:szCs w:val="24"/>
        </w:rPr>
        <w:t xml:space="preserve">BOETTIGER, C. An introduction to Docker for reproducible research, with examples from the R environment. </w:t>
      </w:r>
      <w:r>
        <w:rPr>
          <w:rFonts w:ascii="Times New Roman" w:cs="Times New Roman" w:eastAsia="Times New Roman" w:hAnsi="Times New Roman"/>
          <w:b w:val="false"/>
          <w:bCs w:val="false"/>
          <w:i/>
          <w:iCs/>
          <w:sz w:val="24"/>
          <w:szCs w:val="24"/>
        </w:rPr>
        <w:t xml:space="preserve">ACM SIGOPS Operating Systems Review</w:t>
      </w:r>
      <w:r>
        <w:rPr>
          <w:rFonts w:ascii="Times New Roman" w:cs="Times New Roman" w:eastAsia="Times New Roman" w:hAnsi="Times New Roman"/>
          <w:b w:val="false"/>
          <w:bCs w:val="false"/>
          <w:i w:val="false"/>
          <w:iCs w:val="false"/>
          <w:sz w:val="24"/>
          <w:szCs w:val="24"/>
        </w:rPr>
        <w:t xml:space="preserve">, v. 49, n. 1, p. 71-79, 2015. DOI: 10.1145/2723872.2723882. Disponível em: </w:t>
      </w:r>
      <w:hyperlink w:history="1" r:id="rId_q42jhskpic8rl4pw9cvz">
        <w:r>
          <w:rPr>
            <w:rFonts w:ascii="Times New Roman" w:cs="Times New Roman" w:eastAsia="Times New Roman" w:hAnsi="Times New Roman"/>
            <w:color w:val="0000FF"/>
            <w:sz w:val="24"/>
            <w:szCs w:val="24"/>
            <w:u w:val="single"/>
          </w:rPr>
          <w:t xml:space="preserve">https://arxiv.org/abs/1410.0846</w:t>
        </w:r>
      </w:hyperlink>
      <w:r>
        <w:rPr>
          <w:rFonts w:ascii="Times New Roman" w:cs="Times New Roman" w:eastAsia="Times New Roman" w:hAnsi="Times New Roman"/>
          <w:b w:val="false"/>
          <w:bCs w:val="false"/>
          <w:i w:val="false"/>
          <w:iCs w:val="false"/>
          <w:sz w:val="24"/>
          <w:szCs w:val="24"/>
        </w:rPr>
        <w:t xml:space="preserve">. Acesso em: 22 jun. 2026.</w:t>
      </w:r>
    </w:p>
    <w:p>
      <w:pPr>
        <w:spacing w:after="200" w:line="240" w:lineRule="auto"/>
        <w:jc w:val="left"/>
      </w:pPr>
      <w:r>
        <w:rPr>
          <w:rFonts w:ascii="Times New Roman" w:cs="Times New Roman" w:eastAsia="Times New Roman" w:hAnsi="Times New Roman"/>
          <w:b w:val="false"/>
          <w:bCs w:val="false"/>
          <w:i w:val="false"/>
          <w:iCs w:val="false"/>
          <w:sz w:val="24"/>
          <w:szCs w:val="24"/>
        </w:rPr>
        <w:t xml:space="preserve">ČILIĆ, I. et al. Performance evaluation of container orchestration tools in edge computing environments. </w:t>
      </w:r>
      <w:r>
        <w:rPr>
          <w:rFonts w:ascii="Times New Roman" w:cs="Times New Roman" w:eastAsia="Times New Roman" w:hAnsi="Times New Roman"/>
          <w:b w:val="false"/>
          <w:bCs w:val="false"/>
          <w:i/>
          <w:iCs/>
          <w:sz w:val="24"/>
          <w:szCs w:val="24"/>
        </w:rPr>
        <w:t xml:space="preserve">Sensors</w:t>
      </w:r>
      <w:r>
        <w:rPr>
          <w:rFonts w:ascii="Times New Roman" w:cs="Times New Roman" w:eastAsia="Times New Roman" w:hAnsi="Times New Roman"/>
          <w:b w:val="false"/>
          <w:bCs w:val="false"/>
          <w:i w:val="false"/>
          <w:iCs w:val="false"/>
          <w:sz w:val="24"/>
          <w:szCs w:val="24"/>
        </w:rPr>
        <w:t xml:space="preserve">, v. 23, n. 8, p. 4008, 2023. DOI: 10.3390/s23084008. Disponível em: </w:t>
      </w:r>
      <w:hyperlink w:history="1" r:id="rIdratkhynqksps8rjc_5wvz">
        <w:r>
          <w:rPr>
            <w:rFonts w:ascii="Times New Roman" w:cs="Times New Roman" w:eastAsia="Times New Roman" w:hAnsi="Times New Roman"/>
            <w:color w:val="0000FF"/>
            <w:sz w:val="24"/>
            <w:szCs w:val="24"/>
            <w:u w:val="single"/>
          </w:rPr>
          <w:t xml:space="preserve">https://www.mdpi.com/1424-8220/23/8/4008</w:t>
        </w:r>
      </w:hyperlink>
      <w:r>
        <w:rPr>
          <w:rFonts w:ascii="Times New Roman" w:cs="Times New Roman" w:eastAsia="Times New Roman" w:hAnsi="Times New Roman"/>
          <w:b w:val="false"/>
          <w:bCs w:val="false"/>
          <w:i w:val="false"/>
          <w:iCs w:val="false"/>
          <w:sz w:val="24"/>
          <w:szCs w:val="24"/>
        </w:rPr>
        <w:t xml:space="preserve">. Acesso em: 22 jun. 2026.</w:t>
      </w:r>
    </w:p>
    <w:p>
      <w:pPr>
        <w:spacing w:after="200" w:line="240" w:lineRule="auto"/>
        <w:jc w:val="left"/>
      </w:pPr>
      <w:r>
        <w:rPr>
          <w:rFonts w:ascii="Times New Roman" w:cs="Times New Roman" w:eastAsia="Times New Roman" w:hAnsi="Times New Roman"/>
          <w:b w:val="false"/>
          <w:bCs w:val="false"/>
          <w:i w:val="false"/>
          <w:iCs w:val="false"/>
          <w:sz w:val="24"/>
          <w:szCs w:val="24"/>
        </w:rPr>
        <w:t xml:space="preserve">DI TOMMASO, P. et al. The impact of Docker containers on the performance of genomic pipelines. </w:t>
      </w:r>
      <w:r>
        <w:rPr>
          <w:rFonts w:ascii="Times New Roman" w:cs="Times New Roman" w:eastAsia="Times New Roman" w:hAnsi="Times New Roman"/>
          <w:b w:val="false"/>
          <w:bCs w:val="false"/>
          <w:i/>
          <w:iCs/>
          <w:sz w:val="24"/>
          <w:szCs w:val="24"/>
        </w:rPr>
        <w:t xml:space="preserve">PeerJ</w:t>
      </w:r>
      <w:r>
        <w:rPr>
          <w:rFonts w:ascii="Times New Roman" w:cs="Times New Roman" w:eastAsia="Times New Roman" w:hAnsi="Times New Roman"/>
          <w:b w:val="false"/>
          <w:bCs w:val="false"/>
          <w:i w:val="false"/>
          <w:iCs w:val="false"/>
          <w:sz w:val="24"/>
          <w:szCs w:val="24"/>
        </w:rPr>
        <w:t xml:space="preserve">, v. 3, e1273, 2015. DOI: 10.7717/peerj.1273. Disponível em: </w:t>
      </w:r>
      <w:hyperlink w:history="1" r:id="rIdoi4tiexmdcyooygrx2mla">
        <w:r>
          <w:rPr>
            <w:rFonts w:ascii="Times New Roman" w:cs="Times New Roman" w:eastAsia="Times New Roman" w:hAnsi="Times New Roman"/>
            <w:color w:val="0000FF"/>
            <w:sz w:val="24"/>
            <w:szCs w:val="24"/>
            <w:u w:val="single"/>
          </w:rPr>
          <w:t xml:space="preserve">https://peerj.com/articles/1273</w:t>
        </w:r>
      </w:hyperlink>
      <w:r>
        <w:rPr>
          <w:rFonts w:ascii="Times New Roman" w:cs="Times New Roman" w:eastAsia="Times New Roman" w:hAnsi="Times New Roman"/>
          <w:b w:val="false"/>
          <w:bCs w:val="false"/>
          <w:i w:val="false"/>
          <w:iCs w:val="false"/>
          <w:sz w:val="24"/>
          <w:szCs w:val="24"/>
        </w:rPr>
        <w:t xml:space="preserve">. Acesso em: 22 jun. 2026.</w:t>
      </w:r>
    </w:p>
    <w:p>
      <w:pPr>
        <w:spacing w:after="200" w:line="240" w:lineRule="auto"/>
        <w:jc w:val="left"/>
      </w:pPr>
      <w:r>
        <w:rPr>
          <w:rFonts w:ascii="Times New Roman" w:cs="Times New Roman" w:eastAsia="Times New Roman" w:hAnsi="Times New Roman"/>
          <w:b w:val="false"/>
          <w:bCs w:val="false"/>
          <w:i w:val="false"/>
          <w:iCs w:val="false"/>
          <w:sz w:val="24"/>
          <w:szCs w:val="24"/>
        </w:rPr>
        <w:t xml:space="preserve">FELTER, W. et al. An updated performance comparison of virtual machines and Linux containers. </w:t>
      </w:r>
      <w:r>
        <w:rPr>
          <w:rFonts w:ascii="Times New Roman" w:cs="Times New Roman" w:eastAsia="Times New Roman" w:hAnsi="Times New Roman"/>
          <w:b w:val="false"/>
          <w:bCs w:val="false"/>
          <w:i/>
          <w:iCs/>
          <w:sz w:val="24"/>
          <w:szCs w:val="24"/>
        </w:rPr>
        <w:t xml:space="preserve">In</w:t>
      </w:r>
      <w:r>
        <w:rPr>
          <w:rFonts w:ascii="Times New Roman" w:cs="Times New Roman" w:eastAsia="Times New Roman" w:hAnsi="Times New Roman"/>
          <w:b w:val="false"/>
          <w:bCs w:val="false"/>
          <w:i w:val="false"/>
          <w:iCs w:val="false"/>
          <w:sz w:val="24"/>
          <w:szCs w:val="24"/>
        </w:rPr>
        <w:t xml:space="preserve">: IEEE INTERNATIONAL SYMPOSIUM ON PERFORMANCE ANALYSIS OF SYSTEMS AND SOFTWARE (ISPASS), 2015. </w:t>
      </w:r>
      <w:r>
        <w:rPr>
          <w:rFonts w:ascii="Times New Roman" w:cs="Times New Roman" w:eastAsia="Times New Roman" w:hAnsi="Times New Roman"/>
          <w:b w:val="false"/>
          <w:bCs w:val="false"/>
          <w:i/>
          <w:iCs/>
          <w:sz w:val="24"/>
          <w:szCs w:val="24"/>
        </w:rPr>
        <w:t xml:space="preserve">Anais [...]</w:t>
      </w:r>
      <w:r>
        <w:rPr>
          <w:rFonts w:ascii="Times New Roman" w:cs="Times New Roman" w:eastAsia="Times New Roman" w:hAnsi="Times New Roman"/>
          <w:b w:val="false"/>
          <w:bCs w:val="false"/>
          <w:i w:val="false"/>
          <w:iCs w:val="false"/>
          <w:sz w:val="24"/>
          <w:szCs w:val="24"/>
        </w:rPr>
        <w:t xml:space="preserve">. [S. l.]: IEEE, 2015. p. 171-172. DOI: 10.1109/ISPASS.2015.7095802.</w:t>
      </w:r>
    </w:p>
    <w:p>
      <w:pPr>
        <w:spacing w:after="200" w:line="240" w:lineRule="auto"/>
        <w:jc w:val="left"/>
      </w:pPr>
      <w:r>
        <w:rPr>
          <w:rFonts w:ascii="Times New Roman" w:cs="Times New Roman" w:eastAsia="Times New Roman" w:hAnsi="Times New Roman"/>
          <w:b w:val="false"/>
          <w:bCs w:val="false"/>
          <w:i w:val="false"/>
          <w:iCs w:val="false"/>
          <w:sz w:val="24"/>
          <w:szCs w:val="24"/>
        </w:rPr>
        <w:t xml:space="preserve">MORABITO, R. Virtualization on Internet of Things edge devices with container technologies: a performance evaluation. </w:t>
      </w:r>
      <w:r>
        <w:rPr>
          <w:rFonts w:ascii="Times New Roman" w:cs="Times New Roman" w:eastAsia="Times New Roman" w:hAnsi="Times New Roman"/>
          <w:b w:val="false"/>
          <w:bCs w:val="false"/>
          <w:i/>
          <w:iCs/>
          <w:sz w:val="24"/>
          <w:szCs w:val="24"/>
        </w:rPr>
        <w:t xml:space="preserve">IEEE Access</w:t>
      </w:r>
      <w:r>
        <w:rPr>
          <w:rFonts w:ascii="Times New Roman" w:cs="Times New Roman" w:eastAsia="Times New Roman" w:hAnsi="Times New Roman"/>
          <w:b w:val="false"/>
          <w:bCs w:val="false"/>
          <w:i w:val="false"/>
          <w:iCs w:val="false"/>
          <w:sz w:val="24"/>
          <w:szCs w:val="24"/>
        </w:rPr>
        <w:t xml:space="preserve">, v. 5, p. 8835-8850, 2017. DOI: 10.1109/ACCESS.2017.2718650. Disponível em: </w:t>
      </w:r>
      <w:hyperlink w:history="1" r:id="rIda6ls9guiqsy-cy6fyhy0w">
        <w:r>
          <w:rPr>
            <w:rFonts w:ascii="Times New Roman" w:cs="Times New Roman" w:eastAsia="Times New Roman" w:hAnsi="Times New Roman"/>
            <w:color w:val="0000FF"/>
            <w:sz w:val="24"/>
            <w:szCs w:val="24"/>
            <w:u w:val="single"/>
          </w:rPr>
          <w:t xml:space="preserve">https://ieeexplore.ieee.org/document/7946339</w:t>
        </w:r>
      </w:hyperlink>
      <w:r>
        <w:rPr>
          <w:rFonts w:ascii="Times New Roman" w:cs="Times New Roman" w:eastAsia="Times New Roman" w:hAnsi="Times New Roman"/>
          <w:b w:val="false"/>
          <w:bCs w:val="false"/>
          <w:i w:val="false"/>
          <w:iCs w:val="false"/>
          <w:sz w:val="24"/>
          <w:szCs w:val="24"/>
        </w:rPr>
        <w:t xml:space="preserve">. Acesso em: 22 jun. 2026.</w:t>
      </w:r>
    </w:p>
    <w:p>
      <w:pPr>
        <w:spacing w:after="200" w:line="240" w:lineRule="auto"/>
        <w:jc w:val="left"/>
      </w:pPr>
      <w:r>
        <w:rPr>
          <w:rFonts w:ascii="Times New Roman" w:cs="Times New Roman" w:eastAsia="Times New Roman" w:hAnsi="Times New Roman"/>
          <w:b w:val="false"/>
          <w:bCs w:val="false"/>
          <w:i w:val="false"/>
          <w:iCs w:val="false"/>
          <w:sz w:val="24"/>
          <w:szCs w:val="24"/>
        </w:rPr>
        <w:t xml:space="preserve">PAHL, C. et al. Cloud container technologies: a state of the art review. </w:t>
      </w:r>
      <w:r>
        <w:rPr>
          <w:rFonts w:ascii="Times New Roman" w:cs="Times New Roman" w:eastAsia="Times New Roman" w:hAnsi="Times New Roman"/>
          <w:b w:val="false"/>
          <w:bCs w:val="false"/>
          <w:i/>
          <w:iCs/>
          <w:sz w:val="24"/>
          <w:szCs w:val="24"/>
        </w:rPr>
        <w:t xml:space="preserve">IEEE Transactions on Cloud Computing</w:t>
      </w:r>
      <w:r>
        <w:rPr>
          <w:rFonts w:ascii="Times New Roman" w:cs="Times New Roman" w:eastAsia="Times New Roman" w:hAnsi="Times New Roman"/>
          <w:b w:val="false"/>
          <w:bCs w:val="false"/>
          <w:i w:val="false"/>
          <w:iCs w:val="false"/>
          <w:sz w:val="24"/>
          <w:szCs w:val="24"/>
        </w:rPr>
        <w:t xml:space="preserve">, v. 7, n. 3, p. 677-692, 2019. DOI: 10.1109/TCC.2017.2702586. Disponível em: </w:t>
      </w:r>
      <w:hyperlink w:history="1" r:id="rIdwt6v6flydjg7a_p2rf2k-">
        <w:r>
          <w:rPr>
            <w:rFonts w:ascii="Times New Roman" w:cs="Times New Roman" w:eastAsia="Times New Roman" w:hAnsi="Times New Roman"/>
            <w:color w:val="0000FF"/>
            <w:sz w:val="24"/>
            <w:szCs w:val="24"/>
            <w:u w:val="single"/>
          </w:rPr>
          <w:t xml:space="preserve">https://pooyanjamshidi.github.io/resources/papers/cloud-containers-tcc.pdf</w:t>
        </w:r>
      </w:hyperlink>
      <w:r>
        <w:rPr>
          <w:rFonts w:ascii="Times New Roman" w:cs="Times New Roman" w:eastAsia="Times New Roman" w:hAnsi="Times New Roman"/>
          <w:b w:val="false"/>
          <w:bCs w:val="false"/>
          <w:i w:val="false"/>
          <w:iCs w:val="false"/>
          <w:sz w:val="24"/>
          <w:szCs w:val="24"/>
        </w:rPr>
        <w:t xml:space="preserve">. Acesso em: 22 jun. 2026.</w:t>
      </w:r>
    </w:p>
    <w:p>
      <w:pPr>
        <w:spacing w:after="200" w:line="240" w:lineRule="auto"/>
        <w:jc w:val="left"/>
      </w:pPr>
      <w:r>
        <w:rPr>
          <w:rFonts w:ascii="Times New Roman" w:cs="Times New Roman" w:eastAsia="Times New Roman" w:hAnsi="Times New Roman"/>
          <w:b w:val="false"/>
          <w:bCs w:val="false"/>
          <w:i w:val="false"/>
          <w:iCs w:val="false"/>
          <w:sz w:val="24"/>
          <w:szCs w:val="24"/>
        </w:rPr>
        <w:t xml:space="preserve">PARK, S.; BAHN, H. Performance analysis of container effect in deep learning workloads and implications. </w:t>
      </w:r>
      <w:r>
        <w:rPr>
          <w:rFonts w:ascii="Times New Roman" w:cs="Times New Roman" w:eastAsia="Times New Roman" w:hAnsi="Times New Roman"/>
          <w:b w:val="false"/>
          <w:bCs w:val="false"/>
          <w:i/>
          <w:iCs/>
          <w:sz w:val="24"/>
          <w:szCs w:val="24"/>
        </w:rPr>
        <w:t xml:space="preserve">Applied Sciences</w:t>
      </w:r>
      <w:r>
        <w:rPr>
          <w:rFonts w:ascii="Times New Roman" w:cs="Times New Roman" w:eastAsia="Times New Roman" w:hAnsi="Times New Roman"/>
          <w:b w:val="false"/>
          <w:bCs w:val="false"/>
          <w:i w:val="false"/>
          <w:iCs w:val="false"/>
          <w:sz w:val="24"/>
          <w:szCs w:val="24"/>
        </w:rPr>
        <w:t xml:space="preserve">, v. 13, n. 21, p. 11654, 2023. DOI: 10.3390/app132111654. Disponível em: </w:t>
      </w:r>
      <w:hyperlink w:history="1" r:id="rIdmjvfxm2lxonymetumgfl6">
        <w:r>
          <w:rPr>
            <w:rFonts w:ascii="Times New Roman" w:cs="Times New Roman" w:eastAsia="Times New Roman" w:hAnsi="Times New Roman"/>
            <w:color w:val="0000FF"/>
            <w:sz w:val="24"/>
            <w:szCs w:val="24"/>
            <w:u w:val="single"/>
          </w:rPr>
          <w:t xml:space="preserve">https://www.mdpi.com/2076-3417/13/21/11654</w:t>
        </w:r>
      </w:hyperlink>
      <w:r>
        <w:rPr>
          <w:rFonts w:ascii="Times New Roman" w:cs="Times New Roman" w:eastAsia="Times New Roman" w:hAnsi="Times New Roman"/>
          <w:b w:val="false"/>
          <w:bCs w:val="false"/>
          <w:i w:val="false"/>
          <w:iCs w:val="false"/>
          <w:sz w:val="24"/>
          <w:szCs w:val="24"/>
        </w:rPr>
        <w:t xml:space="preserve">. Acesso em: 22 jun. 2026.</w:t>
      </w:r>
    </w:p>
    <w:p>
      <w:pPr>
        <w:spacing w:after="200" w:line="240" w:lineRule="auto"/>
        <w:jc w:val="left"/>
      </w:pPr>
      <w:r>
        <w:rPr>
          <w:rFonts w:ascii="Times New Roman" w:cs="Times New Roman" w:eastAsia="Times New Roman" w:hAnsi="Times New Roman"/>
          <w:b w:val="false"/>
          <w:bCs w:val="false"/>
          <w:i w:val="false"/>
          <w:iCs w:val="false"/>
          <w:sz w:val="24"/>
          <w:szCs w:val="24"/>
        </w:rPr>
        <w:t xml:space="preserve">SANTIAGO DURÁN, M. et al. A gearbox model for processing large volumes of data by using pipeline systems encapsulated into virtual containers. </w:t>
      </w:r>
      <w:r>
        <w:rPr>
          <w:rFonts w:ascii="Times New Roman" w:cs="Times New Roman" w:eastAsia="Times New Roman" w:hAnsi="Times New Roman"/>
          <w:b w:val="false"/>
          <w:bCs w:val="false"/>
          <w:i/>
          <w:iCs/>
          <w:sz w:val="24"/>
          <w:szCs w:val="24"/>
        </w:rPr>
        <w:t xml:space="preserve">Future Generation Computer Systems</w:t>
      </w:r>
      <w:r>
        <w:rPr>
          <w:rFonts w:ascii="Times New Roman" w:cs="Times New Roman" w:eastAsia="Times New Roman" w:hAnsi="Times New Roman"/>
          <w:b w:val="false"/>
          <w:bCs w:val="false"/>
          <w:i w:val="false"/>
          <w:iCs w:val="false"/>
          <w:sz w:val="24"/>
          <w:szCs w:val="24"/>
        </w:rPr>
        <w:t xml:space="preserve">, v. 106, p. 304-319, 2020. DOI: 10.1016/j.future.2020.01.014. Disponível em: </w:t>
      </w:r>
      <w:hyperlink w:history="1" r:id="rIdsvsbggbwhbsius-cdjwdw">
        <w:r>
          <w:rPr>
            <w:rFonts w:ascii="Times New Roman" w:cs="Times New Roman" w:eastAsia="Times New Roman" w:hAnsi="Times New Roman"/>
            <w:color w:val="0000FF"/>
            <w:sz w:val="24"/>
            <w:szCs w:val="24"/>
            <w:u w:val="single"/>
          </w:rPr>
          <w:t xml:space="preserve">https://doi.org/10.1016/j.future.2020.01.014</w:t>
        </w:r>
      </w:hyperlink>
      <w:r>
        <w:rPr>
          <w:rFonts w:ascii="Times New Roman" w:cs="Times New Roman" w:eastAsia="Times New Roman" w:hAnsi="Times New Roman"/>
          <w:b w:val="false"/>
          <w:bCs w:val="false"/>
          <w:i w:val="false"/>
          <w:iCs w:val="false"/>
          <w:sz w:val="24"/>
          <w:szCs w:val="24"/>
        </w:rPr>
        <w:t xml:space="preserve">. Acesso em: 22 jun. 2026.</w:t>
      </w:r>
    </w:p>
    <w:p>
      <w:pPr>
        <w:spacing w:after="200" w:line="240" w:lineRule="auto"/>
        <w:jc w:val="left"/>
      </w:pPr>
      <w:r>
        <w:rPr>
          <w:rFonts w:ascii="Times New Roman" w:cs="Times New Roman" w:eastAsia="Times New Roman" w:hAnsi="Times New Roman"/>
          <w:b w:val="false"/>
          <w:bCs w:val="false"/>
          <w:i w:val="false"/>
          <w:iCs w:val="false"/>
          <w:sz w:val="24"/>
          <w:szCs w:val="24"/>
        </w:rPr>
        <w:t xml:space="preserve">SOLTANMOHAMMADI, E.; HIKMET, N. Optimizing healthcare big data processing with containerized PySpark and parallel computing: a study on ETL pipeline efficiency. </w:t>
      </w:r>
      <w:r>
        <w:rPr>
          <w:rFonts w:ascii="Times New Roman" w:cs="Times New Roman" w:eastAsia="Times New Roman" w:hAnsi="Times New Roman"/>
          <w:b w:val="false"/>
          <w:bCs w:val="false"/>
          <w:i/>
          <w:iCs/>
          <w:sz w:val="24"/>
          <w:szCs w:val="24"/>
        </w:rPr>
        <w:t xml:space="preserve">Journal of Data Analysis and Information Processing</w:t>
      </w:r>
      <w:r>
        <w:rPr>
          <w:rFonts w:ascii="Times New Roman" w:cs="Times New Roman" w:eastAsia="Times New Roman" w:hAnsi="Times New Roman"/>
          <w:b w:val="false"/>
          <w:bCs w:val="false"/>
          <w:i w:val="false"/>
          <w:iCs w:val="false"/>
          <w:sz w:val="24"/>
          <w:szCs w:val="24"/>
        </w:rPr>
        <w:t xml:space="preserve">, v. 12, n. 4, p. 544-565, 2024. DOI: 10.4236/jdaip.2024.124029. Disponível em: </w:t>
      </w:r>
      <w:hyperlink w:history="1" r:id="rIdozxkimlvss6nxgejulgro">
        <w:r>
          <w:rPr>
            <w:rFonts w:ascii="Times New Roman" w:cs="Times New Roman" w:eastAsia="Times New Roman" w:hAnsi="Times New Roman"/>
            <w:color w:val="0000FF"/>
            <w:sz w:val="24"/>
            <w:szCs w:val="24"/>
            <w:u w:val="single"/>
          </w:rPr>
          <w:t xml:space="preserve">https://www.scirp.org/journal/paperinformation?paperid=136659</w:t>
        </w:r>
      </w:hyperlink>
      <w:r>
        <w:rPr>
          <w:rFonts w:ascii="Times New Roman" w:cs="Times New Roman" w:eastAsia="Times New Roman" w:hAnsi="Times New Roman"/>
          <w:b w:val="false"/>
          <w:bCs w:val="false"/>
          <w:i w:val="false"/>
          <w:iCs w:val="false"/>
          <w:sz w:val="24"/>
          <w:szCs w:val="24"/>
        </w:rPr>
        <w:t xml:space="preserve">. Acesso em: 22 jun. 2026.</w:t>
      </w:r>
    </w:p>
    <w:p>
      <w:pPr>
        <w:spacing w:after="200" w:line="240" w:lineRule="auto"/>
        <w:jc w:val="left"/>
      </w:pPr>
      <w:r>
        <w:rPr>
          <w:rFonts w:ascii="Times New Roman" w:cs="Times New Roman" w:eastAsia="Times New Roman" w:hAnsi="Times New Roman"/>
          <w:b w:val="false"/>
          <w:bCs w:val="false"/>
          <w:i w:val="false"/>
          <w:iCs w:val="false"/>
          <w:sz w:val="24"/>
          <w:szCs w:val="24"/>
        </w:rPr>
        <w:t xml:space="preserve">ZHANG, Q. et al. A comparative study of containers and virtual machines in big data environment. </w:t>
      </w:r>
      <w:r>
        <w:rPr>
          <w:rFonts w:ascii="Times New Roman" w:cs="Times New Roman" w:eastAsia="Times New Roman" w:hAnsi="Times New Roman"/>
          <w:b w:val="false"/>
          <w:bCs w:val="false"/>
          <w:i/>
          <w:iCs/>
          <w:sz w:val="24"/>
          <w:szCs w:val="24"/>
        </w:rPr>
        <w:t xml:space="preserve">In</w:t>
      </w:r>
      <w:r>
        <w:rPr>
          <w:rFonts w:ascii="Times New Roman" w:cs="Times New Roman" w:eastAsia="Times New Roman" w:hAnsi="Times New Roman"/>
          <w:b w:val="false"/>
          <w:bCs w:val="false"/>
          <w:i w:val="false"/>
          <w:iCs w:val="false"/>
          <w:sz w:val="24"/>
          <w:szCs w:val="24"/>
        </w:rPr>
        <w:t xml:space="preserve">: IEEE INTERNATIONAL CONFERENCE ON CLOUD COMPUTING (CLOUD), 2018. </w:t>
      </w:r>
      <w:r>
        <w:rPr>
          <w:rFonts w:ascii="Times New Roman" w:cs="Times New Roman" w:eastAsia="Times New Roman" w:hAnsi="Times New Roman"/>
          <w:b w:val="false"/>
          <w:bCs w:val="false"/>
          <w:i/>
          <w:iCs/>
          <w:sz w:val="24"/>
          <w:szCs w:val="24"/>
        </w:rPr>
        <w:t xml:space="preserve">Anais [...]</w:t>
      </w:r>
      <w:r>
        <w:rPr>
          <w:rFonts w:ascii="Times New Roman" w:cs="Times New Roman" w:eastAsia="Times New Roman" w:hAnsi="Times New Roman"/>
          <w:b w:val="false"/>
          <w:bCs w:val="false"/>
          <w:i w:val="false"/>
          <w:iCs w:val="false"/>
          <w:sz w:val="24"/>
          <w:szCs w:val="24"/>
        </w:rPr>
        <w:t xml:space="preserve">. [S. l.]: IEEE, 2018. p. 178-185. DOI: 10.1109/CLOUD.2018.00030. Disponível em: </w:t>
      </w:r>
      <w:hyperlink w:history="1" r:id="rIdlvjj69ofdc9qmh60dfapo">
        <w:r>
          <w:rPr>
            <w:rFonts w:ascii="Times New Roman" w:cs="Times New Roman" w:eastAsia="Times New Roman" w:hAnsi="Times New Roman"/>
            <w:color w:val="0000FF"/>
            <w:sz w:val="24"/>
            <w:szCs w:val="24"/>
            <w:u w:val="single"/>
          </w:rPr>
          <w:t xml:space="preserve">https://arxiv.org/abs/1807.01842</w:t>
        </w:r>
      </w:hyperlink>
      <w:r>
        <w:rPr>
          <w:rFonts w:ascii="Times New Roman" w:cs="Times New Roman" w:eastAsia="Times New Roman" w:hAnsi="Times New Roman"/>
          <w:b w:val="false"/>
          <w:bCs w:val="false"/>
          <w:i w:val="false"/>
          <w:iCs w:val="false"/>
          <w:sz w:val="24"/>
          <w:szCs w:val="24"/>
        </w:rPr>
        <w:t xml:space="preserve">. Acesso em: 22 jun. 2026.</w:t>
      </w:r>
    </w:p>
    <w:sectPr>
      <w:headerReference w:type="default" r:id="rId7"/>
      <w:pgSz w:w="11906" w:h="16838" w:orient="portrait"/>
      <w:pgMar w:top="1701" w:right="1134" w:bottom="1134"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9_4bxzzgyzufo6fvepyv4" Type="http://schemas.openxmlformats.org/officeDocument/2006/relationships/hyperlink" Target="https://arxiv.org/abs/2401.07539" TargetMode="External"/><Relationship Id="rIdj_qy6dqyelzbf7nyue-te" Type="http://schemas.openxmlformats.org/officeDocument/2006/relationships/hyperlink" Target="https://ieeexplore.ieee.org/document/10005498" TargetMode="External"/><Relationship Id="rId_q42jhskpic8rl4pw9cvz" Type="http://schemas.openxmlformats.org/officeDocument/2006/relationships/hyperlink" Target="https://arxiv.org/abs/1410.0846" TargetMode="External"/><Relationship Id="rIdratkhynqksps8rjc_5wvz" Type="http://schemas.openxmlformats.org/officeDocument/2006/relationships/hyperlink" Target="https://www.mdpi.com/1424-8220/23/8/4008" TargetMode="External"/><Relationship Id="rIdoi4tiexmdcyooygrx2mla" Type="http://schemas.openxmlformats.org/officeDocument/2006/relationships/hyperlink" Target="https://peerj.com/articles/1273" TargetMode="External"/><Relationship Id="rIda6ls9guiqsy-cy6fyhy0w" Type="http://schemas.openxmlformats.org/officeDocument/2006/relationships/hyperlink" Target="https://ieeexplore.ieee.org/document/7946339" TargetMode="External"/><Relationship Id="rIdwt6v6flydjg7a_p2rf2k-" Type="http://schemas.openxmlformats.org/officeDocument/2006/relationships/hyperlink" Target="https://pooyanjamshidi.github.io/resources/papers/cloud-containers-tcc.pdf" TargetMode="External"/><Relationship Id="rIdmjvfxm2lxonymetumgfl6" Type="http://schemas.openxmlformats.org/officeDocument/2006/relationships/hyperlink" Target="https://www.mdpi.com/2076-3417/13/21/11654" TargetMode="External"/><Relationship Id="rIdsvsbggbwhbsius-cdjwdw" Type="http://schemas.openxmlformats.org/officeDocument/2006/relationships/hyperlink" Target="https://doi.org/10.1016/j.future.2020.01.014" TargetMode="External"/><Relationship Id="rIdozxkimlvss6nxgejulgro" Type="http://schemas.openxmlformats.org/officeDocument/2006/relationships/hyperlink" Target="https://www.scirp.org/journal/paperinformation?paperid=136659" TargetMode="External"/><Relationship Id="rIdlvjj69ofdc9qmh60dfapo" Type="http://schemas.openxmlformats.org/officeDocument/2006/relationships/hyperlink" Target="https://arxiv.org/abs/1807.01842"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2026-06-22T23:36:27.957Z</dcterms:created>
  <dcterms:modified xsi:type="dcterms:W3CDTF">2026-06-22T23:36:27.958Z</dcterms:modified>
</cp:coreProperties>
</file>

<file path=docProps/custom.xml><?xml version="1.0" encoding="utf-8"?>
<Properties xmlns="http://schemas.openxmlformats.org/officeDocument/2006/custom-properties" xmlns:vt="http://schemas.openxmlformats.org/officeDocument/2006/docPropsVTypes"/>
</file>