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REVISÃO DE LITERATURA</w:t>
      </w:r>
    </w:p>
    <w:p>
      <w:pPr>
        <w:pStyle w:val="Normal"/>
        <w:spacing w:before="0" w:after="260"/>
        <w:jc w:val="center"/>
        <w:rPr/>
      </w:pPr>
      <w:r>
        <w:rPr>
          <w:rFonts w:eastAsia="Times New Roman" w:cs="Times New Roman"/>
          <w:sz w:val="24"/>
          <w:szCs w:val="24"/>
        </w:rPr>
        <w:t>Seleção de fontes sobre o uso de containers na eficiência de pipelines de dados</w:t>
      </w:r>
    </w:p>
    <w:p>
      <w:pPr>
        <w:pStyle w:val="Heading1"/>
        <w:spacing w:before="320" w:after="14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1  Tema central</w:t>
      </w:r>
    </w:p>
    <w:p>
      <w:pPr>
        <w:pStyle w:val="Normal"/>
        <w:spacing w:lineRule="exact" w:line="360" w:before="0" w:after="140"/>
        <w:jc w:val="both"/>
        <w:rPr/>
      </w:pPr>
      <w:r>
        <w:rPr>
          <w:rFonts w:eastAsia="Times New Roman" w:cs="Times New Roman"/>
          <w:sz w:val="24"/>
          <w:szCs w:val="24"/>
        </w:rPr>
        <w:t>O presente trabalho tem como tema central a infraestrutura de pipelines e orquestração em Engenharia de Dados, com ênfase no impacto do uso de containers na eficiência, escalabilidade e confiabilidade dos processos de tratamento e movimentação de dados em ambientes modernos de grande escala.</w:t>
      </w:r>
    </w:p>
    <w:p>
      <w:pPr>
        <w:pStyle w:val="Heading1"/>
        <w:spacing w:before="320" w:after="14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2  Pergunta de pesquisa selecionada</w:t>
      </w:r>
    </w:p>
    <w:p>
      <w:pPr>
        <w:pStyle w:val="Normal"/>
        <w:spacing w:lineRule="exact" w:line="360" w:before="0" w:after="140"/>
        <w:jc w:val="both"/>
        <w:rPr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O uso de containers afeta a eficiência das pipelines de dados em ambientes de engenharia de dados de grande escala?</w:t>
      </w:r>
    </w:p>
    <w:p>
      <w:pPr>
        <w:pStyle w:val="Normal"/>
        <w:spacing w:lineRule="exact" w:line="360" w:before="0" w:after="140"/>
        <w:jc w:val="both"/>
        <w:rPr/>
      </w:pPr>
      <w:r>
        <w:rPr>
          <w:rFonts w:eastAsia="Times New Roman" w:cs="Times New Roman"/>
          <w:sz w:val="24"/>
          <w:szCs w:val="24"/>
        </w:rPr>
        <w:t>A pergunta foi selecionada por apresentar maior precisão técnica e maior volume de literatura acadêmica disponível, atendendo aos critérios de especificidade, mensurabilidade e disponibilidade de evidências.</w:t>
      </w:r>
    </w:p>
    <w:p>
      <w:pPr>
        <w:pStyle w:val="Heading1"/>
        <w:spacing w:before="320" w:after="14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3  Justificativa</w:t>
      </w:r>
    </w:p>
    <w:p>
      <w:pPr>
        <w:pStyle w:val="Normal"/>
        <w:spacing w:lineRule="exact" w:line="360" w:before="0" w:after="140"/>
        <w:jc w:val="both"/>
        <w:rPr/>
      </w:pPr>
      <w:r>
        <w:rPr>
          <w:rFonts w:eastAsia="Times New Roman" w:cs="Times New Roman"/>
          <w:sz w:val="24"/>
          <w:szCs w:val="24"/>
        </w:rPr>
        <w:t>A crescente adoção de arquiteturas orientadas a dados torna a eficiência das pipelines um fator crítico de competitividade e inovação. Nesse contexto, a containerização emerge como uma das principais estratégias de infraestrutura em engenharia de dados, impactando diretamente a velocidade de processamento, a confiabilidade operacional e a capacidade de escalonamento dos sistemas. Estudos recentes demonstram ganhos expressivos: pipelines de IoT containerizadas em Kubernetes alcançaram aumento de throughput entre 1,31x e 2,4x, com redução de latência de até 80x frente a alocações estáticas de recursos (AURANGZAIB et al., 2022). Em ambientes de ETL na área da saúde, a combinação de PySpark e Docker resultou em ganhos significativos de tempo de processamento e uso de recursos (SOLTANMOHAMMADI; HIKMET, 2024).</w:t>
      </w:r>
    </w:p>
    <w:p>
      <w:pPr>
        <w:pStyle w:val="Normal"/>
        <w:spacing w:lineRule="exact" w:line="360" w:before="0" w:after="140"/>
        <w:jc w:val="both"/>
        <w:rPr/>
      </w:pPr>
      <w:r>
        <w:rPr>
          <w:rFonts w:eastAsia="Times New Roman" w:cs="Times New Roman"/>
          <w:sz w:val="24"/>
          <w:szCs w:val="24"/>
        </w:rPr>
        <w:t>Além da performance bruta, containers oferecem benefícios operacionais relevantes, como portabilidade entre múltiplas nuvens, isolamento de dependências, modularidade dos estágios de pipeline e recuperação automática de falhas via orquestradores como o Kubernetes (GANDHARI, 2025; TIWARI, 2025). Compreender como e sob quais condições esses ganhos se materializam é, portanto, essencial para orientar decisões de infraestrutura, sobretudo diante da expansão acelerada dos volumes de dados nas organizações contemporâneas.</w:t>
      </w:r>
    </w:p>
    <w:p>
      <w:pPr>
        <w:pStyle w:val="Heading1"/>
        <w:spacing w:before="320" w:after="14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4  Estratégia de seleção das fontes</w:t>
      </w:r>
    </w:p>
    <w:p>
      <w:pPr>
        <w:pStyle w:val="Normal"/>
        <w:spacing w:lineRule="exact" w:line="360" w:before="0" w:after="140"/>
        <w:jc w:val="both"/>
        <w:rPr/>
      </w:pPr>
      <w:r>
        <w:rPr>
          <w:rFonts w:eastAsia="Times New Roman" w:cs="Times New Roman"/>
          <w:sz w:val="24"/>
          <w:szCs w:val="24"/>
        </w:rPr>
        <w:t>Para a seleção das fontes utilizei a técnica de snowballing (bola de neve) com apoio de ferramentas de mapeamento de citações, o Litmaps e o ResearchRabbit. Parti de artigos-origem (seed papers) de alta relevância e impacto e, a partir deles, explorei o grafo de citações em dois sentidos:</w:t>
      </w:r>
    </w:p>
    <w:p>
      <w:pPr>
        <w:pStyle w:val="ListParagraph"/>
        <w:numPr>
          <w:ilvl w:val="0"/>
          <w:numId w:val="3"/>
        </w:numPr>
        <w:spacing w:lineRule="exact" w:line="360" w:before="0" w:after="9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Para trás (retrospectivo): </w:t>
      </w:r>
      <w:r>
        <w:rPr>
          <w:rFonts w:eastAsia="Times New Roman" w:cs="Times New Roman"/>
          <w:sz w:val="24"/>
          <w:szCs w:val="24"/>
        </w:rPr>
        <w:t>identificação das obras mais antigas e mais citadas que fundamentam o tema, os chamados clássicos.</w:t>
      </w:r>
    </w:p>
    <w:p>
      <w:pPr>
        <w:pStyle w:val="ListParagraph"/>
        <w:numPr>
          <w:ilvl w:val="0"/>
          <w:numId w:val="1"/>
        </w:numPr>
        <w:spacing w:lineRule="exact" w:line="360" w:before="0" w:after="90"/>
        <w:jc w:val="both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Para frente (prospectivo): </w:t>
      </w:r>
      <w:r>
        <w:rPr>
          <w:rFonts w:eastAsia="Times New Roman" w:cs="Times New Roman"/>
          <w:sz w:val="24"/>
          <w:szCs w:val="24"/>
        </w:rPr>
        <w:t>identificação dos trabalhos recentes que citam os artigos-origem, mostrando o estado da arte entre 2020 e 2025.</w:t>
      </w:r>
    </w:p>
    <w:p>
      <w:pPr>
        <w:pStyle w:val="Normal"/>
        <w:spacing w:lineRule="exact" w:line="360" w:before="0" w:after="140"/>
        <w:jc w:val="both"/>
        <w:rPr/>
      </w:pPr>
      <w:r>
        <w:rPr>
          <w:rFonts w:eastAsia="Times New Roman" w:cs="Times New Roman"/>
          <w:sz w:val="24"/>
          <w:szCs w:val="24"/>
        </w:rPr>
        <w:t>Os critérios de seleção foram: aderência direta à pergunta de pesquisa, impacto (número de citações, para os clássicos), atualidade (para os recentes) e disponibilidade de texto completo. Como artigos-origem usei Di Tommaso et al. (2015), Felter et al. (2015) e Pahl et al. (2019), por serem centrais no grafo de citações da área. Ao final foram selecionadas 11 fontes, sendo 5 clássicas e 6 recentes, acima do mínimo de 10 fontes (com pelo menos 3 de cada tipo) pedido na atividade.</w:t>
      </w:r>
    </w:p>
    <w:p>
      <w:pPr>
        <w:pStyle w:val="Heading1"/>
        <w:spacing w:before="320" w:after="14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5  Fontes selecionadas</w:t>
      </w:r>
    </w:p>
    <w:p>
      <w:pPr>
        <w:pStyle w:val="Heading2"/>
        <w:spacing w:before="220" w:after="11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5.1  Clássicos e mais citados</w:t>
      </w:r>
    </w:p>
    <w:tbl>
      <w:tblPr>
        <w:tblW w:w="90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49"/>
        <w:gridCol w:w="650"/>
        <w:gridCol w:w="1551"/>
        <w:gridCol w:w="1149"/>
        <w:gridCol w:w="3301"/>
      </w:tblGrid>
      <w:tr>
        <w:trPr>
          <w:tblHeader w:val="true"/>
        </w:trPr>
        <w:tc>
          <w:tcPr>
            <w:tcW w:w="2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Referência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Ano</w:t>
            </w:r>
          </w:p>
        </w:tc>
        <w:tc>
          <w:tcPr>
            <w:tcW w:w="1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Veículo</w:t>
            </w:r>
          </w:p>
        </w:tc>
        <w:tc>
          <w:tcPr>
            <w:tcW w:w="11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Citações</w:t>
            </w:r>
          </w:p>
        </w:tc>
        <w:tc>
          <w:tcPr>
            <w:tcW w:w="3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Relevância para a pergunta</w:t>
            </w:r>
          </w:p>
        </w:tc>
      </w:tr>
      <w:tr>
        <w:trPr/>
        <w:tc>
          <w:tcPr>
            <w:tcW w:w="2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Felter et al.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2015</w:t>
            </w:r>
          </w:p>
        </w:tc>
        <w:tc>
          <w:tcPr>
            <w:tcW w:w="1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IEEE ISPASS</w:t>
            </w:r>
          </w:p>
        </w:tc>
        <w:tc>
          <w:tcPr>
            <w:tcW w:w="11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aprox. 1.180</w:t>
            </w:r>
          </w:p>
        </w:tc>
        <w:tc>
          <w:tcPr>
            <w:tcW w:w="3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Mostra que containers têm desempenho igual ou superior a máquinas virtuais na quase totalidade dos casos. É a base do argumento de overhead mínimo.</w:t>
            </w:r>
          </w:p>
        </w:tc>
      </w:tr>
      <w:tr>
        <w:trPr/>
        <w:tc>
          <w:tcPr>
            <w:tcW w:w="2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Bernstein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2014</w:t>
            </w:r>
          </w:p>
        </w:tc>
        <w:tc>
          <w:tcPr>
            <w:tcW w:w="1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IEEE Cloud Comp.</w:t>
            </w:r>
          </w:p>
        </w:tc>
        <w:tc>
          <w:tcPr>
            <w:tcW w:w="11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aprox. 1.027</w:t>
            </w:r>
          </w:p>
        </w:tc>
        <w:tc>
          <w:tcPr>
            <w:tcW w:w="3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Marco conceitual da trajetória que vai do LXC ao Docker e ao Kubernetes. Situa a orquestração como parte da infraestrutura de nuvem.</w:t>
            </w:r>
          </w:p>
        </w:tc>
      </w:tr>
      <w:tr>
        <w:trPr/>
        <w:tc>
          <w:tcPr>
            <w:tcW w:w="2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Di Tommaso et al.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2015</w:t>
            </w:r>
          </w:p>
        </w:tc>
        <w:tc>
          <w:tcPr>
            <w:tcW w:w="1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PeerJ</w:t>
            </w:r>
          </w:p>
        </w:tc>
        <w:tc>
          <w:tcPr>
            <w:tcW w:w="11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alta</w:t>
            </w:r>
          </w:p>
        </w:tc>
        <w:tc>
          <w:tcPr>
            <w:tcW w:w="3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Evidência empírica de impacto mínimo dos containers em pipelines, desprezível para tarefas de maior duração.</w:t>
            </w:r>
          </w:p>
        </w:tc>
      </w:tr>
      <w:tr>
        <w:trPr/>
        <w:tc>
          <w:tcPr>
            <w:tcW w:w="2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Boettiger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2015</w:t>
            </w:r>
          </w:p>
        </w:tc>
        <w:tc>
          <w:tcPr>
            <w:tcW w:w="1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ACM SIGOPS OSR</w:t>
            </w:r>
          </w:p>
        </w:tc>
        <w:tc>
          <w:tcPr>
            <w:tcW w:w="11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alta</w:t>
            </w:r>
          </w:p>
        </w:tc>
        <w:tc>
          <w:tcPr>
            <w:tcW w:w="3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Discute o papel do Docker na reprodutibilidade, dimensão central da confiabilidade das pipelines.</w:t>
            </w:r>
          </w:p>
        </w:tc>
      </w:tr>
      <w:tr>
        <w:trPr/>
        <w:tc>
          <w:tcPr>
            <w:tcW w:w="2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Pahl et al.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2019</w:t>
            </w:r>
          </w:p>
        </w:tc>
        <w:tc>
          <w:tcPr>
            <w:tcW w:w="1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IEEE TCC</w:t>
            </w:r>
          </w:p>
        </w:tc>
        <w:tc>
          <w:tcPr>
            <w:tcW w:w="11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alta</w:t>
            </w:r>
          </w:p>
        </w:tc>
        <w:tc>
          <w:tcPr>
            <w:tcW w:w="33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Revisão de estado da arte das tecnologias de contêineres. Consolida trade-offs de performance e isolamento.</w:t>
            </w:r>
          </w:p>
        </w:tc>
      </w:tr>
    </w:tbl>
    <w:p>
      <w:pPr>
        <w:pStyle w:val="Heading2"/>
        <w:spacing w:before="220" w:after="11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5.2  Recentes (2020 a 2025)</w:t>
      </w:r>
    </w:p>
    <w:tbl>
      <w:tblPr>
        <w:tblW w:w="900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49"/>
        <w:gridCol w:w="650"/>
        <w:gridCol w:w="2001"/>
        <w:gridCol w:w="900"/>
        <w:gridCol w:w="3100"/>
      </w:tblGrid>
      <w:tr>
        <w:trPr>
          <w:tblHeader w:val="true"/>
        </w:trPr>
        <w:tc>
          <w:tcPr>
            <w:tcW w:w="2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Referência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Ano</w:t>
            </w:r>
          </w:p>
        </w:tc>
        <w:tc>
          <w:tcPr>
            <w:tcW w:w="2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Veículo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Acesso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D9D9D9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Relevância para a pergunta</w:t>
            </w:r>
          </w:p>
        </w:tc>
      </w:tr>
      <w:tr>
        <w:trPr/>
        <w:tc>
          <w:tcPr>
            <w:tcW w:w="2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Santiago-Duran et al.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2020</w:t>
            </w:r>
          </w:p>
        </w:tc>
        <w:tc>
          <w:tcPr>
            <w:tcW w:w="2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Future Gen. Comp. Syst.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Restrito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Modelo de pipeline encapsulado em containers reduz tempos de resposta entre 43% e 91% frente a outras engines.</w:t>
            </w:r>
          </w:p>
        </w:tc>
      </w:tr>
      <w:tr>
        <w:trPr/>
        <w:tc>
          <w:tcPr>
            <w:tcW w:w="2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Aurangzaib et al.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2022</w:t>
            </w:r>
          </w:p>
        </w:tc>
        <w:tc>
          <w:tcPr>
            <w:tcW w:w="2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IEEE CloudCom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Restrito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Pipeline de IoT em Kubernetes com autoscaling: throughput de 1,31x a 2,4x e latência reduzida de 32x a 80x.</w:t>
            </w:r>
          </w:p>
        </w:tc>
      </w:tr>
      <w:tr>
        <w:trPr/>
        <w:tc>
          <w:tcPr>
            <w:tcW w:w="2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Soltanmohammadi; Hikmet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2024</w:t>
            </w:r>
          </w:p>
        </w:tc>
        <w:tc>
          <w:tcPr>
            <w:tcW w:w="2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J. Data Anal. Inf. Proc.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Aberto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ETL em saúde com PySpark e Docker: ganhos de tempo, uso de recursos e escalabilidade, usando a base MIMIC-III.</w:t>
            </w:r>
          </w:p>
        </w:tc>
      </w:tr>
      <w:tr>
        <w:trPr/>
        <w:tc>
          <w:tcPr>
            <w:tcW w:w="2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Gandhari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2025</w:t>
            </w:r>
          </w:p>
        </w:tc>
        <w:tc>
          <w:tcPr>
            <w:tcW w:w="2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Am. J. Eng. Technol.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Aberto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Kubernetes para orquestração de ETL em produção, com redução de tempo de execução de até 40% via autoscaling.</w:t>
            </w:r>
          </w:p>
        </w:tc>
      </w:tr>
      <w:tr>
        <w:trPr/>
        <w:tc>
          <w:tcPr>
            <w:tcW w:w="2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Tiwari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2025</w:t>
            </w:r>
          </w:p>
        </w:tc>
        <w:tc>
          <w:tcPr>
            <w:tcW w:w="2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J. Comp. Sci. Tech. Stud.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Aberto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2F2F2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Boas práticas de pipelines resilientes e escaláveis em ambientes containerizados de múltiplas nuvens.</w:t>
            </w:r>
          </w:p>
        </w:tc>
      </w:tr>
      <w:tr>
        <w:trPr/>
        <w:tc>
          <w:tcPr>
            <w:tcW w:w="23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/>
                <w:bCs/>
                <w:sz w:val="19"/>
                <w:szCs w:val="19"/>
              </w:rPr>
              <w:t>Olsson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2021</w:t>
            </w:r>
          </w:p>
        </w:tc>
        <w:tc>
          <w:tcPr>
            <w:tcW w:w="20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Dissertação (KTH)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Aberto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fill="FFFFFF" w:val="clear"/>
          </w:tcPr>
          <w:p>
            <w:pPr>
              <w:pStyle w:val="Normal"/>
              <w:spacing w:lineRule="exact" w:line="240" w:before="0" w:after="0"/>
              <w:jc w:val="left"/>
              <w:rPr/>
            </w:pPr>
            <w:r>
              <w:rPr>
                <w:rFonts w:eastAsia="Times New Roman" w:cs="Times New Roman"/>
                <w:b w:val="false"/>
                <w:bCs w:val="false"/>
                <w:sz w:val="19"/>
                <w:szCs w:val="19"/>
              </w:rPr>
              <w:t>Estudo empírico de autoscaling (HPA e VPA) de big data em Kubernetes. Quantifica o overhead de escalonamento.</w:t>
            </w:r>
          </w:p>
        </w:tc>
      </w:tr>
    </w:tbl>
    <w:p>
      <w:pPr>
        <w:pStyle w:val="Heading1"/>
        <w:spacing w:before="320" w:after="14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6  Próxima etapa</w:t>
      </w:r>
    </w:p>
    <w:p>
      <w:pPr>
        <w:pStyle w:val="Normal"/>
        <w:spacing w:lineRule="exact" w:line="360" w:before="0" w:after="140"/>
        <w:jc w:val="both"/>
        <w:rPr/>
      </w:pPr>
      <w:r>
        <w:rPr>
          <w:rFonts w:eastAsia="Times New Roman" w:cs="Times New Roman"/>
          <w:sz w:val="24"/>
          <w:szCs w:val="24"/>
        </w:rPr>
        <w:t>Na etapa seguinte as fontes serão comparadas em uma tabela de síntese, organizada pelas dimensões já levantadas: performance, escalabilidade, reprodutibilidade, trade-offs operacionais, contexto setorial e ferramentas de orquestração. Lendo clássicos e recentes em conjunto, será possível separar o que já é consenso consolidado do que ainda é fronteira de pesquisa, além de apontar lacunas, como a falta de comparações diretas entre Airflow, Prefect e Dagster em ambientes containerizados.</w:t>
      </w:r>
    </w:p>
    <w:p>
      <w:pPr>
        <w:pStyle w:val="Normal"/>
        <w:spacing w:before="160" w:after="0"/>
        <w:rPr/>
      </w:pPr>
      <w:r>
        <w:rPr/>
      </w:r>
    </w:p>
    <w:p>
      <w:pPr>
        <w:pStyle w:val="Heading1"/>
        <w:spacing w:before="320" w:after="140"/>
        <w:rPr/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Referências</w:t>
      </w:r>
    </w:p>
    <w:p>
      <w:pPr>
        <w:pStyle w:val="Normal"/>
        <w:spacing w:lineRule="exact" w:line="240" w:before="0" w:after="180"/>
        <w:jc w:val="both"/>
        <w:rPr/>
      </w:pPr>
      <w:r>
        <w:rPr>
          <w:rFonts w:eastAsia="Times New Roman" w:cs="Times New Roman"/>
          <w:sz w:val="24"/>
          <w:szCs w:val="24"/>
        </w:rPr>
        <w:t xml:space="preserve">AURANGZAIB, R. et al. </w:t>
      </w:r>
      <w:r>
        <w:rPr>
          <w:rFonts w:eastAsia="Times New Roman" w:cs="Times New Roman"/>
          <w:i/>
          <w:iCs/>
          <w:sz w:val="24"/>
          <w:szCs w:val="24"/>
        </w:rPr>
        <w:t>Scalable Containerized Pipeline for Real-time Big Data Analytics</w:t>
      </w:r>
      <w:r>
        <w:rPr>
          <w:rFonts w:eastAsia="Times New Roman" w:cs="Times New Roman"/>
          <w:sz w:val="24"/>
          <w:szCs w:val="24"/>
        </w:rPr>
        <w:t>. In: IEEE INTERNATIONAL CONFERENCE ON CLOUD COMPUTING TECHNOLOGY AND SCIENCE (CloudCom), 2022. Anais [...]. [S. l.]: IEEE, 2022. p. 25-32. DOI: 10.1109/CloudCom55334.2022.00014.</w:t>
      </w:r>
    </w:p>
    <w:p>
      <w:pPr>
        <w:pStyle w:val="Normal"/>
        <w:spacing w:lineRule="exact" w:line="240" w:before="0" w:after="180"/>
        <w:jc w:val="both"/>
        <w:rPr/>
      </w:pPr>
      <w:r>
        <w:rPr>
          <w:rFonts w:eastAsia="Times New Roman" w:cs="Times New Roman"/>
          <w:sz w:val="24"/>
          <w:szCs w:val="24"/>
        </w:rPr>
        <w:t xml:space="preserve">BERNSTEIN, D. Containers and cloud: from LXC to Docker to Kubernetes. </w:t>
      </w:r>
      <w:r>
        <w:rPr>
          <w:rFonts w:eastAsia="Times New Roman" w:cs="Times New Roman"/>
          <w:i/>
          <w:iCs/>
          <w:sz w:val="24"/>
          <w:szCs w:val="24"/>
        </w:rPr>
        <w:t>IEEE Cloud Computing</w:t>
      </w:r>
      <w:r>
        <w:rPr>
          <w:rFonts w:eastAsia="Times New Roman" w:cs="Times New Roman"/>
          <w:sz w:val="24"/>
          <w:szCs w:val="24"/>
        </w:rPr>
        <w:t>, v. 1, n. 3, p. 81-84, 2014. DOI: 10.1109/MCC.2014.51.</w:t>
      </w:r>
    </w:p>
    <w:p>
      <w:pPr>
        <w:pStyle w:val="Normal"/>
        <w:spacing w:lineRule="exact" w:line="240" w:before="0" w:after="180"/>
        <w:jc w:val="both"/>
        <w:rPr/>
      </w:pPr>
      <w:r>
        <w:rPr>
          <w:rFonts w:eastAsia="Times New Roman" w:cs="Times New Roman"/>
          <w:sz w:val="24"/>
          <w:szCs w:val="24"/>
        </w:rPr>
        <w:t xml:space="preserve">BOETTIGER, C. An introduction to Docker for reproducible research. </w:t>
      </w:r>
      <w:r>
        <w:rPr>
          <w:rFonts w:eastAsia="Times New Roman" w:cs="Times New Roman"/>
          <w:i/>
          <w:iCs/>
          <w:sz w:val="24"/>
          <w:szCs w:val="24"/>
        </w:rPr>
        <w:t>ACM SIGOPS Operating Systems Review</w:t>
      </w:r>
      <w:r>
        <w:rPr>
          <w:rFonts w:eastAsia="Times New Roman" w:cs="Times New Roman"/>
          <w:sz w:val="24"/>
          <w:szCs w:val="24"/>
        </w:rPr>
        <w:t>, v. 49, n. 1, p. 71-79, 2015. DOI: 10.1145/2723872.2723882. Disponível em: https://arxiv.org/abs/1410.0846. Acesso em: 15 jun. 2026.</w:t>
      </w:r>
    </w:p>
    <w:p>
      <w:pPr>
        <w:pStyle w:val="Normal"/>
        <w:spacing w:lineRule="exact" w:line="240" w:before="0" w:after="180"/>
        <w:jc w:val="both"/>
        <w:rPr/>
      </w:pPr>
      <w:r>
        <w:rPr>
          <w:rFonts w:eastAsia="Times New Roman" w:cs="Times New Roman"/>
          <w:sz w:val="24"/>
          <w:szCs w:val="24"/>
        </w:rPr>
        <w:t xml:space="preserve">DI TOMMASO, P. et al. The impact of Docker containers on the performance of genomic pipelines. </w:t>
      </w:r>
      <w:r>
        <w:rPr>
          <w:rFonts w:eastAsia="Times New Roman" w:cs="Times New Roman"/>
          <w:i/>
          <w:iCs/>
          <w:sz w:val="24"/>
          <w:szCs w:val="24"/>
        </w:rPr>
        <w:t>PeerJ</w:t>
      </w:r>
      <w:r>
        <w:rPr>
          <w:rFonts w:eastAsia="Times New Roman" w:cs="Times New Roman"/>
          <w:sz w:val="24"/>
          <w:szCs w:val="24"/>
        </w:rPr>
        <w:t>, v. 3, e1273, 2015. DOI: 10.7717/peerj.1273. Disponível em: https://peerj.com/articles/1273/. Acesso em: 15 jun. 2026.</w:t>
      </w:r>
    </w:p>
    <w:p>
      <w:pPr>
        <w:pStyle w:val="Normal"/>
        <w:spacing w:lineRule="exact" w:line="240" w:before="0" w:after="180"/>
        <w:jc w:val="both"/>
        <w:rPr/>
      </w:pPr>
      <w:r>
        <w:rPr>
          <w:rFonts w:eastAsia="Times New Roman" w:cs="Times New Roman"/>
          <w:sz w:val="24"/>
          <w:szCs w:val="24"/>
        </w:rPr>
        <w:t>FELTER, W. et al. An updated performance comparison of virtual machines and Linux containers. In: IEEE INTERNATIONAL SYMPOSIUM ON PERFORMANCE ANALYSIS OF SYSTEMS AND SOFTWARE (ISPASS), 2015. Anais [...]. [S. l.]: IEEE, 2015. p. 171-172. DOI: 10.1109/ISPASS.2015.7095802.</w:t>
      </w:r>
    </w:p>
    <w:p>
      <w:pPr>
        <w:pStyle w:val="Normal"/>
        <w:spacing w:lineRule="exact" w:line="240" w:before="0" w:after="180"/>
        <w:jc w:val="both"/>
        <w:rPr/>
      </w:pPr>
      <w:r>
        <w:rPr>
          <w:rFonts w:eastAsia="Times New Roman" w:cs="Times New Roman"/>
          <w:sz w:val="24"/>
          <w:szCs w:val="24"/>
        </w:rPr>
        <w:t xml:space="preserve">GANDHARI, S. Kubernetes for Data Engineering: orchestrating reliable ETL pipelines in production. </w:t>
      </w:r>
      <w:r>
        <w:rPr>
          <w:rFonts w:eastAsia="Times New Roman" w:cs="Times New Roman"/>
          <w:i/>
          <w:iCs/>
          <w:sz w:val="24"/>
          <w:szCs w:val="24"/>
        </w:rPr>
        <w:t>The American Journal of Engineering and Technology</w:t>
      </w:r>
      <w:r>
        <w:rPr>
          <w:rFonts w:eastAsia="Times New Roman" w:cs="Times New Roman"/>
          <w:sz w:val="24"/>
          <w:szCs w:val="24"/>
        </w:rPr>
        <w:t>, v. 7, n. 8, p. 111-125, 2025. DOI: 10.37547/tajet/Volume07Issue08-11.</w:t>
      </w:r>
    </w:p>
    <w:p>
      <w:pPr>
        <w:pStyle w:val="Normal"/>
        <w:spacing w:lineRule="exact" w:line="240" w:before="0" w:after="180"/>
        <w:jc w:val="both"/>
        <w:rPr/>
      </w:pPr>
      <w:r>
        <w:rPr>
          <w:rFonts w:eastAsia="Times New Roman" w:cs="Times New Roman"/>
          <w:sz w:val="24"/>
          <w:szCs w:val="24"/>
        </w:rPr>
        <w:t xml:space="preserve">OLSSON, V. </w:t>
      </w:r>
      <w:r>
        <w:rPr>
          <w:rFonts w:eastAsia="Times New Roman" w:cs="Times New Roman"/>
          <w:i/>
          <w:iCs/>
          <w:sz w:val="24"/>
          <w:szCs w:val="24"/>
        </w:rPr>
        <w:t>A performance study for autoscaling big data analytics applications on Kubernetes</w:t>
      </w:r>
      <w:r>
        <w:rPr>
          <w:rFonts w:eastAsia="Times New Roman" w:cs="Times New Roman"/>
          <w:sz w:val="24"/>
          <w:szCs w:val="24"/>
        </w:rPr>
        <w:t>. 2021. Dissertação (Mestrado), KTH Royal Institute of Technology, Estocolmo, 2021. Disponível em: https://www.diva-portal.org/smash/get/diva2:1641422/FULLTEXT02.pdf. Acesso em: 15 jun. 2026.</w:t>
      </w:r>
    </w:p>
    <w:p>
      <w:pPr>
        <w:pStyle w:val="Normal"/>
        <w:spacing w:lineRule="exact" w:line="240" w:before="0" w:after="180"/>
        <w:jc w:val="both"/>
        <w:rPr/>
      </w:pPr>
      <w:r>
        <w:rPr>
          <w:rFonts w:eastAsia="Times New Roman" w:cs="Times New Roman"/>
          <w:sz w:val="24"/>
          <w:szCs w:val="24"/>
        </w:rPr>
        <w:t xml:space="preserve">PAHL, C. et al. Cloud container technologies: a state-of-the-art review. </w:t>
      </w:r>
      <w:r>
        <w:rPr>
          <w:rFonts w:eastAsia="Times New Roman" w:cs="Times New Roman"/>
          <w:i/>
          <w:iCs/>
          <w:sz w:val="24"/>
          <w:szCs w:val="24"/>
        </w:rPr>
        <w:t>IEEE Transactions on Cloud Computing</w:t>
      </w:r>
      <w:r>
        <w:rPr>
          <w:rFonts w:eastAsia="Times New Roman" w:cs="Times New Roman"/>
          <w:sz w:val="24"/>
          <w:szCs w:val="24"/>
        </w:rPr>
        <w:t>, v. 7, n. 3, p. 677-692, 2019. DOI: 10.1109/TCC.2017.2702586.</w:t>
      </w:r>
    </w:p>
    <w:p>
      <w:pPr>
        <w:pStyle w:val="Normal"/>
        <w:spacing w:lineRule="exact" w:line="240" w:before="0" w:after="180"/>
        <w:jc w:val="both"/>
        <w:rPr/>
      </w:pPr>
      <w:r>
        <w:rPr>
          <w:rFonts w:eastAsia="Times New Roman" w:cs="Times New Roman"/>
          <w:sz w:val="24"/>
          <w:szCs w:val="24"/>
        </w:rPr>
        <w:t xml:space="preserve">SANTIAGO-DURAN, M. et al. A gearbox model for processing large volumes of data by using pipeline systems encapsulated into virtual containers. </w:t>
      </w:r>
      <w:r>
        <w:rPr>
          <w:rFonts w:eastAsia="Times New Roman" w:cs="Times New Roman"/>
          <w:i/>
          <w:iCs/>
          <w:sz w:val="24"/>
          <w:szCs w:val="24"/>
        </w:rPr>
        <w:t>Future Generation Computer Systems</w:t>
      </w:r>
      <w:r>
        <w:rPr>
          <w:rFonts w:eastAsia="Times New Roman" w:cs="Times New Roman"/>
          <w:sz w:val="24"/>
          <w:szCs w:val="24"/>
        </w:rPr>
        <w:t>, v. 106, p. 304-319, 2020. DOI: 10.1016/j.future.2020.01.012.</w:t>
      </w:r>
    </w:p>
    <w:p>
      <w:pPr>
        <w:pStyle w:val="Normal"/>
        <w:spacing w:lineRule="exact" w:line="240" w:before="0" w:after="180"/>
        <w:jc w:val="both"/>
        <w:rPr/>
      </w:pPr>
      <w:r>
        <w:rPr>
          <w:rFonts w:eastAsia="Times New Roman" w:cs="Times New Roman"/>
          <w:sz w:val="24"/>
          <w:szCs w:val="24"/>
        </w:rPr>
        <w:t xml:space="preserve">SOLTANMOHAMMADI, E.; HIKMET, N. Optimizing healthcare big data processing with containerized PySpark and parallel computing: a study on ETL pipeline efficiency. </w:t>
      </w:r>
      <w:r>
        <w:rPr>
          <w:rFonts w:eastAsia="Times New Roman" w:cs="Times New Roman"/>
          <w:i/>
          <w:iCs/>
          <w:sz w:val="24"/>
          <w:szCs w:val="24"/>
        </w:rPr>
        <w:t>Journal of Data Analysis and Information Processing</w:t>
      </w:r>
      <w:r>
        <w:rPr>
          <w:rFonts w:eastAsia="Times New Roman" w:cs="Times New Roman"/>
          <w:sz w:val="24"/>
          <w:szCs w:val="24"/>
        </w:rPr>
        <w:t>, v. 12, n. 4, p. 544-565, 2024. DOI: 10.4236/jdaip.2024.124029.</w:t>
      </w:r>
    </w:p>
    <w:p>
      <w:pPr>
        <w:pStyle w:val="Normal"/>
        <w:spacing w:lineRule="exact" w:line="240" w:before="0" w:after="18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TIWARI, S. Architecting resilient data pipelines: best practices for scalable ETL in multi-cloud environments. </w:t>
      </w:r>
      <w:r>
        <w:rPr>
          <w:rFonts w:eastAsia="Times New Roman" w:cs="Times New Roman"/>
          <w:i/>
          <w:iCs/>
          <w:sz w:val="24"/>
          <w:szCs w:val="24"/>
        </w:rPr>
        <w:t>Journal of Computer Science and Technology Studies</w:t>
      </w:r>
      <w:r>
        <w:rPr>
          <w:rFonts w:eastAsia="Times New Roman" w:cs="Times New Roman"/>
          <w:sz w:val="24"/>
          <w:szCs w:val="24"/>
        </w:rPr>
        <w:t>, v. 7, n. 12, 2025.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0" w:right="1418" w:gutter="0" w:header="0" w:top="1700" w:footer="708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4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before="220" w:after="11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1184</Words>
  <Characters>6973</Characters>
  <CharactersWithSpaces>8065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2026-06-16T01:50:09Z</dcterms:created>
  <dc:creator>Un-named</dc:creator>
  <dc:description/>
  <dc:language>en-US</dc:language>
  <cp:lastModifiedBy/>
  <dcterms:modified xsi:type="dcterms:W3CDTF">2026-06-21T11:07:41Z</dcterms:modified>
  <cp:revision>2</cp:revision>
  <dc:subject/>
  <dc:title/>
</cp:coreProperties>
</file>