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IFRS/Campus Erechim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Curso: Bacharelado e Tecnologia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Disc.: Leitura e produção textual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Prof.: Noemi Luciane dos Santos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Data: 17/06/2026.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Nome do aluno: Emanuel D’Agostini Tonial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 flexibilidade da língua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Uma das qualidades mais notáveis da língua é a </w:t>
      </w:r>
      <w:r>
        <w:rPr>
          <w:rFonts w:cs="Times New Roman" w:ascii="Times New Roman" w:hAnsi="Times New Roman"/>
          <w:i/>
          <w:iCs/>
        </w:rPr>
        <w:t>flexibilidade</w:t>
      </w:r>
      <w:r>
        <w:rPr>
          <w:rFonts w:cs="Times New Roman" w:ascii="Times New Roman" w:hAnsi="Times New Roman"/>
        </w:rPr>
        <w:t>. Há sempre muitas formas de transmitir as mesmas informações. Observe os exemplos: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a)  Quando a obra, orçada em 300.000 reais, estiver concluída, no início do próximo ano, ninguém entrará nem sairá despercebido de Iracemópolis.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b) Quando a prefeitura concluir a obra - que deve terminar no próximo ano ao custo de 300.000 reais - ninguém entrará nem sairá despercebido de Iracemópolis.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c) Ninguém vai conseguir entrar nem sair de Iracemópolis, sem ser notado, quando a obra terminar, no comecinho do ano que vem, depois de comer 300.000 reais do orçamento.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Observe que as três orações mantêm mais ou menos as mesmas informações, embora se estruturem de maneira diferente. Mas, é claro, toda mudança de estrutura ou de vocabulário representa também mudança de </w:t>
      </w:r>
      <w:r>
        <w:rPr>
          <w:rFonts w:cs="Times New Roman" w:ascii="Times New Roman" w:hAnsi="Times New Roman"/>
          <w:i/>
          <w:iCs/>
        </w:rPr>
        <w:t>significado,</w:t>
      </w:r>
      <w:r>
        <w:rPr>
          <w:rFonts w:cs="Times New Roman" w:ascii="Times New Roman" w:hAnsi="Times New Roman"/>
        </w:rPr>
        <w:t xml:space="preserve"> ou, pelo menos, de orientação apreciativa (Compare: </w:t>
      </w:r>
      <w:r>
        <w:rPr>
          <w:rFonts w:cs="Times New Roman" w:ascii="Times New Roman" w:hAnsi="Times New Roman"/>
          <w:i/>
          <w:iCs/>
        </w:rPr>
        <w:t>ele é honesto</w:t>
      </w:r>
      <w:r>
        <w:rPr>
          <w:rFonts w:cs="Times New Roman" w:ascii="Times New Roman" w:hAnsi="Times New Roman"/>
        </w:rPr>
        <w:t xml:space="preserve"> X </w:t>
      </w:r>
      <w:r>
        <w:rPr>
          <w:rFonts w:cs="Times New Roman" w:ascii="Times New Roman" w:hAnsi="Times New Roman"/>
          <w:i/>
          <w:iCs/>
        </w:rPr>
        <w:t>homem honesto, ele é</w:t>
      </w:r>
      <w:r>
        <w:rPr>
          <w:rFonts w:cs="Times New Roman" w:ascii="Times New Roman" w:hAnsi="Times New Roman"/>
        </w:rPr>
        <w:t xml:space="preserve">). Nas orações acima, veja como em </w:t>
      </w:r>
      <w:r>
        <w:rPr>
          <w:rFonts w:cs="Times New Roman" w:ascii="Times New Roman" w:hAnsi="Times New Roman"/>
          <w:i/>
          <w:iCs/>
        </w:rPr>
        <w:t>a</w:t>
      </w:r>
      <w:r>
        <w:rPr>
          <w:rFonts w:cs="Times New Roman" w:ascii="Times New Roman" w:hAnsi="Times New Roman"/>
        </w:rPr>
        <w:t xml:space="preserve">, o destaque da informação vai para </w:t>
      </w:r>
      <w:r>
        <w:rPr>
          <w:rFonts w:cs="Times New Roman" w:ascii="Times New Roman" w:hAnsi="Times New Roman"/>
          <w:i/>
          <w:iCs/>
        </w:rPr>
        <w:t>a obra</w:t>
      </w:r>
      <w:r>
        <w:rPr>
          <w:rFonts w:cs="Times New Roman" w:ascii="Times New Roman" w:hAnsi="Times New Roman"/>
        </w:rPr>
        <w:t xml:space="preserve">; em </w:t>
      </w:r>
      <w:r>
        <w:rPr>
          <w:rFonts w:cs="Times New Roman" w:ascii="Times New Roman" w:hAnsi="Times New Roman"/>
          <w:i/>
          <w:iCs/>
        </w:rPr>
        <w:t>b,</w:t>
      </w:r>
      <w:r>
        <w:rPr>
          <w:rFonts w:cs="Times New Roman" w:ascii="Times New Roman" w:hAnsi="Times New Roman"/>
        </w:rPr>
        <w:t xml:space="preserve"> para </w:t>
      </w:r>
      <w:r>
        <w:rPr>
          <w:rFonts w:cs="Times New Roman" w:ascii="Times New Roman" w:hAnsi="Times New Roman"/>
          <w:i/>
          <w:iCs/>
        </w:rPr>
        <w:t>a prefeitura.</w:t>
      </w:r>
      <w:r>
        <w:rPr>
          <w:rFonts w:cs="Times New Roman" w:ascii="Times New Roman" w:hAnsi="Times New Roman"/>
        </w:rPr>
        <w:t xml:space="preserve"> Em </w:t>
      </w:r>
      <w:r>
        <w:rPr>
          <w:rFonts w:cs="Times New Roman" w:ascii="Times New Roman" w:hAnsi="Times New Roman"/>
          <w:i/>
          <w:iCs/>
        </w:rPr>
        <w:t>c,</w:t>
      </w:r>
      <w:r>
        <w:rPr>
          <w:rFonts w:cs="Times New Roman" w:ascii="Times New Roman" w:hAnsi="Times New Roman"/>
        </w:rPr>
        <w:t xml:space="preserve"> o destaque vai para </w:t>
      </w:r>
      <w:r>
        <w:rPr>
          <w:rFonts w:cs="Times New Roman" w:ascii="Times New Roman" w:hAnsi="Times New Roman"/>
          <w:i/>
          <w:iCs/>
        </w:rPr>
        <w:t>o custo</w:t>
      </w:r>
      <w:r>
        <w:rPr>
          <w:rFonts w:cs="Times New Roman" w:ascii="Times New Roman" w:hAnsi="Times New Roman"/>
        </w:rPr>
        <w:t>, que merece um comentário negativo (</w:t>
      </w:r>
      <w:r>
        <w:rPr>
          <w:rFonts w:cs="Times New Roman" w:ascii="Times New Roman" w:hAnsi="Times New Roman"/>
          <w:i/>
          <w:iCs/>
        </w:rPr>
        <w:t>depois de comer 300.000 reais</w:t>
      </w:r>
      <w:r>
        <w:rPr>
          <w:rFonts w:cs="Times New Roman" w:ascii="Times New Roman" w:hAnsi="Times New Roman"/>
        </w:rPr>
        <w:t xml:space="preserve">) o comentário poderia ser graduado – </w:t>
      </w:r>
      <w:r>
        <w:rPr>
          <w:rFonts w:cs="Times New Roman" w:ascii="Times New Roman" w:hAnsi="Times New Roman"/>
          <w:i/>
          <w:iCs/>
        </w:rPr>
        <w:t>consumir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  <w:i/>
          <w:iCs/>
        </w:rPr>
        <w:t>gastar;</w:t>
      </w:r>
      <w:r>
        <w:rPr>
          <w:rFonts w:cs="Times New Roman" w:ascii="Times New Roman" w:hAnsi="Times New Roman"/>
        </w:rPr>
        <w:t xml:space="preserve"> ou mesmo favorável </w:t>
      </w:r>
      <w:r>
        <w:rPr>
          <w:rFonts w:cs="Times New Roman" w:ascii="Times New Roman" w:hAnsi="Times New Roman"/>
          <w:i/>
          <w:iCs/>
        </w:rPr>
        <w:t>(depois de consumir apenas 300.000 reais</w:t>
      </w:r>
      <w:r>
        <w:rPr>
          <w:rFonts w:cs="Times New Roman" w:ascii="Times New Roman" w:hAnsi="Times New Roman"/>
        </w:rPr>
        <w:t xml:space="preserve">; veja que bastariam aspas para mudar </w:t>
      </w:r>
      <w:r>
        <w:rPr>
          <w:rFonts w:cs="Times New Roman" w:ascii="Times New Roman" w:hAnsi="Times New Roman"/>
          <w:i/>
          <w:iCs/>
        </w:rPr>
        <w:t>o tom:</w:t>
      </w:r>
      <w:r>
        <w:rPr>
          <w:rFonts w:cs="Times New Roman" w:ascii="Times New Roman" w:hAnsi="Times New Roman"/>
        </w:rPr>
        <w:t xml:space="preserve"> consumir “apenas”...). Enfim, as possibilidades de apreciação são infinitas.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 xml:space="preserve">Vamos exercitar os recursos sintáticos da língua, sentir, na prática da escrita, a flexibilidade que nos permite variar a expressão e marcar diferenças sutis de significado. Reescreva as orações abaixo, conservando as mesmas informações. </w:t>
      </w:r>
      <w:r>
        <w:rPr>
          <w:rFonts w:cs="Times New Roman" w:ascii="Times New Roman" w:hAnsi="Times New Roman"/>
          <w:b/>
          <w:bCs/>
        </w:rPr>
        <w:t>Atenção: inicie da forma indicada.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 A fazenda Yuba foi fundada por um imigrante japonês que, após ser reprovado por 3 vezes consecutivas no vestibular para timoneiro de navio em sua terra natal, aportou no Brasil com um livro de Rousseau debaixo do braço disposto a levar a prática as Ideas de seu ídolo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Reprovado por 3 vezes consecutivas no vestibular para timoneiro de navio em sua terra natal, um imigrante japonês aportou no brasil com um livro de Rousseau debaixo do braço, disposto a levar a prática as Ideas de seu idolo, então fundando a Fazenda Yuba.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 O sonho se materializou na fazenda Yuba, uma comunidade agrícola situada no município paulista de Mirandópolis, onde 26 famílias formadas por imigrantes japoneses e seus descendentes vivem uma vida de conto de fadas.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Uma comunidade agrícola chamada fazenda Yuba situada no município paulista de Mirandópolis onde 26 famílias formadas por imigrantes japoneses e seus descendentes vivem uma vida de conto de fadas, foi </w:t>
      </w:r>
      <w:r>
        <w:rPr>
          <w:rFonts w:cs="Times New Roman" w:ascii="Times New Roman" w:hAnsi="Times New Roman"/>
          <w:i/>
          <w:iCs/>
        </w:rPr>
        <w:t>o local em que</w:t>
      </w:r>
      <w:r>
        <w:rPr>
          <w:rFonts w:cs="Times New Roman" w:ascii="Times New Roman" w:hAnsi="Times New Roman"/>
          <w:i/>
          <w:iCs/>
        </w:rPr>
        <w:t xml:space="preserve"> o sonho se materializou.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3) Outra característica, além da dedicação às artes, faz de Yuba um lugar especial: ao contrário de milhares de brasileiros, os moradores da fazenda não têm contato com o dinheiro.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Os moradores da fazenda não tem contato com o dinheiro, ao contrário de milhares de brasileiros, essa característica, além da dedicação às artes, faz de Yuba um lugar especial.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4) “Quem não compartilha das nossas ideias não consegue ficar muito tempo na fazenda, já que ninguém aceita trabalhar de graça”, conta Tetsuhiko Yuba, filho de Issamu Yazaki que herdou o posto de chefe da comunidade.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Tetsuhiko Yuba, filho de Issamu Yazaki que herdou o posto de chefe da comunidade conta “Quem não compartilha das nossas ideias não consegue ficar muito tempo na fazenda, já que ninguém aceita trabalhar de graça”.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5) Sem comércio e sem dinheiro, voltados para arte para a natureza, os moradores de Yuba vivem uma vida primitiva, negando as conquistas da civilização, mais ou menos de acordo com os ensinamentos do filósofo Rousseau.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A comunidade de Yuba vive uma vida primitiva, sem comércio e sem dinheiro, voltados para arte e natureza, negando as conquistas da civilização, mais ou menos de acordo com os ensinamentos do filósofo  Rousseau.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6) Em seus livros, Rousseau defendia a tese de que o homem é primordialmente bom, de que a corrupção nasceu junto com a propriedade privada e de que a civilização converte as aspirações mais puras do indivíduo em vaidade e hipocrisia.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A tese de que o homem é primordialmente bom, de que a corrupção nasceu junto com a propriedade privada e de que a civilização converte as aspirações mais puras do indivíduo em vaidade e hiprocisia é defendida nos livros de Rousseau.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7) “A vida aqui é voltada para as coisas práticas e, por isso, se aproxima do ideal de criação de todo artista”, diz Sílvia.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Segundo Sílvia “A vida aqui é voltada para as coisas práticas e, por isso, se aproxima do ideal de criação de todo artista”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8) A bailarina viajou direto do Japão para Yuba acompanhada do marido, escultor, em busca do que julgava ser o paraíso perdido dos artistas.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Viajando direto do Japão para Yuba, a bailarina acompanhada do marido, escultor, em busca do que julgava ser o paraíso perdido dos artistas.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9) Formada em dança contemporânea em Tóquio, Akiko dava aulas num centro de pesquisas de arte vanguardista ao mesmo tempo em que, para sobreviver, dançava em programas de televisão -  trabalho que detestava.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Para sobreviver, Akiko, formada em dança contemporânea em Tóquio,  dava aulas num centro de pesquisas de arte vanguardista ao mesmo tempo que dançava em programas de televisão – trabalho que detestava.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10) Sua coreografia predileta, Bravos pioneiros, traz gestos inspirados na atividade dos lenhadores e coloca em cena, junto com os bailarinos, os trabalhadores do campo.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>Com gestos inspirados na atividade dos lenhadores, sua coreografia predilita coloca em cena, junto com os bailarinos, os trabalhadores do campo.</w:t>
      </w:r>
    </w:p>
    <w:p>
      <w:pPr>
        <w:pStyle w:val="Normal"/>
        <w:ind w:firstLine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Referência: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FARACO, Carlos Alberto. </w:t>
      </w:r>
      <w:r>
        <w:rPr>
          <w:rFonts w:cs="Times New Roman" w:ascii="Times New Roman" w:hAnsi="Times New Roman"/>
          <w:i/>
          <w:iCs/>
        </w:rPr>
        <w:t>Prática de texto para estudantes universitários</w:t>
      </w:r>
      <w:r>
        <w:rPr>
          <w:rFonts w:cs="Times New Roman" w:ascii="Times New Roman" w:hAnsi="Times New Roman"/>
        </w:rPr>
        <w:t>. 20 ed. Petrópolis/RJ: Vozes, 2011. Adaptado.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c5148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c5148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c5148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c5148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5148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5148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5148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5148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5148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514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c514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c5148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c5148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5148d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5148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5148d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5148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5148d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c5148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c5148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5148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5148d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5148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5148d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d528c0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d528c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c5148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c5148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5148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5148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5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528c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528c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LibreOffice/24.2.7.2$Linux_X86_64 LibreOffice_project/420$Build-2</Application>
  <AppVersion>15.0000</AppVersion>
  <Pages>3</Pages>
  <Words>952</Words>
  <Characters>4939</Characters>
  <CharactersWithSpaces>5862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2026-06-17T17:49:00Z</dcterms:created>
  <dc:creator>Noemi Luciane dos Santos</dc:creator>
  <dc:description/>
  <dc:language>en-US</dc:language>
  <cp:lastModifiedBy/>
  <dcterms:modified xsi:type="dcterms:W3CDTF">2026-06-17T21:40:53Z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