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REVISÃO DE LITERATURA</w:t>
      </w:r>
    </w:p>
    <w:p>
      <w:pPr>
        <w:spacing w:after="2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Seleção de fontes sobre o uso de containers na eficiência de pipelines de dados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  Tema central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trabalho tem como tema central a infraestrutura de pipelines e orquestração em Engenharia de Dados, com ênfase no impacto do uso de containers na eficiência, escalabilidade e confiabilidade dos processos de tratamento e movimentação de dados em ambientes modernos de grande escala.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  Pergunta de pesquisa selecionada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O uso de containers afeta a eficiência das pipelines de dados em ambientes de engenharia de dados de grande escala?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pergunta foi selecionada por apresentar maior precisão técnica e maior volume de literatura acadêmica disponível, atendendo aos critérios de especificidade, mensurabilidade e disponibilidade de evidências.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  Justificativa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crescente adoção de arquiteturas orientadas a dados torna a eficiência das pipelines um fator crítico de competitividade e inovação. Nesse contexto, a containerização emerge como uma das principais estratégias de infraestrutura em engenharia de dados, impactando diretamente a velocidade de processamento, a confiabilidade operacional e a capacidade de escalonamento dos sistemas. Estudos recentes demonstram ganhos expressivos: pipelines de IoT containerizadas em Kubernetes alcançaram aumento de throughput entre 1,31x e 2,4x, com redução de latência de até 80x frente a alocações estáticas de recursos (AURANGZAIB et al., 2022). Em ambientes de ETL na área da saúde, a combinação de PySpark e Docker resultou em ganhos significativos de tempo de processamento e uso de recursos (SOLTANMOHAMMADI; HIKMET, 2024).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Além da performance bruta, containers oferecem benefícios operacionais relevantes, como portabilidade entre múltiplas nuvens, isolamento de dependências, modularidade dos estágios de pipeline e recuperação automática de falhas via orquestradores como o Kubernetes (GANDHARI, 2025; TIWARI, 2025). Compreender como e sob quais condições esses ganhos se materializam é, portanto, essencial para orientar decisões de infraestrutura, sobretudo diante da expansão acelerada dos volumes de dados nas organizações contemporâneas.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  Estratégia de seleção das fontes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seleção das fontes utilizei a técnica de snowballing (bola de neve) com apoio de ferramentas de mapeamento de citações, o Litmaps e o ResearchRabbit. Parti de artigos-origem (seed papers) de alta relevância e impacto e, a partir deles, explorei o grafo de citações em dois sentidos:</w:t>
      </w:r>
    </w:p>
    <w:p>
      <w:pPr>
        <w:pStyle w:val="ListParagraph"/>
        <w:numPr>
          <w:ilvl w:val="0"/>
          <w:numId w:val="2"/>
        </w:numPr>
        <w:spacing w:after="9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trás (retrospectivo):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identificação das obras mais antigas e mais citadas que fundamentam o tema, os chamados clássicos.</w:t>
      </w:r>
    </w:p>
    <w:p>
      <w:pPr>
        <w:pStyle w:val="ListParagraph"/>
        <w:numPr>
          <w:ilvl w:val="0"/>
          <w:numId w:val="2"/>
        </w:numPr>
        <w:spacing w:after="9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Para frente (prospectivo):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identificação dos trabalhos recentes que citam os artigos-origem, mostrando o estado da arte entre 2020 e 2025.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critérios de seleção foram: aderência direta à pergunta de pesquisa, impacto (número de citações, para os clássicos), atualidade (para os recentes) e disponibilidade de texto completo. Como artigos-origem usei Di Tommaso et al. (2015), Felter et al. (2015) e Pahl et al. (2019), por serem centrais no grafo de citações da área. Ao final foram selecionadas 11 fontes, sendo 5 clássicas e 6 recentes, acima do mínimo de 10 fontes (com pelo menos 3 de cada tipo) pedido na atividade.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  Fontes selecionadas</w:t>
      </w:r>
    </w:p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  Clássicos e mais citados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650"/>
        <w:gridCol w:w="1550"/>
        <w:gridCol w:w="1150"/>
        <w:gridCol w:w="3300"/>
      </w:tblGrid>
      <w:tr>
        <w:trPr>
          <w:tblHeader/>
        </w:trP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Referência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Ano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Veículo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Citações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Relevância para a pergunta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Felter et al.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2015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IEEE ISPASS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aprox. 1.180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Mostra que containers têm desempenho igual ou superior a máquinas virtuais na quase totalidade dos casos. É a base do argumento de overhead mínimo.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Bernstein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2014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IEEE Cloud Comp.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aprox. 1.027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Marco conceitual da trajetória que vai do LXC ao Docker e ao Kubernetes. Situa a orquestração como parte da infraestrutura de nuvem.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Di Tommaso et al.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2015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PeerJ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Evidência empírica de impacto mínimo dos containers em pipelines, desprezível para tarefas de maior duração.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Boettiger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2015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ACM SIGOPS OSR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Discute o papel do Docker na reprodutibilidade, dimensão central da confiabilidade das pipelines.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Pahl et al.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2019</w:t>
            </w:r>
          </w:p>
        </w:tc>
        <w:tc>
          <w:tcPr>
            <w:tcW w:type="dxa" w:w="1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IEEE TCC</w:t>
            </w:r>
          </w:p>
        </w:tc>
        <w:tc>
          <w:tcPr>
            <w:tcW w:type="dxa" w:w="11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Revisão de estado da arte das tecnologias de contêineres. Consolida trade-offs de performance e isolamento.</w:t>
            </w:r>
          </w:p>
        </w:tc>
      </w:tr>
    </w:tbl>
    <w:p>
      <w:pPr>
        <w:pStyle w:val="Heading2"/>
        <w:spacing w:after="110" w:before="2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  Recentes (2020 a 2025)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650"/>
        <w:gridCol w:w="2000"/>
        <w:gridCol w:w="900"/>
        <w:gridCol w:w="3100"/>
      </w:tblGrid>
      <w:tr>
        <w:trPr>
          <w:tblHeader/>
        </w:trP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Referência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Veículo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Acesso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Relevância para a pergunta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Santiago-Duran et al.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Future Gen. Comp. Syst.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Restrito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Modelo de pipeline encapsulado em containers reduz tempos de resposta entre 43% e 91% frente a outras engines.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Aurangzaib et al.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IEEE CloudCom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Restrito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Pipeline de IoT em Kubernetes com autoscaling: throughput de 1,31x a 2,4x e latência reduzida de 32x a 80x.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Soltanmohammadi; Hikmet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J. Data Anal. Inf. Proc.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Aberto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ETL em saúde com PySpark e Docker: ganhos de tempo, uso de recursos e escalabilidade, usando a base MIMIC-III.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Gandhari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Am. J. Eng. Technol.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Aberto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Kubernetes para orquestração de ETL em produção, com redução de tempo de execução de até 40% via autoscaling.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Tiwari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J. Comp. Sci. Tech. Stud.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Aberto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Boas práticas de pipelines resilientes e escaláveis em ambientes containerizados de múltiplas nuvens.</w:t>
            </w:r>
          </w:p>
        </w:tc>
      </w:tr>
      <w:tr>
        <w:tc>
          <w:tcPr>
            <w:tcW w:type="dxa" w:w="2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Olsson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2021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Dissertação (KTH)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Aberto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Estudo empírico de autoscaling (HPA e VPA) de big data em Kubernetes. Quantifica o overhead de escalonamento.</w:t>
            </w:r>
          </w:p>
        </w:tc>
      </w:tr>
    </w:tbl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  Próxima etapa</w:t>
      </w:r>
    </w:p>
    <w:p>
      <w:pPr>
        <w:spacing w:after="14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 etapa seguinte as fontes serão comparadas em uma tabela de síntese, organizada pelas dimensões já levantadas: performance, escalabilidade, reprodutibilidade, trade-offs operacionais, contexto setorial e ferramentas de orquestração. Lendo clássicos e recentes em conjunto, será possível separar o que já é consenso consolidado do que ainda é fronteira de pesquisa, além de apontar lacunas, como a falta de comparações diretas entre Airflow, Prefect e Dagster em ambientes containerizados.</w:t>
      </w:r>
    </w:p>
    <w:p>
      <w:pPr>
        <w:spacing w:before="160"/>
      </w:pPr>
      <w:r>
        <w:rPr>
          <w:sz w:val="2"/>
          <w:szCs w:val="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Referências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AURANGZAIB, R. et al.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Scalable Containerized Pipeline for Real-time Big Data Analytics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In: IEEE INTERNATIONAL CONFERENCE ON CLOUD COMPUTING TECHNOLOGY AND SCIENCE (CloudCom), 2022. Anais [...]. [S. l.]: IEEE, 2022. p. 25-32. DOI: 10.1109/CloudCom55334.2022.00014.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BERNSTEIN, D. Containers and cloud: from LXC to Docker to Kubernetes.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Cloud Computing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1, n. 3, p. 81-84, 2014. DOI: 10.1109/MCC.2014.51.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BOETTIGER, C. An introduction to Docker for reproducible research.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ACM SIGOPS Operating Systems Review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49, n. 1, p. 71-79, 2015. DOI: 10.1145/2723872.2723882. Disponível em: https://arxiv.org/abs/1410.0846. Acesso em: 15 jun. 2026.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 TOMMASO, P. et al. The impact of Docker containers on the performance of genomic pipelines.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PeerJ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3, e1273, 2015. DOI: 10.7717/peerj.1273. Disponível em: https://peerj.com/articles/1273/. Acesso em: 15 jun. 2026.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FELTER, W. et al. An updated performance comparison of virtual machines and Linux containers. In: IEEE INTERNATIONAL SYMPOSIUM ON PERFORMANCE ANALYSIS OF SYSTEMS AND SOFTWARE (ISPASS), 2015. Anais [...]. [S. l.]: IEEE, 2015. p. 171-172. DOI: 10.1109/ISPASS.2015.7095802.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GANDHARI, S. Kubernetes for Data Engineering: orchestrating reliable ETL pipelines in production.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The American Journal of Engineering and Technology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7, n. 8, p. 111-125, 2025. DOI: 10.37547/tajet/Volume07Issue08-11.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OLSSON, V.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performance study for autoscaling big data analytics applications on Kubernetes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2021. Dissertação (Mestrado), KTH Royal Institute of Technology, Estocolmo, 2021. Disponível em: https://www.diva-portal.org/smash/get/diva2:1641422/FULLTEXT02.pdf. Acesso em: 15 jun. 2026.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PAHL, C. et al. Cloud container technologies: a state-of-the-art review.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IEEE Transactions on Cloud Computing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7, n. 3, p. 677-692, 2019. DOI: 10.1109/TCC.2017.2702586.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SANTIAGO-DURAN, M. et al. A gearbox model for processing large volumes of data by using pipeline systems encapsulated into virtual containers.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Future Generation Computer Systems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106, p. 304-319, 2020. DOI: 10.1016/j.future.2020.01.012.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SOLTANMOHAMMADI, E.; HIKMET, N. Optimizing healthcare big data processing with containerized PySpark and parallel computing: a study on ETL pipeline efficiency.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Data Analysis and Information Processing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12, n. 4, p. 544-565, 2024. DOI: 10.4236/jdaip.2024.124029.</w:t>
      </w:r>
    </w:p>
    <w:p>
      <w:pPr>
        <w:spacing w:after="180" w:line="2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TIWARI, S. Architecting resilient data pipelines: best practices for scalable ETL in multi-cloud environments.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Computer Science and Technology Studies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7, n. 12, 2025.</w:t>
      </w:r>
    </w:p>
    <w:p>
      <w:pPr>
        <w:spacing w:before="120"/>
      </w:pPr>
      <w:r>
        <w:rPr>
          <w:sz w:val="2"/>
          <w:szCs w:val="2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Observação.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links para o texto completo de cada fonte estão reunidos no arquivo 00_INDICE da pasta acervo_artigos.</w:t>
      </w:r>
    </w:p>
    <w:sectPr>
      <w:footerReference w:type="default" r:id="rId7"/>
      <w:pgSz w:w="11906" w:h="16838" w:orient="portrait"/>
      <w:pgMar w:top="1700" w:right="1418" w:bottom="1418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2026-06-16T01:50:09.264Z</dcterms:created>
  <dcterms:modified xsi:type="dcterms:W3CDTF">2026-06-16T01:50:09.278Z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