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E3A5F"/>
          <w:sz w:val="56"/>
          <w:szCs w:val="56"/>
        </w:rPr>
        <w:t xml:space="preserve">Informe Final</w:t>
      </w:r>
    </w:p>
    <w:p>
      <w:pPr>
        <w:spacing w:after="600"/>
        <w:jc w:val="center"/>
      </w:pPr>
      <w:r>
        <w:rPr>
          <w:color w:val="64748B"/>
          <w:sz w:val="32"/>
          <w:szCs w:val="32"/>
        </w:rPr>
        <w:t xml:space="preserve">Agente de Voz con IA para Seguimiento Postoperatorio</w:t>
      </w:r>
    </w:p>
    <w:p>
      <w:pPr>
        <w:spacing w:after="100"/>
        <w:jc w:val="center"/>
      </w:pPr>
      <w:r>
        <w:rPr>
          <w:b/>
          <w:bCs/>
          <w:sz w:val="26"/>
          <w:szCs w:val="26"/>
        </w:rPr>
        <w:t xml:space="preserve">Tech Sphere Challenge 2026</w:t>
      </w:r>
    </w:p>
    <w:p>
      <w:pPr>
        <w:spacing w:after="100"/>
        <w:jc w:val="center"/>
      </w:pPr>
      <w:r>
        <w:rPr>
          <w:sz w:val="24"/>
          <w:szCs w:val="24"/>
        </w:rPr>
        <w:t xml:space="preserve">Emanuel Vahos</w:t>
      </w:r>
    </w:p>
    <w:p>
      <w:pPr>
        <w:spacing w:after="100"/>
        <w:jc w:val="center"/>
      </w:pPr>
      <w:r>
        <w:rPr>
          <w:color w:val="64748B"/>
          <w:sz w:val="22"/>
          <w:szCs w:val="22"/>
        </w:rPr>
        <w:t xml:space="preserve">12 de agosto de 2026</w:t>
      </w:r>
    </w:p>
    <w:p>
      <w:pPr>
        <w:jc w:val="center"/>
      </w:pPr>
      <w:r>
        <w:rPr>
          <w:color w:val="64748B"/>
          <w:sz w:val="20"/>
          <w:szCs w:val="20"/>
        </w:rPr>
        <w:t xml:space="preserve">Repositorio: github.com/emanuelvahos/tech-sphere-challenge-2</w:t>
      </w:r>
    </w:p>
    <w:p>
      <w:r>
        <w:br w:type="page"/>
      </w:r>
    </w:p>
    <w:p>
      <w:pPr>
        <w:pStyle w:val="Heading1"/>
        <w:spacing w:after="200" w:before="400"/>
      </w:pPr>
      <w:r>
        <w:t xml:space="preserve">1. Resumen ejecutivo</w:t>
      </w:r>
    </w:p>
    <w:p>
      <w:pPr>
        <w:spacing w:after="160"/>
      </w:pPr>
      <w:r>
        <w:t xml:space="preserve">Este proyecto implementa un agente de voz conversacional que realiza seguimiento postoperatorio telefónico a pacientes colombianos. El agente conversa en español, interpreta lenguaje coloquial y regionalismos, consulta una base de conocimiento clínico verificado mediante RAG (Retrieval-Augmented Generation) para fundamentar sus respuestas, y clasifica cada llamada en tres niveles de severidad — verde, amarillo o rojo — mediante reglas deterministas auditables. El equipo médico revisa los resultados en una consola web con historial completo y trazabilidad de fuentes.</w:t>
      </w:r>
    </w:p>
    <w:p>
      <w:pPr>
        <w:spacing w:after="160"/>
      </w:pPr>
      <w:r>
        <w:t xml:space="preserve">La solución expone las dos superficies exigidas por el reto: una interfaz de llamada de voz para el paciente y una consola de administración del conocimiento clínico para el equipo médico. El backend está desplegado públicamente en Render, y el agente conversacional se orquesta a través de ElevenLabs Conversational AI.</w:t>
      </w:r>
    </w:p>
    <w:p>
      <w:pPr>
        <w:pStyle w:val="Heading2"/>
        <w:spacing w:after="150" w:before="300"/>
      </w:pPr>
      <w:r>
        <w:t xml:space="preserve">Decisiones clave de esta entrega</w:t>
      </w:r>
    </w:p>
    <w:p>
      <w:pPr>
        <w:pStyle w:val="ListParagraph"/>
        <w:numPr>
          <w:ilvl w:val="0"/>
          <w:numId w:val="1"/>
        </w:numPr>
        <w:spacing w:after="80"/>
      </w:pPr>
      <w:r>
        <w:t xml:space="preserve">El stack prioriza velocidad de entrega y estabilidad sobre "pureza" de ingeniería local, dado el tiempo disponible: modelos vía API (NVIDIA NIM) en vez de modelos locales.</w:t>
      </w:r>
    </w:p>
    <w:p>
      <w:pPr>
        <w:pStyle w:val="ListParagraph"/>
        <w:numPr>
          <w:ilvl w:val="0"/>
          <w:numId w:val="1"/>
        </w:numPr>
        <w:spacing w:after="80"/>
      </w:pPr>
      <w:r>
        <w:t xml:space="preserve">La clasificación de severidad (verde/amarillo/rojo) es 100% determinista (reglas por patrón de texto), no delegada a un LLM — esto elimina el riesgo de alucinación en la decisión más sensible del sistema.</w:t>
      </w:r>
    </w:p>
    <w:p>
      <w:pPr>
        <w:pStyle w:val="ListParagraph"/>
        <w:numPr>
          <w:ilvl w:val="0"/>
          <w:numId w:val="1"/>
        </w:numPr>
        <w:spacing w:after="80"/>
      </w:pPr>
      <w:r>
        <w:t xml:space="preserve">Cada respuesta clínica del agente está obligada a pasar por la herramienta de consulta RAG antes de responder, y debe declarar explícitamente cuando no hay evidencia suficiente, en vez de inventar información.</w:t>
      </w:r>
    </w:p>
    <w:p>
      <w:pPr>
        <w:pStyle w:val="Heading1"/>
        <w:spacing w:after="200" w:before="400"/>
      </w:pPr>
      <w:r>
        <w:t xml:space="preserve">2. El problema y la solución</w:t>
      </w:r>
    </w:p>
    <w:p>
      <w:pPr>
        <w:pStyle w:val="Heading2"/>
        <w:spacing w:after="150" w:before="300"/>
      </w:pPr>
      <w:r>
        <w:t xml:space="preserve">2.1 El problema</w:t>
      </w:r>
    </w:p>
    <w:p>
      <w:pPr>
        <w:spacing w:after="160"/>
      </w:pPr>
      <w:r>
        <w:t xml:space="preserve">El seguimiento postoperatorio depende hoy de personal humano: es costoso, no escala y está sujeto a errores. El paciente, sin conocimiento médico, describe sus síntomas en lenguaje cotidiano, ambiguo y regional. En paralelo, el conocimiento clínico operativo vive en documentos no estructurados que cambian de versión constantemente, y el sistema debe reflejar siempre la versión vigente.</w:t>
      </w:r>
    </w:p>
    <w:p>
      <w:pPr>
        <w:pStyle w:val="Heading2"/>
        <w:spacing w:after="150" w:before="300"/>
      </w:pPr>
      <w:r>
        <w:t xml:space="preserve">2.2 La solución</w:t>
      </w:r>
    </w:p>
    <w:p>
      <w:pPr>
        <w:spacing w:after="160"/>
      </w:pPr>
      <w:r>
        <w:t xml:space="preserve">Un agente de voz que llama al paciente, conversa de forma natural, interpreta su lenguaje coloquial, contrasta lo reportado contra una base de conocimiento clínico verificado y trazable, y aplica una lógica de decisión explícita para determinar si el caso amerita intervención humana inmediata. La base de conocimiento es "viva": el equipo médico puede subir o eliminar documentos en caliente, y el cambio se refleja de inmediato en las respuestas del agente.</w:t>
      </w:r>
    </w:p>
    <w:p>
      <w:pPr>
        <w:pStyle w:val="Heading2"/>
        <w:spacing w:after="150" w:before="300"/>
      </w:pPr>
      <w:r>
        <w:t xml:space="preserve">2.3 Qué se construyó</w:t>
      </w:r>
    </w:p>
    <w:p>
      <w:pPr>
        <w:pStyle w:val="ListParagraph"/>
        <w:numPr>
          <w:ilvl w:val="0"/>
          <w:numId w:val="1"/>
        </w:numPr>
        <w:spacing w:after="80"/>
      </w:pPr>
      <w:r>
        <w:t xml:space="preserve">Conversación de voz en tiempo real en español, adaptativa a las respuestas del paciente (ElevenLabs Conversational AI).</w:t>
      </w:r>
    </w:p>
    <w:p>
      <w:pPr>
        <w:pStyle w:val="ListParagraph"/>
        <w:numPr>
          <w:ilvl w:val="0"/>
          <w:numId w:val="1"/>
        </w:numPr>
        <w:spacing w:after="80"/>
      </w:pPr>
      <w:r>
        <w:t xml:space="preserve">Sistema RAG sobre ChromaDB con trazabilidad: cada fragmento devuelto cita su documento fuente y un score de relevancia.</w:t>
      </w:r>
    </w:p>
    <w:p>
      <w:pPr>
        <w:pStyle w:val="ListParagraph"/>
        <w:numPr>
          <w:ilvl w:val="0"/>
          <w:numId w:val="1"/>
        </w:numPr>
        <w:spacing w:after="80"/>
      </w:pPr>
      <w:r>
        <w:t xml:space="preserve">Consola de administración (Streamlit) para subir, listar y eliminar documentos clínicos, con indicación visible de "procesado y disponible".</w:t>
      </w:r>
    </w:p>
    <w:p>
      <w:pPr>
        <w:pStyle w:val="ListParagraph"/>
        <w:numPr>
          <w:ilvl w:val="0"/>
          <w:numId w:val="1"/>
        </w:numPr>
        <w:spacing w:after="80"/>
      </w:pPr>
      <w:r>
        <w:t xml:space="preserve">Lógica de decisión determinista que clasifica cada llamada en verde/amarillo/rojo según patrones de alarma en la transcripción del paciente.</w:t>
      </w:r>
    </w:p>
    <w:p>
      <w:pPr>
        <w:pStyle w:val="ListParagraph"/>
        <w:numPr>
          <w:ilvl w:val="0"/>
          <w:numId w:val="1"/>
        </w:numPr>
        <w:spacing w:after="80"/>
      </w:pPr>
      <w:r>
        <w:t xml:space="preserve">Resumen estructurado (JSON) generado por LLM al final de cada llamada, persistido en SQLite y visible en la consola.</w:t>
      </w:r>
    </w:p>
    <w:p>
      <w:pPr>
        <w:pStyle w:val="Heading1"/>
        <w:spacing w:after="200" w:before="400"/>
      </w:pPr>
      <w:r>
        <w:t xml:space="preserve">3. Arquitectura de la solución</w:t>
      </w:r>
    </w:p>
    <w:p>
      <w:pPr>
        <w:spacing w:after="160"/>
      </w:pPr>
      <w:r>
        <w:t xml:space="preserve">El diagrama completo de arquitectura y el diagrama de flujo de decisión están incluidos en el repositorio como archivos Mermaid renderizables directamente en GitHub:</w:t>
      </w:r>
    </w:p>
    <w:p>
      <w:pPr>
        <w:pStyle w:val="ListParagraph"/>
        <w:numPr>
          <w:ilvl w:val="0"/>
          <w:numId w:val="1"/>
        </w:numPr>
        <w:spacing w:after="80"/>
      </w:pPr>
      <w:r>
        <w:t xml:space="preserve">docs/diagrama-arquitectura.md</w:t>
      </w:r>
    </w:p>
    <w:p>
      <w:pPr>
        <w:pStyle w:val="ListParagraph"/>
        <w:numPr>
          <w:ilvl w:val="0"/>
          <w:numId w:val="1"/>
        </w:numPr>
        <w:spacing w:after="80"/>
      </w:pPr>
      <w:r>
        <w:t xml:space="preserve">docs/diagrama-flujo-decision.md</w:t>
      </w:r>
    </w:p>
    <w:p>
      <w:pPr>
        <w:spacing w:after="160"/>
      </w:pPr>
      <w:r>
        <w:t xml:space="preserve">A continuación, un resumen textual de los componentes y su interacción.</w:t>
      </w:r>
    </w:p>
    <w:p>
      <w:pPr>
        <w:pStyle w:val="Heading2"/>
        <w:spacing w:after="150" w:before="300"/>
      </w:pPr>
      <w:r>
        <w:t xml:space="preserve">3.1 Componentes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E3A5F" w:val="clear"/>
          </w:tcPr>
          <w:p>
            <w:r>
              <w:rPr>
                <w:b/>
                <w:bCs/>
                <w:color w:val="FFFFFF"/>
                <w:sz w:val="20"/>
                <w:szCs w:val="20"/>
              </w:rPr>
              <w:t xml:space="preserve">Componente</w:t>
            </w:r>
          </w:p>
        </w:tc>
        <w:tc>
          <w:tcPr>
            <w:tcW w:type="dxa" w:w="3600"/>
            <w:shd w:fill="1E3A5F" w:val="clear"/>
          </w:tcPr>
          <w:p>
            <w:r>
              <w:rPr>
                <w:b/>
                <w:bCs/>
                <w:color w:val="FFFFFF"/>
                <w:sz w:val="20"/>
                <w:szCs w:val="20"/>
              </w:rPr>
              <w:t xml:space="preserve">Tecnología</w:t>
            </w:r>
          </w:p>
        </w:tc>
        <w:tc>
          <w:tcPr>
            <w:tcW w:type="dxa" w:w="3600"/>
            <w:shd w:fill="1E3A5F" w:val="clear"/>
          </w:tcPr>
          <w:p>
            <w:r>
              <w:rPr>
                <w:b/>
                <w:bCs/>
                <w:color w:val="FFFFFF"/>
                <w:sz w:val="20"/>
                <w:szCs w:val="20"/>
              </w:rPr>
              <w:t xml:space="preserve">Responsabilidad</w:t>
            </w:r>
          </w:p>
        </w:tc>
      </w:tr>
      <w:tr>
        <w:tc>
          <w:tcPr>
            <w:tcW w:type="dxa" w:w="1800"/>
            <w:shd w:fill="FFFFFF" w:val="clear"/>
          </w:tcPr>
          <w:p>
            <w:r>
              <w:rPr>
                <w:sz w:val="20"/>
                <w:szCs w:val="20"/>
              </w:rPr>
              <w:t xml:space="preserve">Backend</w:t>
            </w:r>
          </w:p>
        </w:tc>
        <w:tc>
          <w:tcPr>
            <w:tcW w:type="dxa" w:w="3600"/>
            <w:shd w:fill="FFFFFF" w:val="clear"/>
          </w:tcPr>
          <w:p>
            <w:r>
              <w:rPr>
                <w:sz w:val="20"/>
                <w:szCs w:val="20"/>
              </w:rPr>
              <w:t xml:space="preserve">FastAPI (Python 3.11, Render)</w:t>
            </w:r>
          </w:p>
        </w:tc>
        <w:tc>
          <w:tcPr>
            <w:tcW w:type="dxa" w:w="3600"/>
            <w:shd w:fill="FFFFFF" w:val="clear"/>
          </w:tcPr>
          <w:p>
            <w:r>
              <w:rPr>
                <w:sz w:val="20"/>
                <w:szCs w:val="20"/>
              </w:rPr>
              <w:t xml:space="preserve">Expone la API RAG, el webhook de post-llamada y sirve la interfaz de llamada</w:t>
            </w:r>
          </w:p>
        </w:tc>
      </w:tr>
      <w:tr>
        <w:tc>
          <w:tcPr>
            <w:tcW w:type="dxa" w:w="1800"/>
            <w:shd w:fill="F8FAFC" w:val="clear"/>
          </w:tcPr>
          <w:p>
            <w:r>
              <w:rPr>
                <w:sz w:val="20"/>
                <w:szCs w:val="20"/>
              </w:rPr>
              <w:t xml:space="preserve">Base vectorial</w:t>
            </w:r>
          </w:p>
        </w:tc>
        <w:tc>
          <w:tcPr>
            <w:tcW w:type="dxa" w:w="3600"/>
            <w:shd w:fill="F8FAFC" w:val="clear"/>
          </w:tcPr>
          <w:p>
            <w:r>
              <w:rPr>
                <w:sz w:val="20"/>
                <w:szCs w:val="20"/>
              </w:rPr>
              <w:t xml:space="preserve">ChromaDB (persistente)</w:t>
            </w:r>
          </w:p>
        </w:tc>
        <w:tc>
          <w:tcPr>
            <w:tcW w:type="dxa" w:w="3600"/>
            <w:shd w:fill="F8FAFC" w:val="clear"/>
          </w:tcPr>
          <w:p>
            <w:r>
              <w:rPr>
                <w:sz w:val="20"/>
                <w:szCs w:val="20"/>
              </w:rPr>
              <w:t xml:space="preserve">Almacena embeddings de los documentos clínicos</w:t>
            </w:r>
          </w:p>
        </w:tc>
      </w:tr>
      <w:tr>
        <w:tc>
          <w:tcPr>
            <w:tcW w:type="dxa" w:w="1800"/>
            <w:shd w:fill="FFFFFF" w:val="clear"/>
          </w:tcPr>
          <w:p>
            <w:r>
              <w:rPr>
                <w:sz w:val="20"/>
                <w:szCs w:val="20"/>
              </w:rPr>
              <w:t xml:space="preserve">Embeddings</w:t>
            </w:r>
          </w:p>
        </w:tc>
        <w:tc>
          <w:tcPr>
            <w:tcW w:type="dxa" w:w="3600"/>
            <w:shd w:fill="FFFFFF" w:val="clear"/>
          </w:tcPr>
          <w:p>
            <w:r>
              <w:rPr>
                <w:sz w:val="20"/>
                <w:szCs w:val="20"/>
              </w:rPr>
              <w:t xml:space="preserve">NVIDIA NIM — nvidia/nv-embedqa-e5-v5</w:t>
            </w:r>
          </w:p>
        </w:tc>
        <w:tc>
          <w:tcPr>
            <w:tcW w:type="dxa" w:w="3600"/>
            <w:shd w:fill="FFFFFF" w:val="clear"/>
          </w:tcPr>
          <w:p>
            <w:r>
              <w:rPr>
                <w:sz w:val="20"/>
                <w:szCs w:val="20"/>
              </w:rPr>
              <w:t xml:space="preserve">Vectoriza documentos (passage) y consultas (query)</w:t>
            </w:r>
          </w:p>
        </w:tc>
      </w:tr>
      <w:tr>
        <w:tc>
          <w:tcPr>
            <w:tcW w:type="dxa" w:w="1800"/>
            <w:shd w:fill="F8FAFC" w:val="clear"/>
          </w:tcPr>
          <w:p>
            <w:r>
              <w:rPr>
                <w:sz w:val="20"/>
                <w:szCs w:val="20"/>
              </w:rPr>
              <w:t xml:space="preserve">LLM de resumen</w:t>
            </w:r>
          </w:p>
        </w:tc>
        <w:tc>
          <w:tcPr>
            <w:tcW w:type="dxa" w:w="3600"/>
            <w:shd w:fill="F8FAFC" w:val="clear"/>
          </w:tcPr>
          <w:p>
            <w:r>
              <w:rPr>
                <w:sz w:val="20"/>
                <w:szCs w:val="20"/>
              </w:rPr>
              <w:t xml:space="preserve">NVIDIA NIM — meta/llama-3.1-8b-instruct</w:t>
            </w:r>
          </w:p>
        </w:tc>
        <w:tc>
          <w:tcPr>
            <w:tcW w:type="dxa" w:w="3600"/>
            <w:shd w:fill="F8FAFC" w:val="clear"/>
          </w:tcPr>
          <w:p>
            <w:r>
              <w:rPr>
                <w:sz w:val="20"/>
                <w:szCs w:val="20"/>
              </w:rPr>
              <w:t xml:space="preserve">Genera el resumen clínico estructurado post-llamada</w:t>
            </w:r>
          </w:p>
        </w:tc>
      </w:tr>
      <w:tr>
        <w:tc>
          <w:tcPr>
            <w:tcW w:type="dxa" w:w="1800"/>
            <w:shd w:fill="FFFFFF" w:val="clear"/>
          </w:tcPr>
          <w:p>
            <w:r>
              <w:rPr>
                <w:sz w:val="20"/>
                <w:szCs w:val="20"/>
              </w:rPr>
              <w:t xml:space="preserve">Voz conversacional</w:t>
            </w:r>
          </w:p>
        </w:tc>
        <w:tc>
          <w:tcPr>
            <w:tcW w:type="dxa" w:w="3600"/>
            <w:shd w:fill="FFFFFF" w:val="clear"/>
          </w:tcPr>
          <w:p>
            <w:r>
              <w:rPr>
                <w:sz w:val="20"/>
                <w:szCs w:val="20"/>
              </w:rPr>
              <w:t xml:space="preserve">ElevenLabs Conversational AI</w:t>
            </w:r>
          </w:p>
        </w:tc>
        <w:tc>
          <w:tcPr>
            <w:tcW w:type="dxa" w:w="3600"/>
            <w:shd w:fill="FFFFFF" w:val="clear"/>
          </w:tcPr>
          <w:p>
            <w:r>
              <w:rPr>
                <w:sz w:val="20"/>
                <w:szCs w:val="20"/>
              </w:rPr>
              <w:t xml:space="preserve">STT, turn-taking, LLM conversacional y TTS del agente</w:t>
            </w:r>
          </w:p>
        </w:tc>
      </w:tr>
      <w:tr>
        <w:tc>
          <w:tcPr>
            <w:tcW w:type="dxa" w:w="1800"/>
            <w:shd w:fill="F8FAFC" w:val="clear"/>
          </w:tcPr>
          <w:p>
            <w:r>
              <w:rPr>
                <w:sz w:val="20"/>
                <w:szCs w:val="20"/>
              </w:rPr>
              <w:t xml:space="preserve">Persistencia de llamadas</w:t>
            </w:r>
          </w:p>
        </w:tc>
        <w:tc>
          <w:tcPr>
            <w:tcW w:type="dxa" w:w="3600"/>
            <w:shd w:fill="F8FAFC" w:val="clear"/>
          </w:tcPr>
          <w:p>
            <w:r>
              <w:rPr>
                <w:sz w:val="20"/>
                <w:szCs w:val="20"/>
              </w:rPr>
              <w:t xml:space="preserve">SQLite (llamadas.db)</w:t>
            </w:r>
          </w:p>
        </w:tc>
        <w:tc>
          <w:tcPr>
            <w:tcW w:type="dxa" w:w="3600"/>
            <w:shd w:fill="F8FAFC" w:val="clear"/>
          </w:tcPr>
          <w:p>
            <w:r>
              <w:rPr>
                <w:sz w:val="20"/>
                <w:szCs w:val="20"/>
              </w:rPr>
              <w:t xml:space="preserve">Historial de llamadas clasificadas y resumidas</w:t>
            </w:r>
          </w:p>
        </w:tc>
      </w:tr>
      <w:tr>
        <w:tc>
          <w:tcPr>
            <w:tcW w:type="dxa" w:w="1800"/>
            <w:shd w:fill="FFFFFF" w:val="clear"/>
          </w:tcPr>
          <w:p>
            <w:r>
              <w:rPr>
                <w:sz w:val="20"/>
                <w:szCs w:val="20"/>
              </w:rPr>
              <w:t xml:space="preserve">Consola de administración</w:t>
            </w:r>
          </w:p>
        </w:tc>
        <w:tc>
          <w:tcPr>
            <w:tcW w:type="dxa" w:w="3600"/>
            <w:shd w:fill="FFFFFF" w:val="clear"/>
          </w:tcPr>
          <w:p>
            <w:r>
              <w:rPr>
                <w:sz w:val="20"/>
                <w:szCs w:val="20"/>
              </w:rPr>
              <w:t xml:space="preserve">Streamlit</w:t>
            </w:r>
          </w:p>
        </w:tc>
        <w:tc>
          <w:tcPr>
            <w:tcW w:type="dxa" w:w="3600"/>
            <w:shd w:fill="FFFFFF" w:val="clear"/>
          </w:tcPr>
          <w:p>
            <w:r>
              <w:rPr>
                <w:sz w:val="20"/>
                <w:szCs w:val="20"/>
              </w:rPr>
              <w:t xml:space="preserve">Gestión de conocimiento + historial de llamadas</w:t>
            </w:r>
          </w:p>
        </w:tc>
      </w:tr>
      <w:tr>
        <w:tc>
          <w:tcPr>
            <w:tcW w:type="dxa" w:w="1800"/>
            <w:shd w:fill="F8FAFC" w:val="clear"/>
          </w:tcPr>
          <w:p>
            <w:r>
              <w:rPr>
                <w:sz w:val="20"/>
                <w:szCs w:val="20"/>
              </w:rPr>
              <w:t xml:space="preserve">Interfaz de llamada</w:t>
            </w:r>
          </w:p>
        </w:tc>
        <w:tc>
          <w:tcPr>
            <w:tcW w:type="dxa" w:w="3600"/>
            <w:shd w:fill="F8FAFC" w:val="clear"/>
          </w:tcPr>
          <w:p>
            <w:r>
              <w:rPr>
                <w:sz w:val="20"/>
                <w:szCs w:val="20"/>
              </w:rPr>
              <w:t xml:space="preserve">HTML/JS (servido por FastAPI)</w:t>
            </w:r>
          </w:p>
        </w:tc>
        <w:tc>
          <w:tcPr>
            <w:tcW w:type="dxa" w:w="3600"/>
            <w:shd w:fill="F8FAFC" w:val="clear"/>
          </w:tcPr>
          <w:p>
            <w:r>
              <w:rPr>
                <w:sz w:val="20"/>
                <w:szCs w:val="20"/>
              </w:rPr>
              <w:t xml:space="preserve">Embebe el widget de voz de ElevenLabs</w:t>
            </w:r>
          </w:p>
        </w:tc>
      </w:tr>
    </w:tbl>
    <w:p>
      <w:pPr>
        <w:pStyle w:val="Heading2"/>
        <w:spacing w:after="150" w:before="300"/>
      </w:pPr>
      <w:r>
        <w:t xml:space="preserve">3.2 Flujo de una llamada, en dos momentos</w:t>
      </w:r>
    </w:p>
    <w:p>
      <w:pPr>
        <w:spacing w:after="160"/>
      </w:pPr>
      <w:r>
        <w:t xml:space="preserve">Es importante distinguir dos integraciones distintas con ElevenLabs, que ocurren en momentos diferentes del ciclo de vida de una llamada:</w:t>
      </w:r>
    </w:p>
    <w:p>
      <w:pPr>
        <w:spacing w:after="160"/>
      </w:pPr>
      <w:r>
        <w:rPr>
          <w:b/>
          <w:bCs/>
        </w:rPr>
        <w:t xml:space="preserve">En vivo, durante la llamada: </w:t>
      </w:r>
      <w:r>
        <w:t xml:space="preserve">el agente de ElevenLabs invoca el Tool webhook (POST /query) cada vez que necesita fundamentar una respuesta clínica, recibe fragmentos con su fuente, y responde al paciente basado únicamente en esa evidencia.</w:t>
      </w:r>
    </w:p>
    <w:p>
      <w:pPr>
        <w:spacing w:after="160"/>
      </w:pPr>
      <w:r>
        <w:rPr>
          <w:b/>
          <w:bCs/>
        </w:rPr>
        <w:t xml:space="preserve">Después de colgar: </w:t>
      </w:r>
      <w:r>
        <w:t xml:space="preserve">ElevenLabs envía el transcript completo al webhook de post-llamada (POST /webhook/post-call), firmado con HMAC-SHA256. Ahí se clasifica la severidad, se genera el resumen y se persiste el registro.</w:t>
      </w:r>
    </w:p>
    <w:p>
      <w:pPr>
        <w:pBdr>
          <w:left w:val="single" w:color="64748B" w:sz="12" w:space="8"/>
        </w:pBdr>
        <w:spacing w:after="160" w:before="80"/>
        <w:ind w:left="200"/>
      </w:pPr>
      <w:r>
        <w:rPr>
          <w:b/>
          <w:bCs/>
          <w:i/>
          <w:iCs/>
        </w:rPr>
        <w:t xml:space="preserve">Nota: </w:t>
      </w:r>
      <w:r>
        <w:rPr>
          <w:i/>
          <w:iCs/>
        </w:rPr>
        <w:t xml:space="preserve">El agente conversacional (system prompt, voz, configuración del Tool y del webhook) vive en el dashboard de ElevenLabs y no está versionado como código en este repositorio. La sección 7 de este informe documenta esa configuración para que pueda auditarse o replicarse.</w:t>
      </w:r>
    </w:p>
    <w:p>
      <w:pPr>
        <w:pStyle w:val="Heading1"/>
        <w:spacing w:after="200" w:before="400"/>
      </w:pPr>
      <w:r>
        <w:t xml:space="preserve">4. Modelos utilizados y justificación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1E3A5F" w:val="clear"/>
          </w:tcPr>
          <w:p>
            <w:r>
              <w:rPr>
                <w:b/>
                <w:bCs/>
                <w:color w:val="FFFFFF"/>
                <w:sz w:val="20"/>
                <w:szCs w:val="20"/>
              </w:rPr>
              <w:t xml:space="preserve">Modelo</w:t>
            </w:r>
          </w:p>
        </w:tc>
        <w:tc>
          <w:tcPr>
            <w:tcW w:type="dxa" w:w="2400"/>
            <w:shd w:fill="1E3A5F" w:val="clear"/>
          </w:tcPr>
          <w:p>
            <w:r>
              <w:rPr>
                <w:b/>
                <w:bCs/>
                <w:color w:val="FFFFFF"/>
                <w:sz w:val="20"/>
                <w:szCs w:val="20"/>
              </w:rPr>
              <w:t xml:space="preserve">Proveedor</w:t>
            </w:r>
          </w:p>
        </w:tc>
        <w:tc>
          <w:tcPr>
            <w:tcW w:type="dxa" w:w="3400"/>
            <w:shd w:fill="1E3A5F" w:val="clear"/>
          </w:tcPr>
          <w:p>
            <w:r>
              <w:rPr>
                <w:b/>
                <w:bCs/>
                <w:color w:val="FFFFFF"/>
                <w:sz w:val="20"/>
                <w:szCs w:val="20"/>
              </w:rPr>
              <w:t xml:space="preserve">Uso</w:t>
            </w:r>
          </w:p>
        </w:tc>
      </w:tr>
      <w:tr>
        <w:tc>
          <w:tcPr>
            <w:tcW w:type="dxa" w:w="3200"/>
            <w:shd w:fill="FFFFFF" w:val="clear"/>
          </w:tcPr>
          <w:p>
            <w:r>
              <w:rPr>
                <w:sz w:val="20"/>
                <w:szCs w:val="20"/>
              </w:rPr>
              <w:t xml:space="preserve">nvidia/nv-embedqa-e5-v5</w:t>
            </w:r>
          </w:p>
        </w:tc>
        <w:tc>
          <w:tcPr>
            <w:tcW w:type="dxa" w:w="2400"/>
            <w:shd w:fill="FFFFFF" w:val="clear"/>
          </w:tcPr>
          <w:p>
            <w:r>
              <w:rPr>
                <w:sz w:val="20"/>
                <w:szCs w:val="20"/>
              </w:rPr>
              <w:t xml:space="preserve">NVIDIA NIM</w:t>
            </w:r>
          </w:p>
        </w:tc>
        <w:tc>
          <w:tcPr>
            <w:tcW w:type="dxa" w:w="3400"/>
            <w:shd w:fill="FFFFFF" w:val="clear"/>
          </w:tcPr>
          <w:p>
            <w:r>
              <w:rPr>
                <w:sz w:val="20"/>
                <w:szCs w:val="20"/>
              </w:rPr>
              <w:t xml:space="preserve">Embeddings de documentos y consultas del sistema RAG</w:t>
            </w:r>
          </w:p>
        </w:tc>
      </w:tr>
      <w:tr>
        <w:tc>
          <w:tcPr>
            <w:tcW w:type="dxa" w:w="3200"/>
            <w:shd w:fill="F8FAFC" w:val="clear"/>
          </w:tcPr>
          <w:p>
            <w:r>
              <w:rPr>
                <w:sz w:val="20"/>
                <w:szCs w:val="20"/>
              </w:rPr>
              <w:t xml:space="preserve">meta/llama-3.1-8b-instruct</w:t>
            </w:r>
          </w:p>
        </w:tc>
        <w:tc>
          <w:tcPr>
            <w:tcW w:type="dxa" w:w="2400"/>
            <w:shd w:fill="F8FAFC" w:val="clear"/>
          </w:tcPr>
          <w:p>
            <w:r>
              <w:rPr>
                <w:sz w:val="20"/>
                <w:szCs w:val="20"/>
              </w:rPr>
              <w:t xml:space="preserve">NVIDIA NIM</w:t>
            </w:r>
          </w:p>
        </w:tc>
        <w:tc>
          <w:tcPr>
            <w:tcW w:type="dxa" w:w="3400"/>
            <w:shd w:fill="F8FAFC" w:val="clear"/>
          </w:tcPr>
          <w:p>
            <w:r>
              <w:rPr>
                <w:sz w:val="20"/>
                <w:szCs w:val="20"/>
              </w:rPr>
              <w:t xml:space="preserve">Generación del resumen clínico estructurado post-llamada</w:t>
            </w:r>
          </w:p>
        </w:tc>
      </w:tr>
      <w:tr>
        <w:tc>
          <w:tcPr>
            <w:tcW w:type="dxa" w:w="3200"/>
            <w:shd w:fill="FFFFFF" w:val="clear"/>
          </w:tcPr>
          <w:p>
            <w:r>
              <w:rPr>
                <w:sz w:val="20"/>
                <w:szCs w:val="20"/>
              </w:rPr>
              <w:t xml:space="preserve">ElevenLabs Conversational AI</w:t>
            </w:r>
          </w:p>
        </w:tc>
        <w:tc>
          <w:tcPr>
            <w:tcW w:type="dxa" w:w="2400"/>
            <w:shd w:fill="FFFFFF" w:val="clear"/>
          </w:tcPr>
          <w:p>
            <w:r>
              <w:rPr>
                <w:sz w:val="20"/>
                <w:szCs w:val="20"/>
              </w:rPr>
              <w:t xml:space="preserve">ElevenLabs</w:t>
            </w:r>
          </w:p>
        </w:tc>
        <w:tc>
          <w:tcPr>
            <w:tcW w:type="dxa" w:w="3400"/>
            <w:shd w:fill="FFFFFF" w:val="clear"/>
          </w:tcPr>
          <w:p>
            <w:r>
              <w:rPr>
                <w:sz w:val="20"/>
                <w:szCs w:val="20"/>
              </w:rPr>
              <w:t xml:space="preserve">Orquestación de voz: STT, turn-taking, LLM conversacional, TTS</w:t>
            </w:r>
          </w:p>
        </w:tc>
      </w:tr>
    </w:tbl>
    <w:p>
      <w:pPr>
        <w:pStyle w:val="Heading2"/>
        <w:spacing w:after="150" w:before="300"/>
      </w:pPr>
      <w:r>
        <w:t xml:space="preserve">4.1 Por qué este stack</w:t>
      </w:r>
    </w:p>
    <w:p>
      <w:pPr>
        <w:spacing w:after="160"/>
      </w:pPr>
      <w:r>
        <w:t xml:space="preserve">El reto exige declarar qué modelo del lenguaje se usó y por qué, dentro de la lista de modelos permitidos. La prioridad de esta implementación fue tener un pipeline estable y verificable dentro del tiempo de construcción disponible, evitando dependencias que introdujeran riesgo de bloqueo (como cuotas de facturación) o de infraestructura (como compilación de modelos locales en un entorno de despliegue restringido).</w:t>
      </w:r>
    </w:p>
    <w:p>
      <w:pPr>
        <w:spacing w:after="160"/>
      </w:pPr>
      <w:r>
        <w:t xml:space="preserve">Se optó por consumir ambos modelos — embeddings y LLM de resumen — a través del mismo proveedor (NVIDIA NIM, vía su endpoint compatible con la API de OpenAI) y la misma API key, lo que simplifica la configuración y reduce puntos de fallo.</w:t>
      </w:r>
    </w:p>
    <w:p>
      <w:pPr>
        <w:pStyle w:val="Heading2"/>
        <w:spacing w:after="150" w:before="300"/>
      </w:pPr>
      <w:r>
        <w:t xml:space="preserve">4.2 Decisiones técnicas y alternativas descartadas</w:t>
      </w:r>
    </w:p>
    <w:p>
      <w:pPr>
        <w:pStyle w:val="Heading3"/>
        <w:spacing w:after="100" w:before="200"/>
      </w:pPr>
      <w:r>
        <w:t xml:space="preserve">Embeddings: de Gemini a NVIDIA NIM</w:t>
      </w:r>
    </w:p>
    <w:p>
      <w:pPr>
        <w:spacing w:after="160"/>
      </w:pPr>
      <w:r>
        <w:t xml:space="preserve">La implementación inicial usó la API de embeddings de Google Gemini. Durante las pruebas, la API key devolvió el error 429 RESOURCE_EXHAUSTED ("prepayment credits depleted"), un problema de facturación del proyecto de Google Cloud asociado, no del código. Dado el tiempo disponible, se decidió no invertir en depurar la configuración de facturación de Google Cloud y migrar a NVIDIA NIM, que ofrece un tier gratuito sin tarjeta de crédito.</w:t>
      </w:r>
    </w:p>
    <w:p>
      <w:pPr>
        <w:pStyle w:val="Heading3"/>
        <w:spacing w:after="100" w:before="200"/>
      </w:pPr>
      <w:r>
        <w:t xml:space="preserve">Embeddings: de BAAI/BGE-M3 a nvidia/nv-embedqa-e5-v5</w:t>
      </w:r>
    </w:p>
    <w:p>
      <w:pPr>
        <w:spacing w:after="160"/>
      </w:pPr>
      <w:r>
        <w:t xml:space="preserve">Dentro de NVIDIA NIM, el modelo elegido inicialmente fue baai/bge-m3 por su buen desempeño reportado en español. Sin embargo, el endpoint devolvía error 500 de forma consistente para ese modelo específico en el momento del desarrollo, con distintas variantes de payload probadas (con/sin input_type, como string o lista, con/sin truncate). Se confirmó que otros modelos del mismo proveedor respondían correctamente con el mismo cliente, descartando un problema de código o de credenciales. Se hizo fallback a nvidia/nv-embedqa-e5-v5, modelo de retrieval oficial de NVIDIA NIM, con buen desempeño en español. Esta migración requirió recrear la colección de ChromaDB, dado que la dimensionalidad del vector cambia entre modelos de embeddings distintos.</w:t>
      </w:r>
    </w:p>
    <w:p>
      <w:pPr>
        <w:pStyle w:val="Heading3"/>
        <w:spacing w:after="100" w:before="200"/>
      </w:pPr>
      <w:r>
        <w:t xml:space="preserve">Clasificación de severidad: reglas deterministas, no LLM</w:t>
      </w:r>
    </w:p>
    <w:p>
      <w:pPr>
        <w:spacing w:after="160"/>
      </w:pPr>
      <w:r>
        <w:t xml:space="preserve">Se descartó deliberadamente usar un LLM para decidir la clasificación verde/amarillo/rojo. La clasificación se implementa con patrones de texto (regex) evaluados en orden de prioridad sobre los turnos del paciente en la transcripción. Esta decisión prioriza la auditabilidad y la seguridad: la razón de cada clasificación es siempre explicable y reproducible, y ningún error de generación del LLM puede alterar una alerta de severidad. El LLM se usa exclusivamente para el resumen narrativo, que se genera después de que la clasificación ya fue decidida, y su salida nunca sobreescribe los campos de clasificación.</w:t>
      </w:r>
    </w:p>
    <w:p>
      <w:pPr>
        <w:pStyle w:val="Heading3"/>
        <w:spacing w:after="100" w:before="200"/>
      </w:pPr>
      <w:r>
        <w:t xml:space="preserve">Persistencia del historial: SQLite en vez de JSON append-only</w:t>
      </w:r>
    </w:p>
    <w:p>
      <w:pPr>
        <w:spacing w:after="160"/>
      </w:pPr>
      <w:r>
        <w:t xml:space="preserve">Se evaluaron ambas opciones para persistir el historial de llamadas. Se eligió SQLite (librería estándar de Python, sin dependencia nueva) porque maneja de forma segura la escritura concurrente si llegan varios webhooks de forma cercana en el tiempo, sin necesidad de implementar un mecanismo de bloqueo manual.</w:t>
      </w:r>
    </w:p>
    <w:p>
      <w:pPr>
        <w:pStyle w:val="Heading1"/>
        <w:spacing w:after="200" w:before="400"/>
      </w:pPr>
      <w:r>
        <w:t xml:space="preserve">5. RAG "vivo" y trazabilidad</w:t>
      </w:r>
    </w:p>
    <w:p>
      <w:pPr>
        <w:spacing w:after="160"/>
      </w:pPr>
      <w:r>
        <w:t xml:space="preserve">La base de conocimiento clínico se gestiona en caliente a través de cuatro endpoints del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3A5F" w:val="clear"/>
          </w:tcPr>
          <w:p>
            <w:r>
              <w:rPr>
                <w:b/>
                <w:bCs/>
                <w:color w:val="FFFFFF"/>
                <w:sz w:val="20"/>
                <w:szCs w:val="20"/>
              </w:rPr>
              <w:t xml:space="preserve">Endpoint</w:t>
            </w:r>
          </w:p>
        </w:tc>
        <w:tc>
          <w:tcPr>
            <w:tcW w:type="dxa" w:w="6000"/>
            <w:shd w:fill="1E3A5F" w:val="clear"/>
          </w:tcPr>
          <w:p>
            <w:r>
              <w:rPr>
                <w:b/>
                <w:bCs/>
                <w:color w:val="FFFFFF"/>
                <w:sz w:val="20"/>
                <w:szCs w:val="20"/>
              </w:rPr>
              <w:t xml:space="preserve">Función</w:t>
            </w:r>
          </w:p>
        </w:tc>
      </w:tr>
      <w:tr>
        <w:tc>
          <w:tcPr>
            <w:tcW w:type="dxa" w:w="3000"/>
            <w:shd w:fill="FFFFFF" w:val="clear"/>
          </w:tcPr>
          <w:p>
            <w:r>
              <w:rPr>
                <w:sz w:val="20"/>
                <w:szCs w:val="20"/>
              </w:rPr>
              <w:t xml:space="preserve">POST /documents</w:t>
            </w:r>
          </w:p>
        </w:tc>
        <w:tc>
          <w:tcPr>
            <w:tcW w:type="dxa" w:w="6000"/>
            <w:shd w:fill="FFFFFF" w:val="clear"/>
          </w:tcPr>
          <w:p>
            <w:r>
              <w:rPr>
                <w:sz w:val="20"/>
                <w:szCs w:val="20"/>
              </w:rPr>
              <w:t xml:space="preserve">Recibe un PDF, extrae texto, trocea, genera embeddings y los indexa en ChromaDB con metadata de fuente</w:t>
            </w:r>
          </w:p>
        </w:tc>
      </w:tr>
      <w:tr>
        <w:tc>
          <w:tcPr>
            <w:tcW w:type="dxa" w:w="3000"/>
            <w:shd w:fill="F8FAFC" w:val="clear"/>
          </w:tcPr>
          <w:p>
            <w:r>
              <w:rPr>
                <w:sz w:val="20"/>
                <w:szCs w:val="20"/>
              </w:rPr>
              <w:t xml:space="preserve">GET /documents</w:t>
            </w:r>
          </w:p>
        </w:tc>
        <w:tc>
          <w:tcPr>
            <w:tcW w:type="dxa" w:w="6000"/>
            <w:shd w:fill="F8FAFC" w:val="clear"/>
          </w:tcPr>
          <w:p>
            <w:r>
              <w:rPr>
                <w:sz w:val="20"/>
                <w:szCs w:val="20"/>
              </w:rPr>
              <w:t xml:space="preserve">Lista los documentos cargados, agrupados por documento, con su estado</w:t>
            </w:r>
          </w:p>
        </w:tc>
      </w:tr>
      <w:tr>
        <w:tc>
          <w:tcPr>
            <w:tcW w:type="dxa" w:w="3000"/>
            <w:shd w:fill="FFFFFF" w:val="clear"/>
          </w:tcPr>
          <w:p>
            <w:r>
              <w:rPr>
                <w:sz w:val="20"/>
                <w:szCs w:val="20"/>
              </w:rPr>
              <w:t xml:space="preserve">DELETE /documents/{doc_id}</w:t>
            </w:r>
          </w:p>
        </w:tc>
        <w:tc>
          <w:tcPr>
            <w:tcW w:type="dxa" w:w="6000"/>
            <w:shd w:fill="FFFFFF" w:val="clear"/>
          </w:tcPr>
          <w:p>
            <w:r>
              <w:rPr>
                <w:sz w:val="20"/>
                <w:szCs w:val="20"/>
              </w:rPr>
              <w:t xml:space="preserve">Elimina todos los fragmentos de un documento — el agente deja de tener acceso a ese contenido de inmediato</w:t>
            </w:r>
          </w:p>
        </w:tc>
      </w:tr>
      <w:tr>
        <w:tc>
          <w:tcPr>
            <w:tcW w:type="dxa" w:w="3000"/>
            <w:shd w:fill="F8FAFC" w:val="clear"/>
          </w:tcPr>
          <w:p>
            <w:r>
              <w:rPr>
                <w:sz w:val="20"/>
                <w:szCs w:val="20"/>
              </w:rPr>
              <w:t xml:space="preserve">POST /query</w:t>
            </w:r>
          </w:p>
        </w:tc>
        <w:tc>
          <w:tcPr>
            <w:tcW w:type="dxa" w:w="6000"/>
            <w:shd w:fill="F8FAFC" w:val="clear"/>
          </w:tcPr>
          <w:p>
            <w:r>
              <w:rPr>
                <w:sz w:val="20"/>
                <w:szCs w:val="20"/>
              </w:rPr>
              <w:t xml:space="preserve">Busca los fragmentos más relevantes para una pregunta y devuelve cada uno con su fuente y score de relevancia</w:t>
            </w:r>
          </w:p>
        </w:tc>
      </w:tr>
    </w:tbl>
    <w:p>
      <w:pPr>
        <w:spacing w:after="160"/>
      </w:pPr>
      <w:r>
        <w:t xml:space="preserve">Cada fragmento devuelto por /query incluye explícitamente el nombre del archivo fuente que lo respalda. Esto permite que cualquier afirmación clínica del agente sea auditable hasta el documento y la sección exacta que la sustenta. Cuando no existe evidencia suficiente para una pregunta, el endpoint lo señala explícitamente (hay_evidencia: false), y el system prompt del agente le instruye comunicar esa ausencia de evidencia al paciente en vez de responder por inferencia propia.</w:t>
      </w:r>
    </w:p>
    <w:p>
      <w:pPr>
        <w:pStyle w:val="Heading2"/>
        <w:spacing w:after="150" w:before="300"/>
      </w:pPr>
      <w:r>
        <w:t xml:space="preserve">5.1 Verificación de la propiedad "olvida en caliente"</w:t>
      </w:r>
    </w:p>
    <w:p>
      <w:pPr>
        <w:spacing w:after="160"/>
      </w:pPr>
      <w:r>
        <w:t xml:space="preserve">Se verificó explícitamente que, tras eliminar un documento, una consulta que antes devolvía fragmentos de ese documento deja de hacerlo de inmediato — ver resultados de pruebas en la sección 8.</w:t>
      </w:r>
    </w:p>
    <w:p>
      <w:pPr>
        <w:pStyle w:val="Heading1"/>
        <w:spacing w:after="200" w:before="400"/>
      </w:pPr>
      <w:r>
        <w:t xml:space="preserve">6. Lógica de decisión: clasificación de severidad</w:t>
      </w:r>
    </w:p>
    <w:p>
      <w:pPr>
        <w:spacing w:after="160"/>
      </w:pPr>
      <w:r>
        <w:t xml:space="preserve">La clasificación se ejecuta dentro del webhook de post-llamada, después de verificar la firma HMAC-SHA256 del payload entrante. Se evalúan primero los patrones de alarma ROJO, en orden, sobre el texto de los turnos del paciente en minúsculas; la primera coincidencia determina la clasificación.</w:t>
      </w:r>
    </w:p>
    <w:p>
      <w:pPr>
        <w:pStyle w:val="Heading2"/>
        <w:spacing w:after="150" w:before="300"/>
      </w:pPr>
      <w:r>
        <w:t xml:space="preserve">6.1 Patrones ROJO (evaluados primero, cualquier coincidencia es suficiente)</w:t>
      </w:r>
    </w:p>
    <w:p>
      <w:pPr>
        <w:pStyle w:val="ListParagraph"/>
        <w:numPr>
          <w:ilvl w:val="0"/>
          <w:numId w:val="1"/>
        </w:numPr>
        <w:spacing w:after="80"/>
      </w:pPr>
      <w:r>
        <w:t xml:space="preserve">Sangrado abundante o hemorragia</w:t>
      </w:r>
    </w:p>
    <w:p>
      <w:pPr>
        <w:pStyle w:val="ListParagraph"/>
        <w:numPr>
          <w:ilvl w:val="0"/>
          <w:numId w:val="1"/>
        </w:numPr>
        <w:spacing w:after="80"/>
      </w:pPr>
      <w:r>
        <w:t xml:space="preserve">Dificultad para respirar o falta de aire</w:t>
      </w:r>
    </w:p>
    <w:p>
      <w:pPr>
        <w:pStyle w:val="ListParagraph"/>
        <w:numPr>
          <w:ilvl w:val="0"/>
          <w:numId w:val="1"/>
        </w:numPr>
        <w:spacing w:after="80"/>
      </w:pPr>
      <w:r>
        <w:t xml:space="preserve">Dolor de pecho u opresión en el pecho</w:t>
      </w:r>
    </w:p>
    <w:p>
      <w:pPr>
        <w:pStyle w:val="ListParagraph"/>
        <w:numPr>
          <w:ilvl w:val="0"/>
          <w:numId w:val="1"/>
        </w:numPr>
        <w:spacing w:after="80"/>
      </w:pPr>
      <w:r>
        <w:t xml:space="preserve">Confusión, desorientación o "no reconoce"</w:t>
      </w:r>
    </w:p>
    <w:p>
      <w:pPr>
        <w:pStyle w:val="ListParagraph"/>
        <w:numPr>
          <w:ilvl w:val="0"/>
          <w:numId w:val="1"/>
        </w:numPr>
        <w:spacing w:after="80"/>
      </w:pPr>
      <w:r>
        <w:t xml:space="preserve">Desmayo, pérdida de conciencia o convulsión</w:t>
      </w:r>
    </w:p>
    <w:p>
      <w:pPr>
        <w:pStyle w:val="ListParagraph"/>
        <w:numPr>
          <w:ilvl w:val="0"/>
          <w:numId w:val="1"/>
        </w:numPr>
        <w:spacing w:after="80"/>
      </w:pPr>
      <w:r>
        <w:t xml:space="preserve">Fiebre ≥ 39 °C (mención explícita de la cifra junto a "grados" o "°")</w:t>
      </w:r>
    </w:p>
    <w:p>
      <w:pPr>
        <w:pStyle w:val="Heading2"/>
        <w:spacing w:after="150" w:before="300"/>
      </w:pPr>
      <w:r>
        <w:t xml:space="preserve">6.2 Patrones AMARILLO (si no hubo coincidencia ROJO)</w:t>
      </w:r>
    </w:p>
    <w:p>
      <w:pPr>
        <w:pStyle w:val="ListParagraph"/>
        <w:numPr>
          <w:ilvl w:val="0"/>
          <w:numId w:val="1"/>
        </w:numPr>
        <w:spacing w:after="80"/>
      </w:pPr>
      <w:r>
        <w:t xml:space="preserve">Fiebre moderada (37.5–38.9 °C) o febrícula</w:t>
      </w:r>
    </w:p>
    <w:p>
      <w:pPr>
        <w:pStyle w:val="ListParagraph"/>
        <w:numPr>
          <w:ilvl w:val="0"/>
          <w:numId w:val="1"/>
        </w:numPr>
        <w:spacing w:after="80"/>
      </w:pPr>
      <w:r>
        <w:t xml:space="preserve">Dolor en aumento o dolor calificado 9-10 sobre 10</w:t>
      </w:r>
    </w:p>
    <w:p>
      <w:pPr>
        <w:pStyle w:val="ListParagraph"/>
        <w:numPr>
          <w:ilvl w:val="0"/>
          <w:numId w:val="1"/>
        </w:numPr>
        <w:spacing w:after="80"/>
      </w:pPr>
      <w:r>
        <w:t xml:space="preserve">Pus, secreción o supuración en la herida</w:t>
      </w:r>
    </w:p>
    <w:p>
      <w:pPr>
        <w:pStyle w:val="ListParagraph"/>
        <w:numPr>
          <w:ilvl w:val="0"/>
          <w:numId w:val="1"/>
        </w:numPr>
        <w:spacing w:after="80"/>
      </w:pPr>
      <w:r>
        <w:t xml:space="preserve">Herida roja, caliente o con mal olor</w:t>
      </w:r>
    </w:p>
    <w:p>
      <w:pPr>
        <w:pStyle w:val="ListParagraph"/>
        <w:numPr>
          <w:ilvl w:val="0"/>
          <w:numId w:val="1"/>
        </w:numPr>
        <w:spacing w:after="80"/>
      </w:pPr>
      <w:r>
        <w:t xml:space="preserve">Vómitos o náuseas persistentes</w:t>
      </w:r>
    </w:p>
    <w:p>
      <w:pPr>
        <w:pStyle w:val="ListParagraph"/>
        <w:numPr>
          <w:ilvl w:val="0"/>
          <w:numId w:val="1"/>
        </w:numPr>
        <w:spacing w:after="80"/>
      </w:pPr>
      <w:r>
        <w:t xml:space="preserve">Incapacidad de levantarse, caminar o moverse</w:t>
      </w:r>
    </w:p>
    <w:p>
      <w:pPr>
        <w:pStyle w:val="Heading2"/>
        <w:spacing w:after="150" w:before="300"/>
      </w:pPr>
      <w:r>
        <w:t xml:space="preserve">6.3 VERDE</w:t>
      </w:r>
    </w:p>
    <w:p>
      <w:pPr>
        <w:spacing w:after="160"/>
      </w:pPr>
      <w:r>
        <w:t xml:space="preserve">Si no se detecta ningún patrón ROJO ni AMARILLO en los turnos del paciente, la llamada se clasifica como verde, con razón explícita "sin señales de alarma en transcripción".</w:t>
      </w:r>
    </w:p>
    <w:p>
      <w:pPr>
        <w:pStyle w:val="Heading2"/>
        <w:spacing w:after="150" w:before="300"/>
      </w:pPr>
      <w:r>
        <w:t xml:space="preserve">6.4 Separación estricta entre clasificación y generación de lenguaje</w:t>
      </w:r>
    </w:p>
    <w:p>
      <w:pPr>
        <w:spacing w:after="160"/>
      </w:pPr>
      <w:r>
        <w:t xml:space="preserve">Los campos clasificacion, razon_clasificacion y requiere_atencion_humana provienen exclusivamente del resultado de la función de clasificación por reglas. El LLM (meta/llama-3.1-8b-instruct) solo redacta el resumen narrativo y la descripción de síntomas por categoría; si el LLM intentara incluir su propia clasificación en el JSON de salida, el código la ignora.</w:t>
      </w:r>
    </w:p>
    <w:p>
      <w:pPr>
        <w:pStyle w:val="Heading1"/>
        <w:spacing w:after="200" w:before="400"/>
      </w:pPr>
      <w:r>
        <w:t xml:space="preserve">7. Proceso de desarrollo</w:t>
      </w:r>
    </w:p>
    <w:p>
      <w:pPr>
        <w:spacing w:after="160"/>
      </w:pPr>
      <w:r>
        <w:t xml:space="preserve">El desarrollo se ejecutó con Claude Code, en bloques incrementales, cada uno cerrado con pruebas verificadas antes de avanzar al siguiente. A continuación, el resumen de cada bloque con su objetivo y resultado. Los prompts completos usados en cada fase están disponibles como evidencia adicional (ver Anexo A).</w:t>
      </w:r>
    </w:p>
    <w:p>
      <w:pPr>
        <w:pStyle w:val="Heading2"/>
        <w:spacing w:after="150" w:before="300"/>
      </w:pPr>
      <w:r>
        <w:t xml:space="preserve">Bloque 0-1 — Scaffold y backend RAG</w:t>
      </w:r>
    </w:p>
    <w:p>
      <w:pPr>
        <w:pStyle w:val="ListParagraph"/>
        <w:numPr>
          <w:ilvl w:val="0"/>
          <w:numId w:val="1"/>
        </w:numPr>
        <w:spacing w:after="80"/>
      </w:pPr>
      <w:r>
        <w:t xml:space="preserve">Estructura del repositorio, licencia MIT, .gitignore, backend FastAPI.</w:t>
      </w:r>
    </w:p>
    <w:p>
      <w:pPr>
        <w:pStyle w:val="ListParagraph"/>
        <w:numPr>
          <w:ilvl w:val="0"/>
          <w:numId w:val="1"/>
        </w:numPr>
        <w:spacing w:after="80"/>
      </w:pPr>
      <w:r>
        <w:t xml:space="preserve">Implementación de ChromaDB + embeddings + endpoints de gestión de documentos y consulta.</w:t>
      </w:r>
    </w:p>
    <w:p>
      <w:pPr>
        <w:pStyle w:val="ListParagraph"/>
        <w:numPr>
          <w:ilvl w:val="0"/>
          <w:numId w:val="1"/>
        </w:numPr>
        <w:spacing w:after="80"/>
      </w:pPr>
      <w:r>
        <w:t xml:space="preserve">Migración de proveedor de embeddings: Gemini → NVIDIA NIM (bge-m3 → nv-embedqa-e5-v5) por los motivos descritos en la sección 4.2.</w:t>
      </w:r>
    </w:p>
    <w:p>
      <w:pPr>
        <w:pStyle w:val="ListParagraph"/>
        <w:numPr>
          <w:ilvl w:val="0"/>
          <w:numId w:val="1"/>
        </w:numPr>
        <w:spacing w:after="80"/>
      </w:pPr>
      <w:r>
        <w:t xml:space="preserve">5 pruebas funcionales verificadas: carga de múltiples documentos, listado, consulta con fuente correcta, eliminación, y confirmación de que el documento eliminado deja de aparecer en resultados.</w:t>
      </w:r>
    </w:p>
    <w:p>
      <w:pPr>
        <w:pStyle w:val="Heading2"/>
        <w:spacing w:after="150" w:before="300"/>
      </w:pPr>
      <w:r>
        <w:t xml:space="preserve">Bloque 2 — Consola de administración</w:t>
      </w:r>
    </w:p>
    <w:p>
      <w:pPr>
        <w:pStyle w:val="ListParagraph"/>
        <w:numPr>
          <w:ilvl w:val="0"/>
          <w:numId w:val="1"/>
        </w:numPr>
        <w:spacing w:after="80"/>
      </w:pPr>
      <w:r>
        <w:t xml:space="preserve">Interfaz Streamlit para subir, listar y eliminar documentos, con estado visual de "procesado y disponible".</w:t>
      </w:r>
    </w:p>
    <w:p>
      <w:pPr>
        <w:pStyle w:val="ListParagraph"/>
        <w:numPr>
          <w:ilvl w:val="0"/>
          <w:numId w:val="1"/>
        </w:numPr>
        <w:spacing w:after="80"/>
      </w:pPr>
      <w:r>
        <w:t xml:space="preserve">Panel adicional de prueba de consulta para verificar trazabilidad sin depender de la voz.</w:t>
      </w:r>
    </w:p>
    <w:p>
      <w:pPr>
        <w:pStyle w:val="ListParagraph"/>
        <w:numPr>
          <w:ilvl w:val="0"/>
          <w:numId w:val="1"/>
        </w:numPr>
        <w:spacing w:after="80"/>
      </w:pPr>
      <w:r>
        <w:t xml:space="preserve">Corrección de un bug propio de la consola (mensaje de confirmación descartado por un st.rerun() inmediato), resuelto con st.session_state.</w:t>
      </w:r>
    </w:p>
    <w:p>
      <w:pPr>
        <w:pStyle w:val="Heading2"/>
        <w:spacing w:after="150" w:before="300"/>
      </w:pPr>
      <w:r>
        <w:t xml:space="preserve">Bloque 3 — Interfaz de llamada y configuración del agente</w:t>
      </w:r>
    </w:p>
    <w:p>
      <w:pPr>
        <w:pStyle w:val="ListParagraph"/>
        <w:numPr>
          <w:ilvl w:val="0"/>
          <w:numId w:val="1"/>
        </w:numPr>
        <w:spacing w:after="80"/>
      </w:pPr>
      <w:r>
        <w:t xml:space="preserve">Página HTML que embebe el widget conversacional de ElevenLabs, diseñada con dirección visual de calma y claridad orientada a un paciente post-operatorio (skill ui-ux-pro-max).</w:t>
      </w:r>
    </w:p>
    <w:p>
      <w:pPr>
        <w:pStyle w:val="ListParagraph"/>
        <w:numPr>
          <w:ilvl w:val="0"/>
          <w:numId w:val="1"/>
        </w:numPr>
        <w:spacing w:after="80"/>
      </w:pPr>
      <w:r>
        <w:t xml:space="preserve">Configuración manual del agente en el dashboard de ElevenLabs: voz en español, system prompt clínico estructurado, primer mensaje, y Tool webhook apuntando a POST /query.</w:t>
      </w:r>
    </w:p>
    <w:p>
      <w:pPr>
        <w:pStyle w:val="ListParagraph"/>
        <w:numPr>
          <w:ilvl w:val="0"/>
          <w:numId w:val="1"/>
        </w:numPr>
        <w:spacing w:after="80"/>
      </w:pPr>
      <w:r>
        <w:t xml:space="preserve">Despliegue del backend en Render, con corrección de una incompatibilidad de versión de Python (Render usaba 3.14 por defecto, sin wheels precompilados para una dependencia de ChromaDB) mediante runtime.txt fijando Python 3.11.9.</w:t>
      </w:r>
    </w:p>
    <w:p>
      <w:pPr>
        <w:pStyle w:val="Heading2"/>
        <w:spacing w:after="150" w:before="300"/>
      </w:pPr>
      <w:r>
        <w:t xml:space="preserve">Bloque 4 — Webhook post-llamada y clasificación</w:t>
      </w:r>
    </w:p>
    <w:p>
      <w:pPr>
        <w:pStyle w:val="ListParagraph"/>
        <w:numPr>
          <w:ilvl w:val="0"/>
          <w:numId w:val="1"/>
        </w:numPr>
        <w:spacing w:after="80"/>
      </w:pPr>
      <w:r>
        <w:t xml:space="preserve">Implementación de la verificación HMAC-SHA256, la lógica de clasificación por reglas, y la generación de resumen estructurado vía LLM.</w:t>
      </w:r>
    </w:p>
    <w:p>
      <w:pPr>
        <w:pStyle w:val="ListParagraph"/>
        <w:numPr>
          <w:ilvl w:val="0"/>
          <w:numId w:val="1"/>
        </w:numPr>
        <w:spacing w:after="80"/>
      </w:pPr>
      <w:r>
        <w:t xml:space="preserve">Configuración manual del webhook de post-llamada en el dashboard de ElevenLabs (Developers → Webhooks), con su signing secret propio.</w:t>
      </w:r>
    </w:p>
    <w:p>
      <w:pPr>
        <w:pStyle w:val="ListParagraph"/>
        <w:numPr>
          <w:ilvl w:val="0"/>
          <w:numId w:val="1"/>
        </w:numPr>
        <w:spacing w:after="80"/>
      </w:pPr>
      <w:r>
        <w:t xml:space="preserve">Configuración del Tool RAG mediante edición directa de JSON en el dashboard, ajustando la estructura interna específica que exige el validador del editor (distinta del formato JSON Schema estándar documentado públicamente).</w:t>
      </w:r>
    </w:p>
    <w:p>
      <w:pPr>
        <w:pStyle w:val="Heading2"/>
        <w:spacing w:after="150" w:before="300"/>
      </w:pPr>
      <w:r>
        <w:t xml:space="preserve">Bloque 5 — Pulido de interfaz de la consola</w:t>
      </w:r>
    </w:p>
    <w:p>
      <w:pPr>
        <w:pStyle w:val="ListParagraph"/>
        <w:numPr>
          <w:ilvl w:val="0"/>
          <w:numId w:val="1"/>
        </w:numPr>
        <w:spacing w:after="80"/>
      </w:pPr>
      <w:r>
        <w:t xml:space="preserve">Unificación de paleta, tipografía y patrones visuales entre la consola de administración y la interfaz de llamada, usando los tokens de diseño ya definidos en esta última.</w:t>
      </w:r>
    </w:p>
    <w:p>
      <w:pPr>
        <w:pStyle w:val="Heading1"/>
        <w:spacing w:after="200" w:before="400"/>
      </w:pPr>
      <w:r>
        <w:t xml:space="preserve">8. Resultados de pruebas</w:t>
      </w:r>
    </w:p>
    <w:p>
      <w:pPr>
        <w:pStyle w:val="Heading2"/>
        <w:spacing w:after="150" w:before="300"/>
      </w:pPr>
      <w:r>
        <w:t xml:space="preserve">8.1 Backend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E3A5F" w:val="clear"/>
          </w:tcPr>
          <w:p>
            <w:r>
              <w:rPr>
                <w:b/>
                <w:bCs/>
                <w:color w:val="FFFFFF"/>
                <w:sz w:val="20"/>
                <w:szCs w:val="20"/>
              </w:rPr>
              <w:t xml:space="preserve">Prueba</w:t>
            </w:r>
          </w:p>
        </w:tc>
        <w:tc>
          <w:tcPr>
            <w:tcW w:type="dxa" w:w="5000"/>
            <w:shd w:fill="1E3A5F" w:val="clear"/>
          </w:tcPr>
          <w:p>
            <w:r>
              <w:rPr>
                <w:b/>
                <w:bCs/>
                <w:color w:val="FFFFFF"/>
                <w:sz w:val="20"/>
                <w:szCs w:val="20"/>
              </w:rPr>
              <w:t xml:space="preserve">Resultado</w:t>
            </w:r>
          </w:p>
        </w:tc>
      </w:tr>
      <w:tr>
        <w:tc>
          <w:tcPr>
            <w:tcW w:type="dxa" w:w="4000"/>
            <w:shd w:fill="FFFFFF" w:val="clear"/>
          </w:tcPr>
          <w:p>
            <w:r>
              <w:rPr>
                <w:sz w:val="20"/>
                <w:szCs w:val="20"/>
              </w:rPr>
              <w:t xml:space="preserve">Carga de 3 PDFs de carpetas distintas</w:t>
            </w:r>
          </w:p>
        </w:tc>
        <w:tc>
          <w:tcPr>
            <w:tcW w:type="dxa" w:w="5000"/>
            <w:shd w:fill="FFFFFF" w:val="clear"/>
          </w:tcPr>
          <w:p>
            <w:r>
              <w:rPr>
                <w:sz w:val="20"/>
                <w:szCs w:val="20"/>
              </w:rPr>
              <w:t xml:space="preserve">3/3 con estado "procesado y disponible"</w:t>
            </w:r>
          </w:p>
        </w:tc>
      </w:tr>
      <w:tr>
        <w:tc>
          <w:tcPr>
            <w:tcW w:type="dxa" w:w="4000"/>
            <w:shd w:fill="F8FAFC" w:val="clear"/>
          </w:tcPr>
          <w:p>
            <w:r>
              <w:rPr>
                <w:sz w:val="20"/>
                <w:szCs w:val="20"/>
              </w:rPr>
              <w:t xml:space="preserve">Listado de documentos</w:t>
            </w:r>
          </w:p>
        </w:tc>
        <w:tc>
          <w:tcPr>
            <w:tcW w:type="dxa" w:w="5000"/>
            <w:shd w:fill="F8FAFC" w:val="clear"/>
          </w:tcPr>
          <w:p>
            <w:r>
              <w:rPr>
                <w:sz w:val="20"/>
                <w:szCs w:val="20"/>
              </w:rPr>
              <w:t xml:space="preserve">Los 3 documentos aparecen agrupados correctamente</w:t>
            </w:r>
          </w:p>
        </w:tc>
      </w:tr>
      <w:tr>
        <w:tc>
          <w:tcPr>
            <w:tcW w:type="dxa" w:w="4000"/>
            <w:shd w:fill="FFFFFF" w:val="clear"/>
          </w:tcPr>
          <w:p>
            <w:r>
              <w:rPr>
                <w:sz w:val="20"/>
                <w:szCs w:val="20"/>
              </w:rPr>
              <w:t xml:space="preserve">Consulta clínica sobre un documento cargado</w:t>
            </w:r>
          </w:p>
        </w:tc>
        <w:tc>
          <w:tcPr>
            <w:tcW w:type="dxa" w:w="5000"/>
            <w:shd w:fill="FFFFFF" w:val="clear"/>
          </w:tcPr>
          <w:p>
            <w:r>
              <w:rPr>
                <w:sz w:val="20"/>
                <w:szCs w:val="20"/>
              </w:rPr>
              <w:t xml:space="preserve">5 fragmentos devueltos, fuente citada correctamente, hay_evidencia: true</w:t>
            </w:r>
          </w:p>
        </w:tc>
      </w:tr>
      <w:tr>
        <w:tc>
          <w:tcPr>
            <w:tcW w:type="dxa" w:w="4000"/>
            <w:shd w:fill="F8FAFC" w:val="clear"/>
          </w:tcPr>
          <w:p>
            <w:r>
              <w:rPr>
                <w:sz w:val="20"/>
                <w:szCs w:val="20"/>
              </w:rPr>
              <w:t xml:space="preserve">Eliminación de un documento</w:t>
            </w:r>
          </w:p>
        </w:tc>
        <w:tc>
          <w:tcPr>
            <w:tcW w:type="dxa" w:w="5000"/>
            <w:shd w:fill="F8FAFC" w:val="clear"/>
          </w:tcPr>
          <w:p>
            <w:r>
              <w:rPr>
                <w:sz w:val="20"/>
                <w:szCs w:val="20"/>
              </w:rPr>
              <w:t xml:space="preserve">Estado "eliminado", listado se actualiza a 2 documentos</w:t>
            </w:r>
          </w:p>
        </w:tc>
      </w:tr>
      <w:tr>
        <w:tc>
          <w:tcPr>
            <w:tcW w:type="dxa" w:w="4000"/>
            <w:shd w:fill="FFFFFF" w:val="clear"/>
          </w:tcPr>
          <w:p>
            <w:r>
              <w:rPr>
                <w:sz w:val="20"/>
                <w:szCs w:val="20"/>
              </w:rPr>
              <w:t xml:space="preserve">Repetición de la misma consulta tras eliminar</w:t>
            </w:r>
          </w:p>
        </w:tc>
        <w:tc>
          <w:tcPr>
            <w:tcW w:type="dxa" w:w="5000"/>
            <w:shd w:fill="FFFFFF" w:val="clear"/>
          </w:tcPr>
          <w:p>
            <w:r>
              <w:rPr>
                <w:sz w:val="20"/>
                <w:szCs w:val="20"/>
              </w:rPr>
              <w:t xml:space="preserve">hay_evidencia: false — confirma que el agente "olvidó" el documento</w:t>
            </w:r>
          </w:p>
        </w:tc>
      </w:tr>
    </w:tbl>
    <w:p>
      <w:pPr>
        <w:pStyle w:val="Heading2"/>
        <w:spacing w:after="150" w:before="300"/>
      </w:pPr>
      <w:r>
        <w:t xml:space="preserve">8.2 Webhook de post-llamada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Pr>
          <w:p>
            <w:r>
              <w:rPr>
                <w:b/>
                <w:bCs/>
                <w:color w:val="FFFFFF"/>
                <w:sz w:val="20"/>
                <w:szCs w:val="20"/>
              </w:rPr>
              <w:t xml:space="preserve">Prueba</w:t>
            </w:r>
          </w:p>
        </w:tc>
        <w:tc>
          <w:tcPr>
            <w:tcW w:type="dxa" w:w="4500"/>
            <w:shd w:fill="1E3A5F" w:val="clear"/>
          </w:tcPr>
          <w:p>
            <w:r>
              <w:rPr>
                <w:b/>
                <w:bCs/>
                <w:color w:val="FFFFFF"/>
                <w:sz w:val="20"/>
                <w:szCs w:val="20"/>
              </w:rPr>
              <w:t xml:space="preserve">Resultado</w:t>
            </w:r>
          </w:p>
        </w:tc>
      </w:tr>
      <w:tr>
        <w:tc>
          <w:tcPr>
            <w:tcW w:type="dxa" w:w="4500"/>
            <w:shd w:fill="FFFFFF" w:val="clear"/>
          </w:tcPr>
          <w:p>
            <w:r>
              <w:rPr>
                <w:sz w:val="20"/>
                <w:szCs w:val="20"/>
              </w:rPr>
              <w:t xml:space="preserve">Payload con síntomas normales (dolor leve, sin fiebre, herida limpia)</w:t>
            </w:r>
          </w:p>
        </w:tc>
        <w:tc>
          <w:tcPr>
            <w:tcW w:type="dxa" w:w="4500"/>
            <w:shd w:fill="FFFFFF" w:val="clear"/>
          </w:tcPr>
          <w:p>
            <w:r>
              <w:rPr>
                <w:sz w:val="20"/>
                <w:szCs w:val="20"/>
              </w:rPr>
              <w:t xml:space="preserve">Clasificado verde, razón: "sin señales de alarma ni síntomas fuera de lo esperado"</w:t>
            </w:r>
          </w:p>
        </w:tc>
      </w:tr>
      <w:tr>
        <w:tc>
          <w:tcPr>
            <w:tcW w:type="dxa" w:w="4500"/>
            <w:shd w:fill="F8FAFC" w:val="clear"/>
          </w:tcPr>
          <w:p>
            <w:r>
              <w:rPr>
                <w:sz w:val="20"/>
                <w:szCs w:val="20"/>
              </w:rPr>
              <w:t xml:space="preserve">Payload con síntomas de alarma (sangrado abundante, dificultad respiratoria, opresión en el pecho)</w:t>
            </w:r>
          </w:p>
        </w:tc>
        <w:tc>
          <w:tcPr>
            <w:tcW w:type="dxa" w:w="4500"/>
            <w:shd w:fill="F8FAFC" w:val="clear"/>
          </w:tcPr>
          <w:p>
            <w:r>
              <w:rPr>
                <w:sz w:val="20"/>
                <w:szCs w:val="20"/>
              </w:rPr>
              <w:t xml:space="preserve">Clasificado rojo, razón: "sangrado abundante reportado" (primer patrón que hizo match)</w:t>
            </w:r>
          </w:p>
        </w:tc>
      </w:tr>
      <w:tr>
        <w:tc>
          <w:tcPr>
            <w:tcW w:type="dxa" w:w="4500"/>
            <w:shd w:fill="FFFFFF" w:val="clear"/>
          </w:tcPr>
          <w:p>
            <w:r>
              <w:rPr>
                <w:sz w:val="20"/>
                <w:szCs w:val="20"/>
              </w:rPr>
              <w:t xml:space="preserve">Payload con firma HMAC inválida</w:t>
            </w:r>
          </w:p>
        </w:tc>
        <w:tc>
          <w:tcPr>
            <w:tcW w:type="dxa" w:w="4500"/>
            <w:shd w:fill="FFFFFF" w:val="clear"/>
          </w:tcPr>
          <w:p>
            <w:r>
              <w:rPr>
                <w:sz w:val="20"/>
                <w:szCs w:val="20"/>
              </w:rPr>
              <w:t xml:space="preserve">Rechazado con HTTP 401 antes de procesar nada</w:t>
            </w:r>
          </w:p>
        </w:tc>
      </w:tr>
      <w:tr>
        <w:tc>
          <w:tcPr>
            <w:tcW w:type="dxa" w:w="4500"/>
            <w:shd w:fill="F8FAFC" w:val="clear"/>
          </w:tcPr>
          <w:p>
            <w:r>
              <w:rPr>
                <w:sz w:val="20"/>
                <w:szCs w:val="20"/>
              </w:rPr>
              <w:t xml:space="preserve">GET /llamadas</w:t>
            </w:r>
          </w:p>
        </w:tc>
        <w:tc>
          <w:tcPr>
            <w:tcW w:type="dxa" w:w="4500"/>
            <w:shd w:fill="F8FAFC" w:val="clear"/>
          </w:tcPr>
          <w:p>
            <w:r>
              <w:rPr>
                <w:sz w:val="20"/>
                <w:szCs w:val="20"/>
              </w:rPr>
              <w:t xml:space="preserve">Devuelve ambos registros, más reciente primero, con resumen LLM completo</w:t>
            </w:r>
          </w:p>
        </w:tc>
      </w:tr>
      <w:tr>
        <w:tc>
          <w:tcPr>
            <w:tcW w:type="dxa" w:w="4500"/>
            <w:shd w:fill="FFFFFF" w:val="clear"/>
          </w:tcPr>
          <w:p>
            <w:r>
              <w:rPr>
                <w:sz w:val="20"/>
                <w:szCs w:val="20"/>
              </w:rPr>
              <w:t xml:space="preserve">Historial en consola Streamlit</w:t>
            </w:r>
          </w:p>
        </w:tc>
        <w:tc>
          <w:tcPr>
            <w:tcW w:type="dxa" w:w="4500"/>
            <w:shd w:fill="FFFFFF" w:val="clear"/>
          </w:tcPr>
          <w:p>
            <w:r>
              <w:rPr>
                <w:sz w:val="20"/>
                <w:szCs w:val="20"/>
              </w:rPr>
              <w:t xml:space="preserve">Ambas llamadas visibles con emoji de color, expandibles, con resumen narrativo y síntomas por categoría</w:t>
            </w:r>
          </w:p>
        </w:tc>
      </w:tr>
    </w:tbl>
    <w:p>
      <w:pPr>
        <w:pStyle w:val="Heading2"/>
        <w:spacing w:after="150" w:before="300"/>
      </w:pPr>
      <w:r>
        <w:t xml:space="preserve">8.3 Interfaz de llamada (prueba real por UI, no solo consola)</w:t>
      </w:r>
    </w:p>
    <w:p>
      <w:pPr>
        <w:pStyle w:val="ListParagraph"/>
        <w:numPr>
          <w:ilvl w:val="0"/>
          <w:numId w:val="1"/>
        </w:numPr>
        <w:spacing w:after="80"/>
      </w:pPr>
      <w:r>
        <w:t xml:space="preserve">Clic en "Iniciar llamada" → permiso de micrófono concedido → estado "conectando".</w:t>
      </w:r>
    </w:p>
    <w:p>
      <w:pPr>
        <w:pStyle w:val="ListParagraph"/>
        <w:numPr>
          <w:ilvl w:val="0"/>
          <w:numId w:val="1"/>
        </w:numPr>
        <w:spacing w:after="80"/>
      </w:pPr>
      <w:r>
        <w:t xml:space="preserve">Conexión establecida (sesión real registrada por ElevenLabs).</w:t>
      </w:r>
    </w:p>
    <w:p>
      <w:pPr>
        <w:pStyle w:val="ListParagraph"/>
        <w:numPr>
          <w:ilvl w:val="0"/>
          <w:numId w:val="1"/>
        </w:numPr>
        <w:spacing w:after="80"/>
      </w:pPr>
      <w:r>
        <w:t xml:space="preserve">Estado visual "El asistente está hablando" confirmado (indicador + waveform activo).</w:t>
      </w:r>
    </w:p>
    <w:p>
      <w:pPr>
        <w:pStyle w:val="ListParagraph"/>
        <w:numPr>
          <w:ilvl w:val="0"/>
          <w:numId w:val="1"/>
        </w:numPr>
        <w:spacing w:after="80"/>
      </w:pPr>
      <w:r>
        <w:t xml:space="preserve">Clic en "Terminar llamada" → estado "Llamada finalizada", listo para reiniciar.</w:t>
      </w:r>
    </w:p>
    <w:p>
      <w:pPr>
        <w:pBdr>
          <w:top w:val="dashed" w:color="64748B" w:sz="6"/>
          <w:bottom w:val="dashed" w:color="64748B" w:sz="6"/>
          <w:left w:val="dashed" w:color="64748B" w:sz="6"/>
          <w:right w:val="dashed" w:color="64748B" w:sz="6"/>
        </w:pBdr>
        <w:spacing w:after="240" w:before="120"/>
        <w:jc w:val="center"/>
      </w:pPr>
      <w:r>
        <w:rPr>
          <w:i/>
          <w:iCs/>
          <w:color w:val="64748B"/>
        </w:rPr>
        <w:t xml:space="preserve">[ CAPTURA DE PANTALLA — Interfaz de llamada — estado en curso ]</w:t>
      </w:r>
    </w:p>
    <w:p>
      <w:pPr>
        <w:pBdr>
          <w:top w:val="dashed" w:color="64748B" w:sz="6"/>
          <w:bottom w:val="dashed" w:color="64748B" w:sz="6"/>
          <w:left w:val="dashed" w:color="64748B" w:sz="6"/>
          <w:right w:val="dashed" w:color="64748B" w:sz="6"/>
        </w:pBdr>
        <w:spacing w:after="240" w:before="120"/>
        <w:jc w:val="center"/>
      </w:pPr>
      <w:r>
        <w:rPr>
          <w:i/>
          <w:iCs/>
          <w:color w:val="64748B"/>
        </w:rPr>
        <w:t xml:space="preserve">[ CAPTURA DE PANTALLA — Consola — panel de historial de llamadas con clasificación ]</w:t>
      </w:r>
    </w:p>
    <w:p>
      <w:pPr>
        <w:pBdr>
          <w:top w:val="dashed" w:color="64748B" w:sz="6"/>
          <w:bottom w:val="dashed" w:color="64748B" w:sz="6"/>
          <w:left w:val="dashed" w:color="64748B" w:sz="6"/>
          <w:right w:val="dashed" w:color="64748B" w:sz="6"/>
        </w:pBdr>
        <w:spacing w:after="240" w:before="120"/>
        <w:jc w:val="center"/>
      </w:pPr>
      <w:r>
        <w:rPr>
          <w:i/>
          <w:iCs/>
          <w:color w:val="64748B"/>
        </w:rPr>
        <w:t xml:space="preserve">[ CAPTURA DE PANTALLA — Consola — panel de subida de documentos ]</w:t>
      </w:r>
    </w:p>
    <w:p>
      <w:pPr>
        <w:pStyle w:val="Heading1"/>
        <w:spacing w:after="200" w:before="400"/>
      </w:pPr>
      <w:r>
        <w:t xml:space="preserve">9. Despliegue</w:t>
      </w:r>
    </w:p>
    <w:p>
      <w:pPr>
        <w:pStyle w:val="Heading2"/>
        <w:spacing w:after="150" w:before="300"/>
      </w:pPr>
      <w:r>
        <w:t xml:space="preserve">9.1 Backend en Render</w:t>
      </w:r>
    </w:p>
    <w:p>
      <w:pPr>
        <w:spacing w:after="160"/>
      </w:pPr>
      <w:r>
        <w:t xml:space="preserve">El backend se despliega en el plan gratuito de Render, conectado directamente al repositorio de GitHub para despliegue continuo. Fue necesario fijar explícitamente la versión de Python mediante un archivo runtime.txt (python-3.11.9), dado que el entorno de build de Render usaba por defecto una versión más reciente sin wheels precompilados para una dependencia de ChromaDB, lo que causaba un intento fallido de compilación desde código fuente.</w:t>
      </w:r>
    </w:p>
    <w:p>
      <w:pPr>
        <w:pStyle w:val="Heading2"/>
        <w:spacing w:after="150" w:before="300"/>
      </w:pPr>
      <w:r>
        <w:t xml:space="preserve">9.2 Limitaciones conocidas del plan gratuito</w:t>
      </w:r>
    </w:p>
    <w:p>
      <w:pPr>
        <w:pStyle w:val="ListParagraph"/>
        <w:numPr>
          <w:ilvl w:val="0"/>
          <w:numId w:val="1"/>
        </w:numPr>
        <w:spacing w:after="80"/>
      </w:pPr>
      <w:r>
        <w:t xml:space="preserve">El sistema de archivos no es persistente entre reinicios: la base vectorial (ChromaDB) y el historial de llamadas (SQLite) se reinician con cada redeploy o reinicio del servicio. En producción, esto se resolvería con un disco persistente o una base de datos gestionada externa.</w:t>
      </w:r>
    </w:p>
    <w:p>
      <w:pPr>
        <w:pStyle w:val="ListParagraph"/>
        <w:numPr>
          <w:ilvl w:val="0"/>
          <w:numId w:val="1"/>
        </w:numPr>
        <w:spacing w:after="80"/>
      </w:pPr>
      <w:r>
        <w:t xml:space="preserve">El servicio entra en reposo tras un período de inactividad; la primera petición tras el reposo puede tardar entre 30 y 60 segundos en responder. Se mitiga con una petición de calentamiento antes de una demo.</w:t>
      </w:r>
    </w:p>
    <w:p>
      <w:pPr>
        <w:pStyle w:val="Heading2"/>
        <w:spacing w:after="150" w:before="300"/>
      </w:pPr>
      <w:r>
        <w:t xml:space="preserve">9.3 Configuración del agente en ElevenLabs</w:t>
      </w:r>
    </w:p>
    <w:p>
      <w:pPr>
        <w:spacing w:after="160"/>
      </w:pPr>
      <w:r>
        <w:t xml:space="preserve">El agente conversacional, su system prompt, la selección de voz, el Tool de consulta al RAG y el webhook de post-llamada se configuran directamente en el dashboard de ElevenLabs y no forman parte del código versionado. El README del repositorio documenta el procedimiento completo para recrear esta configuración desde cero.</w:t>
      </w:r>
    </w:p>
    <w:p>
      <w:pPr>
        <w:pStyle w:val="Heading1"/>
        <w:spacing w:after="200" w:before="400"/>
      </w:pPr>
      <w:r>
        <w:t xml:space="preserve">10. Limitaciones y trabajo futuro</w:t>
      </w:r>
    </w:p>
    <w:p>
      <w:pPr>
        <w:pStyle w:val="ListParagraph"/>
        <w:numPr>
          <w:ilvl w:val="0"/>
          <w:numId w:val="1"/>
        </w:numPr>
        <w:spacing w:after="80"/>
      </w:pPr>
      <w:r>
        <w:t xml:space="preserve">Variables dinámicas de personalización (nombre del paciente, procedimiento, fecha de cirugía) están soportadas en el diseño del system prompt, pero no se inyectan automáticamente desde el dataset del reto en esta entrega — quedan como mejora inmediata.</w:t>
      </w:r>
    </w:p>
    <w:p>
      <w:pPr>
        <w:pStyle w:val="ListParagraph"/>
        <w:numPr>
          <w:ilvl w:val="0"/>
          <w:numId w:val="1"/>
        </w:numPr>
        <w:spacing w:after="80"/>
      </w:pPr>
      <w:r>
        <w:t xml:space="preserve">La lógica de severidad se basa en patrones de texto explícitos; una versión futura podría incorporar un modelo de clasificación entrenado sobre los datos sintéticos del reto, manteniendo las reglas explícitas como una capa de seguridad adicional (nunca como reemplazo, dado el valor de auditabilidad que aportan).</w:t>
      </w:r>
    </w:p>
    <w:p>
      <w:pPr>
        <w:pStyle w:val="ListParagraph"/>
        <w:numPr>
          <w:ilvl w:val="0"/>
          <w:numId w:val="1"/>
        </w:numPr>
        <w:spacing w:after="80"/>
      </w:pPr>
      <w:r>
        <w:t xml:space="preserve">La persistencia en producción debería migrar a almacenamiento no efímero (disco persistente o base de datos gestionada) para eliminar la limitación descrita en la sección 9.2.</w:t>
      </w:r>
    </w:p>
    <w:p>
      <w:pPr>
        <w:pStyle w:val="ListParagraph"/>
        <w:numPr>
          <w:ilvl w:val="0"/>
          <w:numId w:val="1"/>
        </w:numPr>
        <w:spacing w:after="80"/>
      </w:pPr>
      <w:r>
        <w:t xml:space="preserve">Con más tiempo de desarrollo, se ampliaría la cobertura del corpus clínico cargado y se incorporarían pruebas automatizadas de regresión sobre la lógica de clasificación.</w:t>
      </w:r>
    </w:p>
    <w:p>
      <w:pPr>
        <w:pStyle w:val="Heading1"/>
        <w:spacing w:after="200" w:before="400"/>
      </w:pPr>
      <w:r>
        <w:t xml:space="preserve">11. Notas de preparación para las preguntas de cierre del video</w:t>
      </w:r>
    </w:p>
    <w:p>
      <w:pPr>
        <w:pStyle w:val="Heading2"/>
        <w:spacing w:after="150" w:before="300"/>
      </w:pPr>
      <w:r>
        <w:t xml:space="preserve">11.1 Pitch de negocio</w:t>
      </w:r>
    </w:p>
    <w:p>
      <w:pPr>
        <w:spacing w:after="160"/>
      </w:pPr>
      <w:r>
        <w:t xml:space="preserve">Problema: el seguimiento postoperatorio depende de personal humano, es costoso y no escala, mientras el paciente describe síntomas en lenguaje ambiguo y el conocimiento clínico cambia constantemente de versión.</w:t>
      </w:r>
    </w:p>
    <w:p>
      <w:pPr>
        <w:spacing w:after="160"/>
      </w:pPr>
      <w:r>
        <w:t xml:space="preserve">Por qué esta solución es adecuada: automatiza el primer contacto de seguimiento sin perder rigor clínico — cada respuesta está fundamentada en documentos verificables y trazables, y el sistema es honesto explícitamente cuando no tiene evidencia suficiente, en vez de inventar.</w:t>
      </w:r>
    </w:p>
    <w:p>
      <w:pPr>
        <w:spacing w:after="160"/>
      </w:pPr>
      <w:r>
        <w:t xml:space="preserve">Valor diferencial: la separación estricta entre la generación de lenguaje (LLM) y la decisión de severidad (reglas deterministas) hace que la alerta médica sea siempre auditable y explicable — una propiedad crítica en un contexto de salud, donde una alucinación en la clasificación tendría consecuencias reales.</w:t>
      </w:r>
    </w:p>
    <w:p>
      <w:pPr>
        <w:pStyle w:val="Heading2"/>
        <w:spacing w:after="150" w:before="300"/>
      </w:pPr>
      <w:r>
        <w:t xml:space="preserve">11.2 Pitch técnico</w:t>
      </w:r>
    </w:p>
    <w:p>
      <w:pPr>
        <w:spacing w:after="160"/>
      </w:pPr>
      <w:r>
        <w:t xml:space="preserve">Decisión técnica más relevante: separar la clasificación de severidad (reglas por patrón, deterministas) de la generación del resumen narrativo (LLM). Esto elimina el riesgo de que una alucinación del modelo altere una decisión clínica sensible, a costa de una cobertura de casos más limitada que un clasificador aprendido.</w:t>
      </w:r>
    </w:p>
    <w:p>
      <w:pPr>
        <w:spacing w:after="160"/>
      </w:pPr>
      <w:r>
        <w:t xml:space="preserve">Riesgos identificados: dependencia de terceros (NVIDIA NIM, ElevenLabs) para componentes críticos del pipeline; persistencia efímera en el plan gratuito de despliegue; cobertura de patrones de alarma basada en un conjunto inicial de expresiones, no exhaustiva frente a la variedad real del lenguaje coloquial colombiano.</w:t>
      </w:r>
    </w:p>
    <w:p>
      <w:pPr>
        <w:spacing w:after="160"/>
      </w:pPr>
      <w:r>
        <w:t xml:space="preserve">Alternativas descartadas: embeddings con Google Gemini (bloqueado por facturación) y con BAAI/BGE-M3 en NVIDIA NIM (inestabilidad del endpoint durante el desarrollo); uso de un LLM para la clasificación de severidad (descartado por razones de auditabilidad, no de capacidad).</w:t>
      </w:r>
    </w:p>
    <w:p>
      <w:pPr>
        <w:spacing w:after="160"/>
      </w:pPr>
      <w:r>
        <w:t xml:space="preserve">Con dos semanas más: entrenar o afinar un clasificador de severidad sobre el dataset sintético del reto como capa complementaria a las reglas; inyectar variables dinámicas de personalización por paciente; migrar a persistencia no efímera; ampliar y depurar el corpus clínico cargado; añadir pruebas automatizadas end-to-end.</w:t>
      </w:r>
    </w:p>
    <w:p>
      <w:pPr>
        <w:pStyle w:val="Heading1"/>
        <w:spacing w:after="200" w:before="400"/>
      </w:pPr>
      <w:r>
        <w:t xml:space="preserve">Anexo A — Prompts utilizados durante el desarrollo</w:t>
      </w:r>
    </w:p>
    <w:p>
      <w:pPr>
        <w:spacing w:after="160"/>
      </w:pPr>
      <w:r>
        <w:t xml:space="preserve">Los prompts completos usados en cada bloque de desarrollo con Claude Code (scaffold, backend RAG, migración de proveedor de embeddings, consola, interfaz de llamada, webhook de post-llamada, rediseño de consola, README y diagramas) fueron documentados de forma incremental durante el proceso de construcción. Se adjuntan como evidencia complementaria a este informe.</w:t>
      </w:r>
    </w:p>
    <w:p>
      <w:pPr>
        <w:pStyle w:val="Heading1"/>
        <w:spacing w:after="200" w:before="400"/>
      </w:pPr>
      <w:r>
        <w:t xml:space="preserve">Anexo B — Enlaces</w:t>
      </w:r>
    </w:p>
    <w:p>
      <w:pPr>
        <w:pStyle w:val="ListParagraph"/>
        <w:numPr>
          <w:ilvl w:val="0"/>
          <w:numId w:val="1"/>
        </w:numPr>
        <w:spacing w:after="80"/>
      </w:pPr>
      <w:r>
        <w:t xml:space="preserve">Repositorio: https://github.com/emanuelvahos/tech-sphere-challenge-2</w:t>
      </w:r>
    </w:p>
    <w:p>
      <w:pPr>
        <w:pStyle w:val="ListParagraph"/>
        <w:numPr>
          <w:ilvl w:val="0"/>
          <w:numId w:val="1"/>
        </w:numPr>
        <w:spacing w:after="80"/>
      </w:pPr>
      <w:r>
        <w:t xml:space="preserve">Backend desplegado: https://tech-sphere-postop-backend.onrender.com</w:t>
      </w:r>
    </w:p>
    <w:p>
      <w:pPr>
        <w:pStyle w:val="ListParagraph"/>
        <w:numPr>
          <w:ilvl w:val="0"/>
          <w:numId w:val="1"/>
        </w:numPr>
        <w:spacing w:after="80"/>
      </w:pPr>
      <w:r>
        <w:t xml:space="preserve">Diagrama de arquitectura: docs/diagrama-arquitectura.md</w:t>
      </w:r>
    </w:p>
    <w:p>
      <w:pPr>
        <w:pStyle w:val="ListParagraph"/>
        <w:numPr>
          <w:ilvl w:val="0"/>
          <w:numId w:val="1"/>
        </w:numPr>
        <w:spacing w:after="80"/>
      </w:pPr>
      <w:r>
        <w:t xml:space="preserve">Diagrama de flujo de decisión: docs/diagrama-flujo-decision.md</w:t>
      </w:r>
    </w:p>
    <w:p>
      <w:pPr>
        <w:pStyle w:val="ListParagraph"/>
        <w:numPr>
          <w:ilvl w:val="0"/>
          <w:numId w:val="1"/>
        </w:numPr>
        <w:spacing w:after="80"/>
      </w:pPr>
      <w:r>
        <w:t xml:space="preserve">Video demo: [pendiente de enlace]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2026-08-13T01:45:29.930Z</dcterms:created>
  <dcterms:modified xsi:type="dcterms:W3CDTF">2026-08-13T01:45:29.997Z</dcterms:modified>
</cp:coreProperties>
</file>

<file path=docProps/custom.xml><?xml version="1.0" encoding="utf-8"?>
<Properties xmlns="http://schemas.openxmlformats.org/officeDocument/2006/custom-properties" xmlns:vt="http://schemas.openxmlformats.org/officeDocument/2006/docPropsVTypes"/>
</file>