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jc w:val="center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MAPA – Material de Avaliação Prática da Aprendizagem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75"/>
        <w:gridCol w:w="105"/>
        <w:gridCol w:w="2850"/>
        <w:tblGridChange w:id="0">
          <w:tblGrid>
            <w:gridCol w:w="6075"/>
            <w:gridCol w:w="105"/>
            <w:gridCol w:w="28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ind w:left="100" w:right="100" w:firstLine="0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Disciplina: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da atividade: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ind w:right="1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Prazo: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ind w:right="10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jc w:val="center"/>
      <w:rPr/>
    </w:pPr>
    <w:r w:rsidDel="00000000" w:rsidR="00000000" w:rsidRPr="00000000">
      <w:rPr/>
      <w:drawing>
        <wp:inline distB="0" distT="0" distL="0" distR="0">
          <wp:extent cx="5733415" cy="58702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