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1-СКС-АБК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15</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и герметизация гильз</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16/1/26-СКС-Р,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гладкая жёсткая ПВХ d20 мм, серая, арт. trg-20-2m (защитные гильзы) — сертификат соответствия № ЕАЭС RU C-RU.ПБ68.В.00888/22 от 15.03.2022 (реестр, поз. 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Пена монтажная огнестойкая профессиональная «ОГНЕЗА», EI24, 935 г, арт. 105248 — сертификат соответствия № ССБК BY.ПБ10.Н00558 от 23.08.2024 (реестр, поз.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Герметик акриловый противопожарный «ОГНЕЗА-ВГ», 310 мл, арт. 105031 — сертификат соответствия № НСОПБ.RU.ЭО.ПР.254.Н.00072 от 14.04.2025 (реестр, поз. 3).</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16/1/26-ИД-АБК, лист 5.</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19</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15</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ПУЭ (7-е изд.), п. 2.1.58; СП 76.13330.2016, п. 6.3.1.13;</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16/1/26-СКС-Р,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Отделочные работы в местах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Проходки по ИД, лист 5, в осях 1–2/А–Б: в перекрытии (отм. +3,000) — 25 шт. Толщина конструкций 150 мм. Герметизация внутри гильз выполнена после прокладки кабельных линий (акт № 3-СКС-АБК).</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СКС,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16/1/26-ИД-АБК, лист 5.</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