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3-СКС-АБК</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11</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Прокладка кабельных линий</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16/1/26-СКС-Р,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 4. Разработчик — ООО «АльтЭн», ОГРН 1024000944098, ИНН 4025062969.</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 витая пара F/UTP Cat 6 4×2×23AWG solid LSZH нг(А)-HF, Cabeus — сертификат соответствия № ЕАЭС RU C-RU.АЖ38.В.00445/22 от 21.03.2022 (реестр, поз. 12); сертификат соответствия № РОСС CN.НВ61.Н29435 от 14.10.2021 (реестр, поз. 13); паспорт изготовителя (реестр, поз. 14);</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 витая пара ParLan U/UTP Cat 5e 4×2×0,52 PVC — сертификат соответствия № ЕАЭС RU C-RU.АЮ64.В.00680/25 от 17.01.2025 (реестр, поз. 15); сертификат соответствия № RU C-RU.АЮ64.В.00546/24 от 17.12.2024 (реестр, поз. 16);</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Труба гофрированная ПВХ серая с/з d20 мм «Строитель», арт. PR.032000 — сертификат соответствия № ЕАЭС RU C-RU.ПБ74.В.00766/23 от 30.08.2023 (реестр, поз. 17); паспорт изготовителя (реестр, поз. 18);</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Скоба металлическая однолапковая СМО 19-20, арт. PR08.2534 — паспорт изготовителя (реестр, поз. 19).</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16/1/26-ИД-АБК, лист 5;</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кабельный журнал 16/1/26-ИД-АБК.КЖ (раздел СКС).</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07</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11</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СП 76.13330.2016, п. 6.3.1; ПУЭ (7-е изд.), гл. 2.1;</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16/1/26-СКС-Р, лист 4.</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Герметизация кабельных проходок; монтаж и подключение оборудования СКС.</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СКС, здание АБК)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16/1/26-ИД-АБК, лист 5.</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3.</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Кабельный журнал 16/1/26-ИД-АБК.КЖ (раздел СКС).</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