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2-СКУД-АБК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04</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Прокладка кабельных линий</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16/1/26-СКУД-Р,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витая пара ParLan U/UTP Cat 5e 4×2×0,52 PVC — сертификат соответствия № ЕАЭС RU C-RU.АЮ64.В.00680/25 от 17.01.2025 (реестр, поз. 4); сертификат соответствия № RU C-RU.АЮ64.В.00546/24 от 17.12.2024 (реестр, поз. 5);</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КПСнг(А)-FRHF 1×2×0,5 — сертификат соответствия № ЕАЭС RU C-RU.АЮ64.В.00884/26 от 15.07.2026 (реестр, поз. 6); паспорт качества № 81 от 08.2026 (реестр, поз. 7);</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КПСнг(А)-FRHF 1×2×1 — сертификат соответствия № ЕАЭС RU C-RU.АЮ64.В.00884/26 от 15.07.2026 (реестр, поз. 8);</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гофрированная ПВХ серая с/з d20 мм «Строитель», арт. PR.032000 — сертификат соответствия № ЕАЭС RU C-RU.ПБ74.В.00766/23 от 30.08.2023 (реестр, поз. 9); паспорт изготовителя (реестр, поз. 10);</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Скоба металлическая однолапковая СМО 19-20, арт. PR08.2534 — паспорт изготовителя (реестр, поз. 11).</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16/1/26-ИД-АБК, лист 4;</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кабельный журнал 16/1/26-ИД-АБК.КЖ (раздел СКУД).</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01</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04</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 6.3.1; ПУЭ (7-е изд.), гл. 2.1;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16/1/26-СКУД-Р,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Герметизация кабельных проходок; монтаж и подключение оборудования СКУД.</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СКУД,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16/1/26-ИД-АБК, лист 4.</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3.</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Кабельный журнал 16/1/26-ИД-АБК.КЖ (раздел СКУД).</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