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2-СОТ-АБК</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08</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Прокладка кабельных линий</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16/1/26-СОТ-Р,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4.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витая пара ParLan U/UTP Cat 5e 4×2×0,52 PVC — сертификат соответствия № ЕАЭС RU C-RU.АЮ64.В.00680/25 от 17.01.2025 (реестр, поз. 4); сертификат соответствия № RU C-RU.АЮ64.В.00546/24 от 17.12.2024 (реестр, поз. 5);</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гофрированная ПВХ серая с/з d20 мм «Строитель», арт. PR.032000 — сертификат соответствия № ЕАЭС RU C-RU.ПБ74.В.00766/23 от 30.08.2023 (реестр, поз. 6); паспорт изготовителя (реестр, поз. 7);</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Скоба металлическая однолапковая СМО 19-20, арт. PR08.2534 — паспорт изготовителя (реестр, поз. 8);</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Коробка ответвительная с 6 кабельными вводами d25 мм, IP55, 100×100×50 мм, арт. 53801 — информационное письмо исх. № 836 от 01.03.2021 (реестр, поз. 9).</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16/1/26-ИД-АБК, лист 6;</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кабельный журнал 16/1/26-ИД-АБК.КЖ (раздел СОТ).</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02</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08</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76.13330.2016, п. 6.3.1; ПУЭ (7-е изд.), гл. 2.1;</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16/1/26-СОТ-Р, лист 4.</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Герметизация кабельных проходок; монтаж и подключение оборудования СОТ.</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СОТ, здание АБК)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16/1/26-ИД-АБК, лист 6.</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3.</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Кабельный журнал 16/1/26-ИД-АБК.КЖ (раздел СОТ).</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