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3-СПС-АБК</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09</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Прокладка кабельных линий</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16/1/26-АПС,СОУЭ-Р,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листы 5, 6.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КПСнг(А)-FRHF 1×2×0,5 — сертификат соответствия № ЕАЭС RU C-RU.АЮ64.В.00884/26 от 15.07.2026 (реестр, поз. 6); паспорт качества № 81 от 08.2026 (реестр, поз. 7);</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КПСнг(А)-FRHF 1×2×1 — сертификат соответствия № ЕАЭС RU C-RU.АЮ64.В.00884/26 от 15.07.2026 (реестр, поз. 8);</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витая пара ParLan U/UTP Cat 5e 4×2×0,52 PVC — сертификат соответствия № ЕАЭС RU C-RU.АЮ64.В.00680/25 от 17.01.2025 (реестр, поз. 9); сертификат соответствия № RU C-RU.АЮ64.В.00546/24 от 17.12.2024 (реестр, поз. 10);</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Труба гофрированная ПВХ серая с/з d20 мм «Строитель», арт. PR.032000 — сертификат соответствия № ЕАЭС RU C-RU.ПБ74.В.00766/23 от 30.08.2023 (реестр, поз. 11); паспорт изготовителя (реестр, поз. 12);</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Скоба металлическая однолапковая СМО 19-20, арт. PR08.2534 — паспорт изготовителя (реестр, поз. 13).</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16/1/26-ИД-АБК, листы 2–3;</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кабельный журнал 16/1/26-ИД-АБК.КЖ (раздел СПС).</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31</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августа</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09</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СП 6.13130.2025, пп. 6.2, 6.4, 6.5;</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ГОСТ Р 59638-2021, пп. 5.4.8, 5.4.10, 5.4.11;</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СП 76.13330.2016, п. 6.3.1;</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16/1/26-АПС,СОУЭ-Р, листы 5, 6.</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Герметизация кабельных проходок; монтаж и подключение оборудования СПС.</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СПС, здание АБК)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16/1/26-ИД-АБК, листы 2–3.</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3.</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Кабельный журнал 16/1/26-ИД-АБК.КЖ (раздел СПС).</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