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3-СКС-КПП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 СКС</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16/1/26-СКС-Р,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F/UTP Cat 6 4×2×23AWG solid LSZH нг, Cabeus — 45 м (документ о качестве — реестр, поз. 7);</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витая пара ParLan U/UTP Cat 5e 4×2×0,52 PVC, «Паритет» — 36 м (документ о качестве — реестр, поз. 8);</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гофрированная ПВХ серая с/з d20 мм «Строитель», арт. PR.032000, «Промрукав» (ООО «НЕПТУН») — 40 м (сертификат соответствия — реестр, поз. 9);</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Скоба металлическая однолапковая СМО 19-20, арт. PR08.2534, «Промрукав» — 40 шт. (паспорт — реестр, поз. 10).</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СКС,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4;</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кабельный журнал 16/1/26-ИД-КПП.КЖ (раздел СКС).</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15</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16</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76.13330.2016; ГОСТ Р 53246-2008;</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16/1/26-СКС-Р,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Герметизация кабельной проходки (акт № 1-СКС-КПП); монтаж и подключение оборудования СКС.</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СКС,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4.</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3.</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Кабельный журнал 16/1/26-ИД-КПП.КЖ (раздел СКС).</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