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1-СКС-КПП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19</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 сертификат соответствия № ССБК BY.ПБ10.Н00558 от 23.08.2024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16/1/26-СКС-ИД-КПП, лист 2.</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09</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19</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16/1/26-СКС-Р,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16/1/26-СКС-ИД-КПП, лист 2, в осях 2–3/А–Б: в стене (отм. +1,500) — 1 шт. Толщина конструкций 150 мм. Герметизация внутри гильз выполнена после прокладки кабельных линий (акт № 3-СКС-КПП).</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СКС,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16/1/26-СКС-ИД-КПП, лист 2.</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