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2-СКУД-КПП</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16</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Прокладка кабельных линий</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16/1/26-СКУД-Р,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КПСнг(А)-FRHF 1×2×0,75 — сертификат соответствия № ЕАЭС RU C-RU.АЮ64.В.00884/26 от 15.07.2026 (реестр, поз. 4);</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витая пара ParLan U/UTP Cat 5e 4×2×0,52 PVC — сертификат соответствия № ЕАЭС RU C-RU.АЮ64.В.00680/25 от 17.01.2025 (реестр, поз. 5); сертификат соответствия № RU C-RU.АЮ64.В.00546/24 от 17.12.2024 (реестр, поз. 6);</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Провод ПВС 3×2,5 — сертификат соответствия № ЕАЭС RU C-RU.АЯ04.В.00727/23 от 18.04.2023 (реестр, поз. 7);</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Провод ПВС 3×1,5 — сертификат соответствия № ЕАЭС RU C-RU.АЯ04.В.00727/23 от 18.04.2023 (реестр, поз. 8);</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ВВГнг(А)-FRLS 3×2,5 0,66 кВ — сертификат соответствия № ЕАЭС RU C-RU.АГ67.В.00131/21 от 24.12.2021 (реестр, поз. 9);</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гофрированная ПВХ серая с/з d20 мм «Строитель», арт. PR.032000 — сертификат соответствия № ЕАЭС RU C-RU.ПБ74.В.00766/23 от 30.08.2023 (реестр, поз. 10); паспорт изготовителя (реестр, поз. 11);</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Скоба металлическая однолапковая СМО 19-20, арт. PR08.2534 — паспорт изготовителя (реестр, поз. 12).</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16/1/26-СКУД-ИД-КПП, лист 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кабельный журнал 16/1/26-СКУД-ИД-КПП.КЖ.</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12</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16</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76.13330.2016, п. 6.3.1; ПУЭ (7-е изд.), гл. 2.1;</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16/1/26-СКУД-Р,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Герметизация кабельных проходок; монтаж и подключение оборудования СКУД.</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СКУД, здание КПП)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16/1/26-СКУД-ИД-КПП, лист 2.</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3.</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Кабельный журнал 16/1/26-СКУД-ИД-КПП.КЖ.</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