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1-СОТ-КПП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16/1/26-СОТ-ИД-КПП,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16/1/26-СОТ-ИД-КПП, лист 2, в осях 2–3/А–Б: в перекрытии (отм. +3,000) — 5 шт.; в стенах (отм. +2,500) — 4 шт. Толщина конструкций 150 мм. Герметизация внутри гильз выполнена после прокладки кабельных линий (акт № 2-СОТ-КПП).</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16/1/26-СОТ-ИД-КПП,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