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2-СКУД-АБК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04</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16/1/26-СКУД-Р,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ParLan U/UTP Cat 5e 4×2×0,52 PVC — сертификат соответствия № ЕАЭС RU C-RU.АЮ64.В.00680/25 от 17.01.2025 (реестр, поз. 4); сертификат соответствия № RU C-RU.АЮ64.В.00546/24 от 17.12.2024 (реестр, поз. 5);</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КПСнг(А)-FRHF 1×2×0,5 — сертификат соответствия № ЕАЭС RU C-RU.АЮ64.В.00884/26 от 15.07.2026 (реестр, поз. 6); паспорт качества № 81 от 08.2026 (реестр, поз. 7);</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КПСнг(А)-FRHF 1×2×1 — сертификат соответствия № ЕАЭС RU C-RU.АЮ64.В.00884/26 от 15.07.2026 (реестр, поз. 8);</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гофрированная ПВХ серая с/з d20 мм «Строитель», арт. PR.032000 — сертификат соответствия № ЕАЭС RU C-RU.ПБ74.В.00766/23 от 30.08.2023 (реестр, поз. 9); паспорт изготовителя (реестр, поз. 10);</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Скоба металлическая однолапковая СМО 19-20, арт. PR08.2534 — паспорт изготовителя (реестр, поз. 11).</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16/1/26-СКУД-ИД-АБК, лист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16/1/26-СКУД-ИД-АБК.КЖ.</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01</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04</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6.3.1; ПУЭ (7-е изд.), гл. 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16/1/26-СКУД-Р,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Герметизация кабельных проходок; монтаж и подключение оборудования СКУД.</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СКУД,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16/1/26-СКУД-ИД-АБК, лист 2.</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16/1/26-СКУД-ИД-АБК.КЖ.</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