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1-СОТС-АБК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5.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2).</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16/1/26-СОТС-ИД-АБК, лист 2.</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16/1/26-СОТС-Р, лист 5.</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16/1/26-СОТС-ИД-АБК, лист 2, в осях 1–2/А–Б: в перекрытии (отм. +3,000) — 50 шт. Толщина конструкций 150 мм. Герметизация внутри гильз выполнена после прокладки кабельных линий (акт № 3-СОТС-АБК).</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16/1/26-СОТС-ИД-АБК, лист 2.</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