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3-СПС-АБК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09</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16/1/26-АПС,СОУЭ-Р,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листы 5, 6.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КПСнг(А)-FRHF 1×2×0,5 — сертификат соответствия № ЕАЭС RU C-RU.АЮ64.В.00884/26 от 15.07.2026 (реестр, поз. 6); паспорт качества № 81 от 08.2026 (реестр, поз. 7);</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КПСнг(А)-FRHF 1×2×1 — сертификат соответствия № ЕАЭС RU C-RU.АЮ64.В.00884/26 от 15.07.2026 (реестр, поз. 8);</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витая пара ParLan U/UTP Cat 5e 4×2×0,52 PVC — сертификат соответствия № ЕАЭС RU C-RU.АЮ64.В.00680/25 от 17.01.2025 (реестр, поз. 9); сертификат соответствия № RU C-RU.АЮ64.В.00546/24 от 17.12.2024 (реестр, поз. 10);</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гофрированная ПВХ серая с/з d20 мм «Строитель», арт. PR.032000 — сертификат соответствия № ЕАЭС RU C-RU.ПБ74.В.00766/23 от 30.08.2023 (реестр, поз. 11); паспорт изготовителя (реестр, поз. 12);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Скоба металлическая однолапковая СМО 19-20, арт. PR08.2534 — паспорт изготовителя (реестр, поз. 13).</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16/1/26-АПС,СОУЭ-ИД-АБК, листы 2–3;</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кабельный журнал 16/1/26-АПС,СОУЭ-ИД-АБК.КЖ.</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31</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09</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6.13130.2025, пп. 6.2, 6.4, 6.5;</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ГОСТ Р 59638-2021, пп. 5.4.8, 5.4.10, 5.4.11;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СП 76.13330.2016, п. 6.3.1;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16/1/26-АПС,СОУЭ-Р, листы 5, 6.</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Герметизация кабельных проходок; монтаж и подключение оборудования СПС.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СПС,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16/1/26-АПС,СОУЭ-ИД-АБК, листы 2–3.</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Кабельный журнал 16/1/26-АПС,СОУЭ-ИД-АБК.КЖ.</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