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об окончании монтажных работ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контроля и управления доступом (СКУД), здание КПП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СКУД-КПП-М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«24» октября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рассмотрела предъявленные результаты монтажных работ и исполнительную документацию и 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ООО «АльтЭн» окончены монтажные работы системы контроля и управления доступом (СКУД) здания КПП в объёме рабочей документации 16/1/26-СКУД-Р, лист 4, с учётом фактического исполнения, отражённого в исполнительной документации 16/1/26-СКУД-ИД-КПП, лист 2.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Скрытые работы освидетельствованы актами № 1-СКУД-КПП, 2-СКУД-КПП. Оборудование смонтировано по акту о смонтированном оборудовании № СКУД-КПП-О (с ведомостью). Кабельные линии проложены по кабельному журналу 16/1/26-СКУД-ИД-КПП.КЖ.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Материалы и оборудование прошли входной контроль (журнал входного контроля, том СКУД, здание КПП); документы о качестве — по реестру документов о качестве (том СКУД, здание КПП).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Работы выполнены в соответствии с требованиями: СП 76.13330.2016 «Электротехнические устройства».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5. </w:t>
      </w:r>
      <w:r>
        <w:rPr>
          <w:rFonts w:ascii="Times New Roman" w:hAnsi="Times New Roman" w:eastAsia="Times New Roman"/>
          <w:b w:val="0"/>
          <w:i/>
          <w:sz w:val="20"/>
        </w:rPr>
        <w:t>Недоделок и дефектов, препятствующих проведению пусконаладочных работ, не выявлено.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Предъявлена исполнительная документация: </w:t>
      </w:r>
      <w:r>
        <w:rPr>
          <w:rFonts w:ascii="Times New Roman" w:hAnsi="Times New Roman" w:eastAsia="Times New Roman"/>
          <w:b w:val="0"/>
          <w:i/>
          <w:sz w:val="20"/>
        </w:rPr>
        <w:t>исполнительная схема 16/1/26-СКУД-ИД-КПП, лист 2; кабельный журнал 16/1/26-СКУД-ИД-КПП.КЖ; спецификация 16/1/26-СКУД-ИД-КПП.СО; АОСР № 1-СКУД-КПП, 2-СКУД-КПП с реестром документов о качестве; журнал входного контроля; акт о смонтированном оборудовании № СКУД-КПП-О.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монтажные работы системы контроля и управления доступом (СКУД) здания КПП окончены; система готова к проведению пусконаладочных работ (индивидуальных испытаний).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 и пусконаладочные работы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</w:tbl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