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ТО-СКУД-КПП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КПП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28.10.2026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контроля и управления доступом (СКУД), здание 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16/1/26-СКУД-Р, лист 4. Исполнительная документация: 16/1/26-СКУД-ИД-КПП, лист 2; кабельный журнал 16/1/26-СКУД-ИД-КПП.КЖ; спецификация 16/1/26-СКУД-ИД-КПП.СО.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24.10.2026 — 28.10.2026.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СКУД-КПП-О: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Считыватель proximity-карт EM-Marin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Proxy-4E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электромеханический накладной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Полис-12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EMH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электромагнитный 300 кг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AL-300 12V Premium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EMG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магнитоконтактный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ИО 102-20/Б2П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BGB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выхода сенсорная накладная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ST-EX020LSM-BK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выхода металлическая накладная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ST-EX241L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без фиксации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AV45B51 в корпусе CAME 001YE0043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аварийного открытия (разблокировки) двери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ST-ER115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EDU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доступа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Резервированный источник питания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РИП-12 исп.17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UG6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РИП-12, UG6)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Монитор видеодомофона цветной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DS-D100MF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Видеодомофонная вызывная панель цветная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DS-D100P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Рабочее место: мини-ПК CHUWI AuBox X, мониторы Acer SB322QAbi 31,5" (2 шт.) с креплениями DEXP MB32-W01, клавиатура и мышь Defender C-511, преобразователь USB-RS485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АРК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Привод электромеханический для распашных ворот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 A5000A (комплект ATI5000A)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управления электромеханическим приводом ворот (комплектный)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 ZF1N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БУ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Пост остановки колесного автотранспорта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Дорожный блокиратор механический 3,5 м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PK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управления противотаранным устройством (комплектный)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БУпту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Пульт управления ПТУ (комплектный)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49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СКУД-КПП-О, № СКУД-КПП-М).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ПИ-СКУД-КПП от 24.10.2026,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25.10.2026 по 28.10.2026 (акт № СКУД-КПП-И, приложение 2). Проверены: считывание идентификаторов считывателями и управление замками контроллерами доступа; работа кнопок выхода и устройств аварийной разблокировки дверей; работа видеодомофона (монитор и вызывные панели); управление приводами ворот; работа противотаранного устройства (пост остановки колёсного автотранспорта) от пульта управления; передача событий на рабочее место оператора; работа от основного и резервного источников питания, автоматический переход на резерв и обратно.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ПИ-СКУД-КПП).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49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контроля и управления доступом (СКУД) здания КПП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ПИ-СКУД-КПП измерения сопротивления изоляции кабельных линий от 24.10.2026.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СКУД-КПП-И от 28.10.2026.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