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ООО «АльтЭн», ОГРН 1024000944098, ИНН 4025062969</w:t>
      </w:r>
    </w:p>
    <w:p>
      <w:pPr>
        <w:spacing w:after="80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249035, Калужская обл., г. Обнинск, пр-т Маркса, д. 14, пом. 18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ТЕХНИЧЕСКИЙ ОТЧЁТ</w:t>
      </w:r>
    </w:p>
    <w:p>
      <w:pPr>
        <w:spacing w:after="12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о пусконаладочных работах № ТО-СПС-КПП</w:t>
      </w:r>
    </w:p>
    <w:p>
      <w:pPr>
        <w:spacing w:after="8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система пожарной сигнализации и система оповещения и управления эвакуацией (АПС, СОУЭ), здание КПП</w:t>
      </w:r>
    </w:p>
    <w:p>
      <w:pPr>
        <w:spacing w:after="60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Объект: «Центр временного содержания иностранных граждан», Калужская область, м. р-н Боровский, д. Старомихайловское, ул. 1-я Индустриальная, вл. 2, земельный участок с кадастровым номером 40:03:068314:1874</w:t>
      </w:r>
    </w:p>
    <w:p>
      <w:pPr>
        <w:spacing w:after="800" w:before="0"/>
        <w:jc w:val="center"/>
      </w:pPr>
      <w:r>
        <w:rPr>
          <w:rFonts w:ascii="Times New Roman" w:hAnsi="Times New Roman" w:eastAsia="Times New Roman"/>
          <w:b w:val="0"/>
          <w:i w:val="0"/>
          <w:sz w:val="22"/>
        </w:rPr>
        <w:t>Дата: 28.10.2026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6520"/>
        <w:gridCol w:w="3402"/>
      </w:tblGrid>
      <w:tr>
        <w:tc>
          <w:tcPr>
            <w:tcW w:type="dxa" w:w="6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Составил: начальник отдела систем технической безопасности ООО «АльтЭн»</w:t>
            </w:r>
          </w:p>
        </w:tc>
        <w:tc>
          <w:tcPr>
            <w:tcW w:type="dxa" w:w="3402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 / Иванчук М.В. /</w:t>
            </w:r>
          </w:p>
        </w:tc>
      </w:tr>
      <w:tr>
        <w:tc>
          <w:tcPr>
            <w:tcW w:type="dxa" w:w="6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Согласовано: представитель лица, осуществляющего строительство, руководитель проекта</w:t>
            </w:r>
          </w:p>
        </w:tc>
        <w:tc>
          <w:tcPr>
            <w:tcW w:type="dxa" w:w="3402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 / Белоногов И.Ю. /</w:t>
            </w:r>
          </w:p>
        </w:tc>
      </w:tr>
    </w:tbl>
    <w:p>
      <w:r>
        <w:br w:type="page"/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2"/>
        </w:rPr>
        <w:t>1. Общие сведения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1. </w:t>
      </w:r>
      <w:r>
        <w:rPr>
          <w:rFonts w:ascii="Times New Roman" w:hAnsi="Times New Roman" w:eastAsia="Times New Roman"/>
          <w:b w:val="0"/>
          <w:i/>
          <w:sz w:val="20"/>
        </w:rPr>
        <w:t>Система: система пожарной сигнализации и система оповещения и управления эвакуацией (АПС, СОУЭ), здание КПП.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2. </w:t>
      </w:r>
      <w:r>
        <w:rPr>
          <w:rFonts w:ascii="Times New Roman" w:hAnsi="Times New Roman" w:eastAsia="Times New Roman"/>
          <w:b w:val="0"/>
          <w:i/>
          <w:sz w:val="20"/>
        </w:rPr>
        <w:t>Рабочая документация: 16/1/26-АПС,СОУЭ-Р, лист 3. Исполнительная документация: 16/1/26-АПС,СОУЭ-ИД-КПП, лист 2; кабельный журнал 16/1/26-АПС,СОУЭ-ИД-КПП.КЖ; спецификация 16/1/26-АПС,СОУЭ-ИД-КПП.СО.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3. </w:t>
      </w:r>
      <w:r>
        <w:rPr>
          <w:rFonts w:ascii="Times New Roman" w:hAnsi="Times New Roman" w:eastAsia="Times New Roman"/>
          <w:b w:val="0"/>
          <w:i/>
          <w:sz w:val="20"/>
        </w:rPr>
        <w:t>Исполнитель пусконаладочных работ: ООО «АльтЭн», ОГРН 1024000944098, ИНН 4025062969.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4. </w:t>
      </w:r>
      <w:r>
        <w:rPr>
          <w:rFonts w:ascii="Times New Roman" w:hAnsi="Times New Roman" w:eastAsia="Times New Roman"/>
          <w:b w:val="0"/>
          <w:i/>
          <w:sz w:val="20"/>
        </w:rPr>
        <w:t>Период пусконаладочных работ: 24.10.2026 — 28.10.2026.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5. </w:t>
      </w:r>
      <w:r>
        <w:rPr>
          <w:rFonts w:ascii="Times New Roman" w:hAnsi="Times New Roman" w:eastAsia="Times New Roman"/>
          <w:b w:val="0"/>
          <w:i/>
          <w:sz w:val="20"/>
        </w:rPr>
        <w:t>Нормативные документы: СП 76.13330.2016 «Электротехнические устройства»; СП 6.13130.2025; СП 484.1311500.2020; ГОСТ Р 59638-2021; ГОСТ Р 50571.16-2019; эксплуатационная документация изготовителей оборудования.</w:t>
      </w:r>
    </w:p>
    <w:p>
      <w:pPr>
        <w:spacing w:after="40" w:before="120"/>
      </w:pPr>
      <w:r>
        <w:rPr>
          <w:rFonts w:ascii="Times New Roman" w:hAnsi="Times New Roman" w:eastAsia="Times New Roman"/>
          <w:b/>
          <w:i w:val="0"/>
          <w:sz w:val="22"/>
        </w:rPr>
        <w:t>2. Состав системы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20"/>
        </w:rPr>
        <w:t>Оборудование — по ведомости к акту о смонтированном оборудовании № СПС-КПП-О: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454"/>
        <w:gridCol w:w="4649"/>
        <w:gridCol w:w="2721"/>
        <w:gridCol w:w="1247"/>
        <w:gridCol w:w="850"/>
      </w:tblGrid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№</w:t>
            </w:r>
          </w:p>
        </w:tc>
        <w:tc>
          <w:tcPr>
            <w:tcW w:type="dxa" w:w="464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Наименование оборудования</w:t>
            </w:r>
          </w:p>
        </w:tc>
        <w:tc>
          <w:tcPr>
            <w:tcW w:type="dxa" w:w="272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Тип, марка</w:t>
            </w:r>
          </w:p>
        </w:tc>
        <w:tc>
          <w:tcPr>
            <w:tcW w:type="dxa" w:w="12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Поз. обозн. по ИД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Кол-во, шт.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Извещатель пожарный ручной адресный</w:t>
            </w:r>
          </w:p>
        </w:tc>
        <w:tc>
          <w:tcPr>
            <w:tcW w:type="dxa" w:w="272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ИПР 513-3АМ исп.01</w:t>
            </w:r>
          </w:p>
        </w:tc>
        <w:tc>
          <w:tcPr>
            <w:tcW w:type="dxa" w:w="12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BTM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Извещатель пожарный дымовой оптико-электронный адресно-аналоговый со встроенным изолирующим блоком</w:t>
            </w:r>
          </w:p>
        </w:tc>
        <w:tc>
          <w:tcPr>
            <w:tcW w:type="dxa" w:w="272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ДИП-34А-04</w:t>
            </w:r>
          </w:p>
        </w:tc>
        <w:tc>
          <w:tcPr>
            <w:tcW w:type="dxa" w:w="12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BTH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Контроллер двухпроводной линии с гальванической изоляцией, два интерфейса RS-485</w:t>
            </w:r>
          </w:p>
        </w:tc>
        <w:tc>
          <w:tcPr>
            <w:tcW w:type="dxa" w:w="272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С2000-КДЛ-2И исп.01</w:t>
            </w:r>
          </w:p>
        </w:tc>
        <w:tc>
          <w:tcPr>
            <w:tcW w:type="dxa" w:w="12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ARK3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Оповещатель световой адресный «Выход»</w:t>
            </w:r>
          </w:p>
        </w:tc>
        <w:tc>
          <w:tcPr>
            <w:tcW w:type="dxa" w:w="272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С2000-ОСТ исп.01</w:t>
            </w:r>
          </w:p>
        </w:tc>
        <w:tc>
          <w:tcPr>
            <w:tcW w:type="dxa" w:w="12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BIAL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Блок индикации с клавиатурой</w:t>
            </w:r>
          </w:p>
        </w:tc>
        <w:tc>
          <w:tcPr>
            <w:tcW w:type="dxa" w:w="272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С2000-БКИ</w:t>
            </w:r>
          </w:p>
        </w:tc>
        <w:tc>
          <w:tcPr>
            <w:tcW w:type="dxa" w:w="12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BI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Оповещатель звуковой адресный</w:t>
            </w:r>
          </w:p>
        </w:tc>
        <w:tc>
          <w:tcPr>
            <w:tcW w:type="dxa" w:w="272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С2000-ОПЗ</w:t>
            </w:r>
          </w:p>
        </w:tc>
        <w:tc>
          <w:tcPr>
            <w:tcW w:type="dxa" w:w="12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BIALS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Шкаф пожарной сигнализации (шкаф сборный RFA2) с резервированным источником питания МИП-24</w:t>
            </w:r>
          </w:p>
        </w:tc>
        <w:tc>
          <w:tcPr>
            <w:tcW w:type="dxa" w:w="272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ШПС-24 исп.12</w:t>
            </w:r>
          </w:p>
        </w:tc>
        <w:tc>
          <w:tcPr>
            <w:tcW w:type="dxa" w:w="12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RFA2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Блок релейный адресный (в шкафу RFA2)</w:t>
            </w:r>
          </w:p>
        </w:tc>
        <w:tc>
          <w:tcPr>
            <w:tcW w:type="dxa" w:w="272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С2000-СП2 исп.02</w:t>
            </w:r>
          </w:p>
        </w:tc>
        <w:tc>
          <w:tcPr>
            <w:tcW w:type="dxa" w:w="12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SC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Устройство коммуникационное (в шкафу RFA2)</w:t>
            </w:r>
          </w:p>
        </w:tc>
        <w:tc>
          <w:tcPr>
            <w:tcW w:type="dxa" w:w="272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УК-ВК исп.14</w:t>
            </w:r>
          </w:p>
        </w:tc>
        <w:tc>
          <w:tcPr>
            <w:tcW w:type="dxa" w:w="12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SK1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Батарея аккумуляторная 12 В 18 А·ч (в шкафу RFA2)</w:t>
            </w:r>
          </w:p>
        </w:tc>
        <w:tc>
          <w:tcPr>
            <w:tcW w:type="dxa" w:w="272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DT 12В 18Ач</w:t>
            </w:r>
          </w:p>
        </w:tc>
        <w:tc>
          <w:tcPr>
            <w:tcW w:type="dxa" w:w="12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</w:tr>
      <w:tr>
        <w:tc>
          <w:tcPr>
            <w:tcW w:type="dxa" w:w="454"/>
          </w:tcPr>
          <w:p/>
        </w:tc>
        <w:tc>
          <w:tcPr>
            <w:tcW w:type="dxa" w:w="464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Итого единиц оборудования</w:t>
            </w:r>
          </w:p>
        </w:tc>
        <w:tc>
          <w:tcPr>
            <w:tcW w:type="dxa" w:w="2721"/>
          </w:tcPr>
          <w:p/>
        </w:tc>
        <w:tc>
          <w:tcPr>
            <w:tcW w:type="dxa" w:w="1247"/>
          </w:tcPr>
          <w:p/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20</w:t>
            </w:r>
          </w:p>
        </w:tc>
      </w:tr>
    </w:tbl>
    <w:p>
      <w:pPr>
        <w:spacing w:after="40" w:before="120"/>
      </w:pPr>
      <w:r>
        <w:rPr>
          <w:rFonts w:ascii="Times New Roman" w:hAnsi="Times New Roman" w:eastAsia="Times New Roman"/>
          <w:b/>
          <w:i w:val="0"/>
          <w:sz w:val="22"/>
        </w:rPr>
        <w:t>3. Выполненные работы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1. </w:t>
      </w:r>
      <w:r>
        <w:rPr>
          <w:rFonts w:ascii="Times New Roman" w:hAnsi="Times New Roman" w:eastAsia="Times New Roman"/>
          <w:b w:val="0"/>
          <w:i/>
          <w:sz w:val="20"/>
        </w:rPr>
        <w:t>Проверка соответствия смонтированного оборудования и кабельных линий исполнительной документации (акты № СПС-КПП-О, № СПС-КПП-М).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2. </w:t>
      </w:r>
      <w:r>
        <w:rPr>
          <w:rFonts w:ascii="Times New Roman" w:hAnsi="Times New Roman" w:eastAsia="Times New Roman"/>
          <w:b w:val="0"/>
          <w:i/>
          <w:sz w:val="20"/>
        </w:rPr>
        <w:t>Измерение сопротивления изоляции кабельных линий (протокол № ПИ-СПС-КПП от 24.10.2026, приложение 1).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3. </w:t>
      </w:r>
      <w:r>
        <w:rPr>
          <w:rFonts w:ascii="Times New Roman" w:hAnsi="Times New Roman" w:eastAsia="Times New Roman"/>
          <w:b w:val="0"/>
          <w:i/>
          <w:sz w:val="20"/>
        </w:rPr>
        <w:t>Подключение, конфигурирование и настройка оборудования (адресация, параметры приборов и линий связи) в соответствии с эксплуатационной документацией изготовителей.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4. </w:t>
      </w:r>
      <w:r>
        <w:rPr>
          <w:rFonts w:ascii="Times New Roman" w:hAnsi="Times New Roman" w:eastAsia="Times New Roman"/>
          <w:b w:val="0"/>
          <w:i/>
          <w:sz w:val="20"/>
        </w:rPr>
        <w:t>Индивидуальные испытания — непрерывная работа 72 ч с 25.10.2026 по 28.10.2026 (акт № СПС-КПП-И, приложение 2). Проверены: формирование извещений «Пожар», «Неисправность» адресными пожарными извещателями (ручными и дымовыми) и их передача на приборы приёмно-контрольные и управления; контроль исправности адресных линий связи (ДПЛС) и работа изолирующих блоков; запуск СОУЭ: световые оповещатели «Выход», звуковые оповещатели; выдача управляющих сигналов адресными релейными блоками и устройствами коммуникационными; отображение состояния на блоке контроля и индикации; работа от основного и резервного источников питания, автоматический переход на резерв и обратно.</w:t>
      </w:r>
    </w:p>
    <w:p>
      <w:pPr>
        <w:spacing w:after="40" w:before="120"/>
      </w:pPr>
      <w:r>
        <w:rPr>
          <w:rFonts w:ascii="Times New Roman" w:hAnsi="Times New Roman" w:eastAsia="Times New Roman"/>
          <w:b/>
          <w:i w:val="0"/>
          <w:sz w:val="22"/>
        </w:rPr>
        <w:t>4. Результаты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1. </w:t>
      </w:r>
      <w:r>
        <w:rPr>
          <w:rFonts w:ascii="Times New Roman" w:hAnsi="Times New Roman" w:eastAsia="Times New Roman"/>
          <w:b w:val="0"/>
          <w:i/>
          <w:sz w:val="20"/>
        </w:rPr>
        <w:t>Сопротивление изоляции кабельных линий соответствует нормам (протокол № ПИ-СПС-КПП).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2. </w:t>
      </w:r>
      <w:r>
        <w:rPr>
          <w:rFonts w:ascii="Times New Roman" w:hAnsi="Times New Roman" w:eastAsia="Times New Roman"/>
          <w:b w:val="0"/>
          <w:i/>
          <w:sz w:val="20"/>
        </w:rPr>
        <w:t>Все 20 единиц оборудования работоспособны, функционируют в соответствии с рабочей документацией и эксплуатационной документацией изготовителей.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3. </w:t>
      </w:r>
      <w:r>
        <w:rPr>
          <w:rFonts w:ascii="Times New Roman" w:hAnsi="Times New Roman" w:eastAsia="Times New Roman"/>
          <w:b w:val="0"/>
          <w:i/>
          <w:sz w:val="20"/>
        </w:rPr>
        <w:t>Отказов и ложных срабатываний за время индивидуальных испытаний не зафиксировано.</w:t>
      </w:r>
    </w:p>
    <w:p>
      <w:pPr>
        <w:spacing w:after="40" w:before="120"/>
      </w:pPr>
      <w:r>
        <w:rPr>
          <w:rFonts w:ascii="Times New Roman" w:hAnsi="Times New Roman" w:eastAsia="Times New Roman"/>
          <w:b/>
          <w:i w:val="0"/>
          <w:sz w:val="22"/>
        </w:rPr>
        <w:t>5. Заключение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/>
          <w:sz w:val="20"/>
        </w:rPr>
        <w:t>Пусконаладочные работы системы пожарной сигнализации и системы оповещения и управления эвакуацией (АПС, СОУЭ) здания КПП выполнены в полном объёме. Система готова к комплексному опробованию и вводу в эксплуатацию.</w:t>
      </w:r>
    </w:p>
    <w:p>
      <w:pPr>
        <w:spacing w:after="20" w:before="120"/>
      </w:pPr>
      <w:r>
        <w:rPr>
          <w:rFonts w:ascii="Times New Roman" w:hAnsi="Times New Roman" w:eastAsia="Times New Roman"/>
          <w:b/>
          <w:i w:val="0"/>
          <w:sz w:val="20"/>
        </w:rPr>
        <w:t>Приложения: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1. </w:t>
      </w:r>
      <w:r>
        <w:rPr>
          <w:rFonts w:ascii="Times New Roman" w:hAnsi="Times New Roman" w:eastAsia="Times New Roman"/>
          <w:b w:val="0"/>
          <w:i/>
          <w:sz w:val="20"/>
        </w:rPr>
        <w:t>Протокол № ПИ-СПС-КПП измерения сопротивления изоляции кабельных линий от 24.10.2026.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2. </w:t>
      </w:r>
      <w:r>
        <w:rPr>
          <w:rFonts w:ascii="Times New Roman" w:hAnsi="Times New Roman" w:eastAsia="Times New Roman"/>
          <w:b w:val="0"/>
          <w:i/>
          <w:sz w:val="20"/>
        </w:rPr>
        <w:t>Акт о проведении индивидуальных испытаний № СПС-КПП-И от 28.10.2026.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3. </w:t>
      </w:r>
      <w:r>
        <w:rPr>
          <w:rFonts w:ascii="Times New Roman" w:hAnsi="Times New Roman" w:eastAsia="Times New Roman"/>
          <w:b w:val="0"/>
          <w:i/>
          <w:sz w:val="20"/>
        </w:rPr>
        <w:t>Копия свидетельства о поверке средства измерений (Sonel MPI-525).</w:t>
      </w:r>
    </w:p>
    <w:sectPr w:rsidR="00FC693F" w:rsidRPr="0006063C" w:rsidSect="00034616">
      <w:pgSz w:w="11906" w:h="16838"/>
      <w:pgMar w:top="850" w:right="567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