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СКУД-КПП-О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контроля и управления доступом (СКУД) здания КПП.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16/1/26-СКУД-Р, лист 4. Фактическое расположение оборудования, позиционные обозначения и кабельные трассы отражены в исполнительной документации 16/1/26-СКУД-ИД-КПП, лист 2, и кабельном журнале 16/1/26-СКУД-ИД-КПП.КЖ.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СКУД, здание КПП);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1-СКУД-КПП, 2-СКУД-КПП.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контроля и управления доступом (СКУД) здания КПП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16/1/26-СКУД-ИД-КПП,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СКУД-КПП-О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контроля и управления доступом (СКУД), здание КПП. Исполнительная документация 16/1/26-СКУД-ИД-КПП,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 proximity-карт EM-Marin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Proxy-4E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(TM19.1, 19.2, 20.1, 20.2,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электромеханический накладной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Полис-12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НПФ «Витек»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EMH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(EMH21.1, 21.2,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 300 кг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AL-300 12V Premium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ALer (ООО «ЭКСКОН»)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EMG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(EMG19.1, 20.1, 20.2)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магнитоконтактный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ИО 102-20/Б2П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«Магнито-Контакт»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BGB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(BGB21.1, 21.2,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сенсорная накладная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ST-EX020LSM-BK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16/1/26-СКУД-ИД-КПП.СО; установлено по факту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металлическая накладная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ST-EX241L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16/1/26-СКУД-ИД-КПП.СО; установлено по факту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без фиксации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AV45B51 в корпусе CAME 001YE0043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(К1–К4)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 двери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ST-ER115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EDU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16/1/26-СКУД-ИД-КПП.СО, поз. 9 (установлены по факту)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(ARK19–ARK22)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РИП-12 исп.17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UG6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 (в РИП-12, UG6)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DT 12В 18Ач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Монитор видеодомофона цветной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DS-D100MF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HiWatch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Видеодомофонная вызывная панель цветная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DS-D100P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HiWatch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AVD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(AVD1, AVD2)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Рабочее место: мини-ПК CHUWI AuBox X, мониторы Acer SB322QAbi 31,5" (2 шт.) с креплениями DEXP MB32-W01, клавиатура и мышь Defender C-511, преобразователь USB-RS485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CHUWI / Acer / DEXP / Defender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АРК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Привод электромеханический для распашных ворот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 A5000A (комплект ATI5000A)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 (М1–М4)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электромеханическим приводом ворот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 ZF1N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БУ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остановки колесного автотранспорта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Дорожный блокиратор механический 3,5 м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противотаранным устройством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БУпту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Пульт управления ПТУ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