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01.06.2026), а также на СП 2.13130.2012 (п. 3.20), СП 8.13130.2009 и СП 10.13130.2009 (п. 3.22), заменённые СП 2.13130.2020, СП 8.13130.2020 и СП 10.13130.2020. Параметры,</w:t>
      </w:r>
      <w:r>
        <w:rPr>
          <w:sz w:val="24"/>
          <w:szCs w:val="24"/>
        </w:rPr>
        <w:t xml:space="preserve">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0115.000-АПТ; 0887-ПБ.СПТ.ВПВ (стадия П)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14)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(0115.032-АПТ1 указан ссылкой в 0115.000-АПТ, лист 3; 0115.032-АПТ2 – в 0115.010-АПС, лист 4)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0943-ГП (рабочая документация, листы 1–5); 0943-ПЗУ.ГЧ (схема планировочной организации, стадия П)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</w:rPr>
              <w:t>0887-ИОС.ВС2 (наружное водоснабжение), 0887-ИОС.ВС1.2 (насосная станция пожаротушения с пожарным резервуаром), 0943-НВК.2 (расширение склада базовых масел)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 это проектные места: по ОПО установлено 18 резервуаров (4 × 500 м³ и 8 × 200 м³ базовых масел, 6 × 200 м³ готовой продукции, всего 4800 м³), проект 0943-ТХ добавляет ТК3307 и ТК3308 по 200 м³, остальные места не заняты;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 по ОПО установлено 11 резервуаров (2 × 90 м³ и 9 × 60 м³, 720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 и входящей в состав ОПО (рег. № А01-15065-0002, изменения от 18.03.2025: площадка сливной эстакады из железнодорожных цистерн с двумя установками УРСН),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«Сигнал-10» (0115.023-АОВ),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По 0115.023-АОВ (лист 4) приборы автоматики насосной ГЖ работают от резерва 24 ч в дежурном режиме и около 1 ч в режиме тревоги (знак в листе искажён); расхождение с 0115.010-АПС уточняют по проекту.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По листу 3 (так же в 0115.023-АПС, лист 3) сигналы на управление в автоматическом режиме дымоудалением, оповещением и инженерным оборудованием формируются при срабатывании не менее двух извещателей, включённых по логической схеме «И».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части. На схеме листа 4 блок обозначен «GSM» («телефонный информатор»), хотя С2000-ИТ работает по проводной телефонной линии; фактический канал связи и принимающий пульт в проекте не указаны.</w:t>
      </w:r>
      <w:r w:rsidR="007C00BB">
        <w:t/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системой оповещения в соответствии с СП 3.13130.2009 (п. 3.19 СТУ), тип СОУЭ – по проекту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 пенной дренчерной установки участка подготовки масла в переданной документации отсутствует. По порошковой установке дизель-генераторного зала передан неполный проект стадии П ООО «Саламандра» без шифра (листы 1, 2, 4, 5 из 5; нет листа 3 «Схемы подключения шлейфов АУПТ») и структурная схема в 0887-МОПБ, лист 75.4 (приложение И).</w:t>
      </w:r>
      <w:proofErr w:type="spellStart"/>
      <w:r>
        <w:t/>
      </w:r>
      <w:proofErr w:type="spellEnd"/>
      <w:r>
        <w:t xml:space="preserve">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тестовые краны Ду50 с манометрами в каждой секции и спускные краны узлов управления. Узлы управления размещены в помещении «Автоматическое пожаротушение» № 230 на 2-м этаже (отм. +4,200; 0115.000-АПТ, лист 4, задание Зд1). Оросители: пенные TY4131 и TY4231 (K = 115, 57 °С), водяные TY3251 (K = 80, 57 °С).</w:t>
      </w:r>
      <w:proofErr w:type="spellStart"/>
      <w:r>
        <w:t/>
      </w:r>
      <w:proofErr w:type="spellEnd"/>
      <w:r>
        <w:t xml:space="preserve">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Автоматические извещатели – тепловые взрывозащищённые ИП101 «Гранат-exd» (4 шт.), ручные – ИП 535-26 «Север» (7 шт.). Предусмотрены дистанционный «Пуск» (УДП 513-10) и «Отмена пуска» (ИПР ML-2710.ES; на структурной схеме – УДП «Стоп»)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489 м³ (объём – по 0943-НВК.2, число секций – по 0887-АР2.3; в 0115.000-АПТ, лист 3, – 2 × 468 м³);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которых передвижной пожарной техникой по всей длине окружности стенки невозможно, оборудуются стационарными неавтоматическими установками охлаждения (п. 3.16 СТУ; если установку не присоединяют к НПВ, её сухие трубопроводы выводят за обвалование); резервуары, тушение которых передвижной техникой невозможно, – стационарными устройствами подачи пены (генераторами пены, пеносливами, иными устройствами) и сухими трубопроводами с соединительными головками и заглушками, выведенными за обвалование (п. 3.17 СТУ);</w:t>
      </w:r>
      <w:r>
        <w:t/>
      </w:r>
      <w:proofErr w:type="spellStart"/>
      <w:r>
        <w:t/>
      </w:r>
      <w:proofErr w:type="spellEnd"/>
      <w:r>
        <w:t xml:space="preserve">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24–26) дымоудаление естественное через три люка 1ЛД–3ЛД с пультом управления MCRP 9705 и кнопками MCR RPO-1; по сигналу «Пожар» открываются люки и управляются ворота подпора (привод «ПД ВОРОТ»); управление – автоматическое, дистанционное с АРМ «Орион» и с клавиатуры С2000-БКИ, местное кнопками;</w:t>
      </w:r>
      <w:r>
        <w:t xml:space="preserve">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крышные вентиляторы В1, В2 (с частотными преобразователями и резервом) и приточные клапаны ПЕ1–ПЕ6 (КПУ-1Н, нормально закрытые); на листе 26 показан также вентилятор В3 в помещении 2;</w:t>
      </w:r>
      <w:r>
        <w:t xml:space="preserve">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конструктивно или условно не разделять его на дымовые зоны площадью не более 3000 м² с учётом возможности возникновения пожара в одной из зон (п. 3.2 СТУ) </w:t>
      </w:r>
      <w:r>
        <w:rPr/>
        <w:t>– состав по 0887-МОПБ (приложение Е): в производственно-складской части дымоудаление через зенитные фонари ВДЕ1–ВДЕ19 (ВДЕ1 – склад пустой тары и присадок в таре, ВДЕ2–ВДЕ10 – цех, ВДЕ11–ВДЕ19 – три склада готовой продукции) и через ВДЕ20 (Д315.00.000, Ø500; на схеме не фонарь) с клапаном ДК над расходным складом полупродукта; две противодымные шторы в цехе (низ на отм. 2,500); в АБК (на схеме – безопасная зона МГН, холл, коридоры) – подпор в безопасную зону МГН и холл (крышный вентилятор, три клапана ДК), компенсация коридоров (два клапана ДК), дымоудаление из коридоров (крышный вентилятор, два клапана ДК)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ППКП; ИПР на территории расходных складов ГЖ – по п. 13.1.2 СП 155.13130.2014 (п. 3.6 СТУ)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дистанционный «Пуск» от УДП 513-10 и «Отмена пуска» от ИПР ML-2710.ES в операторной, светозвуковой оповещатель, команды «Реле пуска» и «Дистанционный стоп» на ШУПН (С2000-СП2, выходы 1 и 2)</w:t>
      </w:r>
      <w:r>
        <w:t xml:space="preserve">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задвижки (открыта, закрыта), её неисправность и заклинивание,</w:t>
      </w:r>
      <w:r>
        <w:t xml:space="preserve">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Проектные параметры завесы по 0943-НВК.2: 5 насадок НП-III/50-4 по трём сторонам обвалования двух резервуаров по 1000 м³, давление у насадок 0,6–0,8 МПа, расход 12 л/с на насадку (60 л/с на завесу), время работы 4 ч (864 м³); повысительная насосная станция с одним рабочим и одним резервным насосом, Q = 84 л/с (302,4 м³/ч по сборочному чертежу НСП-ВК-2.8-3.4-2-2020-С), насосы Grundfos NB 100-200/219 (75 кВт), напор на входе 0,3 МПа, на выходе 0,82 МПа, реле давления РД-2Р (0,07–0,6 МПа, дифференциал 0,06–0,4 МПа), манометры ТМ-510 на 0,6 МПа, ответвления к насадкам Ду32 (по схеме листа 5; в спецификации – врезки Ду50, присоединение насадки НП-III/50 – 50 мм); потребный напор на вводе завесы 83 м (лафетных стволов – 40 м); станция – подземная, поз. 21 по 0943-ГП, с затвором DN200 с электроприводом AUMA, дренажным насосом с поплавковым выключателем и двумя вводами питания; нормально закрытая задвижка открывается по сигналу пожарных извещателей. Остальные критерии времени и давления принимают по ТД ШУПН. Наружное пенное тушение парка по 0943-НВК.2 – сухотрубная сеть Ф89×4 по обвалованию с лафетными стволами ЛС-С20У на вышках ПВУ-2 (существующие ЛС1–ЛС7, стволы ЛС5 и ЛС6 переносятся – ЛС5п, ЛС6п, добавлен ЛС8п) и задвижками Ду80 с электроприводом; дополнительное орошение – нестационарными лафетными стволами от кольцевого подземного водопровода по плану тушения пожара. Проверяют проходимость сухотрубов, работу задвижек с электроприводом и состояние стволов.</w:t>
      </w:r>
      <w:r>
        <w:t/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2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 и задвижками ЗД29–ЗД33 на коллекторе DN300; обратные клапаны на схеме листа 3 не подписаны; по 0887-МОПБ, лист 75.2, – четыре головки ГМ 80 с обратными клапанами Ду150</w:t>
            </w:r>
            <w:r>
              <w:rPr>
                <w:sz w:val="24"/>
                <w:szCs w:val="24"/>
              </w:rPr>
              <w:t>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(резервуары 2 × 489 м³ по 0943-НВК.2; требуемый объём и расчётное время: для расширения склада базовых масел по 0943-НВК.2 – 864 м³ на водяную завесу (60 л/с, 4 ч) и 388,8 м³ на орошение резервуаров лафетными стволами (18 л/с, расчётно 6 ч), всего 1252,8 м³ на пожар; в целом по заводу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(при ручном пуске от ИПР-Кск – по листу 8; при автоматическом пуске выдержка 30 с предусмотрена для отключения инженерных систем, лист 8; выходы – листы 19–21)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полное закрытие огнезадерживающих клапанов общеобменной вентиляции защищаемого помещения не более чем за 30 с (задание Зд1), то есть до истечения задержки пуска 30 с (лист 8);</w:t>
      </w:r>
      <w:proofErr w:type="spellStart"/>
      <w:r>
        <w:t/>
      </w:r>
      <w:proofErr w:type="spellEnd"/>
      <w:r>
        <w:t xml:space="preserve"/>
      </w:r>
      <w:r>
        <w:t xml:space="preserve">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паспортами модулей и журналом контроля. По РЭ АТСД.635165.002: модули (42-52-50) и (42-106-50) – давление 4,2 МПа при 20 °С; коэффициент заполнения Novec 1230 не более 1,2 кг/л (по проекту 0,62–0,83 кг/л); взвешивание с погрешностью ±0,2 кг, модуль заменяют при потере массы ГОТВ более 5 %, подкачивают при падении давления на 10 % и более; реле давления срабатывает при снижении давления на 20 % (±2 бар); инерционность не более 2 с, время выпуска не более 10 с, пусковой импульс не менее 1 с.</w:t>
      </w:r>
      <w:r>
        <w:t/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сигналы прибора С2000-АСПТ (ARK1.2), на который заведены все цепи установки, и их отображение на С2000-ПТ и С2000-М в помещении охраны: устройство ручного пуска ИОПР 513-3М «Пуск пожаротушения»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и компактной струе 6 м (ПК Ду50, спрыск 16 мм); время работы ПК равно времени работы АУП: 25 мин для склада № 104, 15 мин для цеха 101 и насосной ГЖ (0115.000-АПТ, листы 6–8)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запаса воды: объём, уровень, подъезды и площадки для установки ПА, указатели; датчики-реле уровня (аварийный, min, max) и линия пополнения с электрозадвижкой ЗД(Э)3 MV9003 (0115.000-АПТ, лист 3); поплавковые клапаны подпитки от хозяйственного водопровода и опорожнение в ливневую канализацию (0887-МОПБ, лист 75.2)</w:t>
            </w:r>
            <w:r>
              <w:rPr>
                <w:sz w:val="24"/>
                <w:szCs w:val="24"/>
              </w:rPr>
              <w:t/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Две секции пожарного резервуара по 489 м³ (объём – 0943-НВК.2, число секций – 0887-АР2.3; в 0115.000-АПТ, лист 3, – 2 × 468 м³);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5-25; по 0887-МОПБ, лист 75.2, и 0887-ПБ.СПТ.ВПВ, лист 19, стадия П, – CR NK 100-250/270 × 2 и жокей-насосы CR 5-7 × 2, фактическое оборудование сверяют по месту): автоматический пуск от сигнализаторов давления (0115.000-АПТ, лист 6; дистанционный – если предусмотрен ТД или 0115.032-АПТ1, АПТ2),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 и с С2000-БКИ,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RPO-1, дистанционно с АРМ и с С2000-БКИ; управление воротами подпора;</w:t>
            </w:r>
            <w:r>
              <w:rPr>
                <w:sz w:val="24"/>
                <w:szCs w:val="24"/>
              </w:rPr>
              <w:t xml:space="preserve">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24–26);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53300-2009; расчётный режим – пожар в одной из зон. Расчёт пожарного риска по п. 2.1.2 СТУ выполнен при условии, что цех не оборудован вытяжной противодымной вентиляцией; проверку проводят по п. 3.2 СТУ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стен; расстояния, при которых выполнен расчёт пожарного риска (п. 2.1.2 СТУ): ПСК – сливо-наливная автомобильная эстакада; резервуары склада присадок и склада базовых масел и готовой продукции – насосная ГЖ; эвакуационные выходы насосной ГЖ – сливо-наливные устройства эстакад и оборудование подземной ёмкости для проливов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м; по п. 2.1.2 СТУ не менее: ПСК – эстакада 26 м, резервуары – насосная ГЖ 3,0 м, эвакуационные выходы насосной ГЖ – сливо-наливные устройства 4,5 м, – оборудование ёмкости проливов 3,5 м (при меньших расстояниях расчёт риска к объекту неприменим, п. 1.8.4 СТУ)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если установка не присоединена к НПВ – сухие трубопроводы выведены за обвалование (если присоединена – опытная подача от НПВ);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генераторов пены, пеносливов или иных устройств подачи пены;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(пп. 3.7, 3.8 СТУ): число постов, тип аккумуляторов,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Не более 10 постов; аккумуляторы гелевые;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групп резервуаров базовых масел и готовой продукции, парка присадок и сливо-наливных эстакад (п. 3.4 СТУ)</w:t>
            </w:r>
            <w:r>
              <w:rPr>
                <w:sz w:val="24"/>
                <w:szCs w:val="24"/>
              </w:rPr>
              <w:t>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 Номера и диаметры существующих резервуаров внесены по 0943-ТХ (лист 4) и сведениям об ОПО (рег. № А01-15065-0002); номера резервуаров присадок 60 м³ – по схеме PFD 0943-ТХ (в ОПО указаны только заводские номера); «место не занято» – проектное место по п. 1.11 СТУ, на котором резервуар не установлен; ТК3307 и ТК3308 – новые резервуары по 0943-ТХ (D принят по типоразмеру 200 м³, на листе не проставлен). Высоты по ОПО (12,0 и 9,7 м) и по разрезу 0943-ТХ (11,2 и 9,0 м) различаются. Номера резервуаров расширения в проекте 0943 расходятся: ТК3222 и ТК3223 – по ТХ и ЭОМ, TK3213 и TK3214 – по 0943-ГП (лист 4) и схемам P&amp;ID; соответствие номеров в источниках не указано; D 9,53 м и высота 14,42 м – по 0943-ТХ (лист 4).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(по п. 1.11 СТУ 33 места, 7800 м³; по ОПО установлено 18 резервуаров, по 0943-ТХ добавлены ТК3307 и ТК3308)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7,94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ТК3209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ТК3212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ТК3308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5,64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(по п. 1.11 СТУ 12 мест, 780 м³; по ОПО установлено 11 резервуаров, 720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ТК3109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ТК3111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место не занято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лист 4; 0943-НВК.2, лист 1)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 4; лист 5 передан пустым бланком).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дренчерной установки участка подготовки масла; рабочая документация порошковой установки дизель-генераторного зала, в том числе лист 3 «Схемы подключения шлейфов АУПТ» с алгоритмом и задержками пуска (передан только проект стадии П без шифра);</w:t>
      </w:r>
      <w:proofErr w:type="spellStart"/>
      <w:r>
        <w:t/>
      </w:r>
      <w:proofErr w:type="spellEnd"/>
      <w:r>
        <w:t xml:space="preserve"/>
      </w:r>
      <w:r>
        <w:t xml:space="preserve">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по 0115.010-ГПТ (рабочая документация, AFC) – МПА-NVC1230 (42-52-50) в № 216 и № 141 и (42-106-50) в № 140, что соответствует РЭ; в 0887-ПБ.АУГПТ (стадия П) то же помещение № 216 названо серверной и модуль обозначен МПА-NVC1230 (25-52-50), на структурной схеме – (25-106-50), на аксонометрии – МПА-NVC1230-52л (заправка 30 кг), что относится к проектной стадии и заменено рабочей документацией);</w:t>
      </w:r>
      <w:r>
        <w:t xml:space="preserve">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6–13 (в том числе 8 и 9 – схемы управления и внешних соединений люков дымоудаления, где должны быть сигналы положения люков), 16, 27 и спецификация; комплект АОВ2 (на него ссылается 0115.023-АОВ: приборы «Сигнал-10», С2000-СП1, С2000-БКИ).</w:t>
      </w:r>
      <w:r>
        <w:t/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0115.023-СОУЭ; по ссылкам 0115.010-АПС, лист 4, оповещение насосной станции пожаротушения – 0115.032-АПТ2, участка подготовки масла – 0115.042-ОПС, котельной – 0115.041-ОПС),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соответствия, действующие на момент строительства,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заполнения проёмов в противопожарных стенах; пожарная техника; пенообразователь, насосы, генераторы пены, пеносмесители (дозаторы)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релейные выходы «Сигнал-20П» ARK1 (TC6), ARK2 (TC5), ARK3 (TC8) и ARK4 (TC3, пом. 140, сигнал пропадания питания щита 1.3АВР)</w:t>
      </w:r>
      <w:r>
        <w:rPr>
          <w:sz w:val="24"/>
          <w:szCs w:val="24"/>
        </w:rPr>
        <w:t xml:space="preserve"> (0115.010-АПС, лист 4; 0115.023-АПС); адреса А01.041–А01.043 (положение клапанов ПЕ1–ПЕ6) и А01.045–А01.047 (щит ЩС, пульт люков ПУ-1, привод ворот, частотные преобразователи вентиляторов В1, В2) насосной ГЖ (0115.023-АОВ, листы 24, 25; А01.040 – регуляторы температуры, А01.101–А01.103 – тепловентиляторы ТВ-1…ТВ-9: в матрицу включают, только если они отключаются при пожаре); реле отключения вентиляции приборов С2000-АСПТ № 50, 53, 54 (0115.010-ГПТ, листы 8, 14, 19–21, задание Зд5) и выход второй группы контактов реле «Пожар» С2000-АСПТ на ПЦН (0115.010-ГПТ, лист 8);</w:t>
      </w:r>
      <w:r>
        <w:rPr>
          <w:sz w:val="24"/>
          <w:szCs w:val="24"/>
        </w:rPr>
        <w:t xml:space="preserve"> отключение вентиляции лаборатории ПСК по сигналу «Пожар» через реле К1–К3: блокировка вентиляторов В12, В12р, В17, В17р, В28, В28р, В30, В30р, В18, В20 и сигнал «Пожар» на контроллер (0115.010-АОВ, листы 2, 3);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