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footer+xml" PartName="/word/footer3.xml"/>
  <Override ContentType="application/vnd.openxmlformats-officedocument.wordprocessingml.footer+xml" PartName="/word/footer4.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4677"/>
        <w:gridCol w:w="4677"/>
      </w:tblGrid>
      <w:tr>
        <w:tc>
          <w:tcPr>
            <w:tcW w:type="dxa" w:w="4677"/>
            <w:tcBorders>
              <w:top w:val="none" w:color="FFFFFF" w:sz="0"/>
              <w:left w:val="none" w:color="FFFFFF" w:sz="0"/>
              <w:bottom w:val="none" w:color="FFFFFF" w:sz="0"/>
              <w:right w:val="none" w:color="FFFFFF" w:sz="0"/>
            </w:tcBorders>
          </w:tcPr>
          <w:p>
            <w:pPr>
              <w:spacing w:after="60"/>
            </w:pPr>
            <w:r>
              <w:rPr>
                <w:rFonts w:ascii="Times New Roman" w:cs="Times New Roman" w:eastAsia="Times New Roman" w:hAnsi="Times New Roman"/>
                <w:b/>
                <w:bCs/>
                <w:sz w:val="28"/>
                <w:szCs w:val="28"/>
              </w:rPr>
              <w:t xml:space="preserve">СОГЛАСОВАНО</w:t>
            </w:r>
          </w:p>
          <w:p>
            <w:pPr>
              <w:spacing w:after="60"/>
            </w:pPr>
            <w:r>
              <w:rPr>
                <w:rFonts w:ascii="Times New Roman" w:cs="Times New Roman" w:eastAsia="Times New Roman" w:hAnsi="Times New Roman"/>
                <w:sz w:val="28"/>
                <w:szCs w:val="28"/>
              </w:rPr>
              <w:t xml:space="preserve">Уполномоченный представитель заказчика</w:t>
            </w:r>
          </w:p>
          <w:p>
            <w:pPr>
              <w:spacing w:after="60"/>
            </w:pPr>
            <w:r>
              <w:rPr>
                <w:rFonts w:ascii="Times New Roman" w:cs="Times New Roman" w:eastAsia="Times New Roman" w:hAnsi="Times New Roman"/>
                <w:sz w:val="28"/>
                <w:szCs w:val="28"/>
              </w:rPr>
              <w:t xml:space="preserve">________________ / </w:t>
            </w:r>
            <w:r>
              <w:rPr>
                <w:rFonts w:ascii="Times New Roman" w:cs="Times New Roman" w:eastAsia="Times New Roman" w:hAnsi="Times New Roman"/>
                <w:sz w:val="28"/>
                <w:szCs w:val="28"/>
                <w:highlight w:val="yellow"/>
                <w:highlightCs w:val="yellow"/>
              </w:rPr>
              <w:t xml:space="preserve">[И. О. Фамилия]</w:t>
            </w:r>
            <w:r>
              <w:rPr>
                <w:rFonts w:ascii="Times New Roman" w:cs="Times New Roman" w:eastAsia="Times New Roman" w:hAnsi="Times New Roman"/>
                <w:sz w:val="28"/>
                <w:szCs w:val="28"/>
              </w:rPr>
              <w:t xml:space="preserve"> /</w:t>
            </w:r>
          </w:p>
          <w:p>
            <w:pPr>
              <w:spacing w:after="60"/>
            </w:pPr>
            <w:r>
              <w:rPr>
                <w:rFonts w:ascii="Times New Roman" w:cs="Times New Roman" w:eastAsia="Times New Roman" w:hAnsi="Times New Roman"/>
                <w:sz w:val="28"/>
                <w:szCs w:val="28"/>
              </w:rPr>
              <w:t xml:space="preserve">«____» ____________ 2026 г.</w:t>
            </w:r>
          </w:p>
        </w:tc>
        <w:tc>
          <w:tcPr>
            <w:tcW w:type="dxa" w:w="4677"/>
            <w:tcBorders>
              <w:top w:val="none" w:color="FFFFFF" w:sz="0"/>
              <w:left w:val="none" w:color="FFFFFF" w:sz="0"/>
              <w:bottom w:val="none" w:color="FFFFFF" w:sz="0"/>
              <w:right w:val="none" w:color="FFFFFF" w:sz="0"/>
            </w:tcBorders>
          </w:tcPr>
          <w:p>
            <w:pPr>
              <w:spacing w:after="60"/>
            </w:pPr>
            <w:r>
              <w:rPr>
                <w:rFonts w:ascii="Times New Roman" w:cs="Times New Roman" w:eastAsia="Times New Roman" w:hAnsi="Times New Roman"/>
                <w:b/>
                <w:bCs/>
                <w:sz w:val="28"/>
                <w:szCs w:val="28"/>
              </w:rPr>
              <w:t xml:space="preserve">УТВЕРЖДАЮ</w:t>
            </w:r>
          </w:p>
          <w:p>
            <w:pPr>
              <w:spacing w:after="60"/>
            </w:pPr>
            <w:r>
              <w:rPr>
                <w:rFonts w:ascii="Times New Roman" w:cs="Times New Roman" w:eastAsia="Times New Roman" w:hAnsi="Times New Roman"/>
                <w:sz w:val="28"/>
                <w:szCs w:val="28"/>
              </w:rPr>
              <w:t xml:space="preserve">Уполномоченный представитель подрядчика</w:t>
            </w:r>
          </w:p>
          <w:p>
            <w:pPr>
              <w:spacing w:after="60"/>
            </w:pPr>
            <w:r>
              <w:rPr>
                <w:rFonts w:ascii="Times New Roman" w:cs="Times New Roman" w:eastAsia="Times New Roman" w:hAnsi="Times New Roman"/>
                <w:sz w:val="28"/>
                <w:szCs w:val="28"/>
              </w:rPr>
              <w:t xml:space="preserve">________________ / </w:t>
            </w:r>
            <w:r>
              <w:rPr>
                <w:rFonts w:ascii="Times New Roman" w:cs="Times New Roman" w:eastAsia="Times New Roman" w:hAnsi="Times New Roman"/>
                <w:sz w:val="28"/>
                <w:szCs w:val="28"/>
                <w:highlight w:val="yellow"/>
                <w:highlightCs w:val="yellow"/>
              </w:rPr>
              <w:t xml:space="preserve">[И. О. Фамилия]</w:t>
            </w:r>
            <w:r>
              <w:rPr>
                <w:rFonts w:ascii="Times New Roman" w:cs="Times New Roman" w:eastAsia="Times New Roman" w:hAnsi="Times New Roman"/>
                <w:sz w:val="28"/>
                <w:szCs w:val="28"/>
              </w:rPr>
              <w:t xml:space="preserve"> /</w:t>
            </w:r>
          </w:p>
          <w:p>
            <w:pPr>
              <w:spacing w:after="60"/>
            </w:pPr>
            <w:r>
              <w:rPr>
                <w:rFonts w:ascii="Times New Roman" w:cs="Times New Roman" w:eastAsia="Times New Roman" w:hAnsi="Times New Roman"/>
                <w:sz w:val="28"/>
                <w:szCs w:val="28"/>
              </w:rPr>
              <w:t xml:space="preserve">«____» ____________ 2026 г.</w:t>
            </w:r>
          </w:p>
        </w:tc>
      </w:tr>
    </w:tbl>
    <w:p>
      <w:pPr>
        <w:keepNext/>
        <w:spacing w:after="0" w:before="1800"/>
        <w:jc w:val="center"/>
      </w:pPr>
    </w:p>
    <w:p>
      <w:pPr>
        <w:keepNext/>
        <w:spacing w:after="600" w:before="0"/>
        <w:jc w:val="center"/>
      </w:pPr>
      <w:r>
        <w:rPr>
          <w:rFonts w:ascii="Times New Roman" w:cs="Times New Roman" w:eastAsia="Times New Roman" w:hAnsi="Times New Roman"/>
          <w:sz w:val="28"/>
          <w:szCs w:val="28"/>
        </w:rPr>
        <w:t xml:space="preserve">Филиал ООО «ЛЛК-Интернешнл» в с. Ворсино</w:t>
      </w:r>
    </w:p>
    <w:p>
      <w:pPr>
        <w:keepNext/>
        <w:spacing w:after="0" w:before="0"/>
        <w:jc w:val="center"/>
      </w:pPr>
      <w:r>
        <w:rPr>
          <w:rFonts w:ascii="Times New Roman" w:cs="Times New Roman" w:eastAsia="Times New Roman" w:hAnsi="Times New Roman"/>
          <w:b/>
          <w:bCs/>
          <w:sz w:val="32"/>
          <w:szCs w:val="32"/>
        </w:rPr>
        <w:t xml:space="preserve">ПРОГРАММА</w:t>
      </w:r>
    </w:p>
    <w:p>
      <w:pPr>
        <w:keepNext/>
        <w:spacing w:after="0" w:before="0"/>
        <w:jc w:val="center"/>
      </w:pPr>
      <w:r>
        <w:rPr>
          <w:rFonts w:ascii="Times New Roman" w:cs="Times New Roman" w:eastAsia="Times New Roman" w:hAnsi="Times New Roman"/>
          <w:b/>
          <w:bCs/>
          <w:sz w:val="32"/>
          <w:szCs w:val="32"/>
        </w:rPr>
        <w:t xml:space="preserve">КОМПЛЕКСНЫХ ИСПЫТАНИЙ СИСТЕМ</w:t>
      </w:r>
    </w:p>
    <w:p>
      <w:pPr>
        <w:keepNext/>
        <w:spacing w:after="400" w:before="0"/>
        <w:jc w:val="center"/>
      </w:pPr>
      <w:r>
        <w:rPr>
          <w:rFonts w:ascii="Times New Roman" w:cs="Times New Roman" w:eastAsia="Times New Roman" w:hAnsi="Times New Roman"/>
          <w:b/>
          <w:bCs/>
          <w:sz w:val="32"/>
          <w:szCs w:val="32"/>
        </w:rPr>
        <w:t xml:space="preserve">ПРОТИВОПОЖАРНОЙ ЗАЩИТЫ</w:t>
      </w:r>
    </w:p>
    <w:p>
      <w:pPr>
        <w:keepNext/>
        <w:spacing w:after="0" w:before="0"/>
        <w:jc w:val="center"/>
      </w:pPr>
      <w:r>
        <w:rPr>
          <w:rFonts w:ascii="Times New Roman" w:cs="Times New Roman" w:eastAsia="Times New Roman" w:hAnsi="Times New Roman"/>
          <w:sz w:val="28"/>
          <w:szCs w:val="28"/>
        </w:rPr>
        <w:t xml:space="preserve">Объект: «Завод по производству, хранению, отгрузке смазочных материалов»</w:t>
      </w:r>
    </w:p>
    <w:p>
      <w:pPr>
        <w:keepNext/>
        <w:spacing w:after="400" w:before="0"/>
        <w:jc w:val="center"/>
      </w:pPr>
      <w:r>
        <w:rPr>
          <w:rFonts w:ascii="Times New Roman" w:cs="Times New Roman" w:eastAsia="Times New Roman" w:hAnsi="Times New Roman"/>
          <w:sz w:val="28"/>
          <w:szCs w:val="28"/>
        </w:rPr>
        <w:t xml:space="preserve">Калужская обл., Боровский р-н, с. Ворсино, Северная промышленная зона, владение 8</w:t>
      </w:r>
    </w:p>
    <w:p>
      <w:pPr>
        <w:keepNext/>
        <w:spacing w:after="400" w:before="0"/>
        <w:jc w:val="center"/>
      </w:pPr>
      <w:r>
        <w:rPr>
          <w:rFonts w:ascii="Times New Roman" w:cs="Times New Roman" w:eastAsia="Times New Roman" w:hAnsi="Times New Roman"/>
          <w:sz w:val="28"/>
          <w:szCs w:val="28"/>
        </w:rPr>
        <w:t xml:space="preserve">с учётом специальных технических условий (СТУ) 2016 г.</w:t>
      </w:r>
    </w:p>
    <w:p>
      <w:pPr>
        <w:keepNext/>
        <w:spacing w:after="0" w:before="0"/>
        <w:jc w:val="center"/>
      </w:pPr>
      <w:r>
        <w:rPr>
          <w:rFonts w:ascii="Times New Roman" w:cs="Times New Roman" w:eastAsia="Times New Roman" w:hAnsi="Times New Roman"/>
          <w:sz w:val="28"/>
          <w:szCs w:val="28"/>
          <w:highlight w:val="yellow"/>
          <w:highlightCs w:val="yellow"/>
        </w:rPr>
        <w:t xml:space="preserve">[Обозначение документа]</w:t>
      </w:r>
    </w:p>
    <w:p>
      <w:pPr>
        <w:keepNext/>
        <w:spacing w:after="1400" w:before="0"/>
        <w:jc w:val="center"/>
      </w:pPr>
      <w:r>
        <w:rPr>
          <w:rFonts w:ascii="Times New Roman" w:cs="Times New Roman" w:eastAsia="Times New Roman" w:hAnsi="Times New Roman"/>
          <w:sz w:val="28"/>
          <w:szCs w:val="28"/>
        </w:rPr>
        <w:t xml:space="preserve">Редакция 8 от 15.10.2026</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4677"/>
        <w:gridCol w:w="4677"/>
      </w:tblGrid>
      <w:tr>
        <w:tc>
          <w:tcPr>
            <w:tcW w:type="dxa" w:w="4677"/>
            <w:tcBorders>
              <w:top w:val="none" w:color="FFFFFF" w:sz="0"/>
              <w:left w:val="none" w:color="FFFFFF" w:sz="0"/>
              <w:bottom w:val="none" w:color="FFFFFF" w:sz="0"/>
              <w:right w:val="none" w:color="FFFFFF" w:sz="0"/>
            </w:tcBorders>
          </w:tcPr>
          <w:p>
            <w:pPr>
              <w:spacing w:after="60"/>
            </w:pPr>
            <w:r>
              <w:rPr>
                <w:rFonts w:ascii="Times New Roman" w:cs="Times New Roman" w:eastAsia="Times New Roman" w:hAnsi="Times New Roman"/>
                <w:sz w:val="28"/>
                <w:szCs w:val="28"/>
              </w:rPr>
              <w:t xml:space="preserve">Разработал:</w:t>
            </w:r>
          </w:p>
          <w:p>
            <w:pPr>
              <w:spacing w:after="60"/>
            </w:pPr>
            <w:r>
              <w:rPr>
                <w:rFonts w:ascii="Times New Roman" w:cs="Times New Roman" w:eastAsia="Times New Roman" w:hAnsi="Times New Roman"/>
                <w:sz w:val="28"/>
                <w:szCs w:val="28"/>
              </w:rPr>
              <w:t xml:space="preserve">________________ / </w:t>
            </w:r>
            <w:r>
              <w:rPr>
                <w:rFonts w:ascii="Times New Roman" w:cs="Times New Roman" w:eastAsia="Times New Roman" w:hAnsi="Times New Roman"/>
                <w:sz w:val="28"/>
                <w:szCs w:val="28"/>
                <w:highlight w:val="yellow"/>
                <w:highlightCs w:val="yellow"/>
              </w:rPr>
              <w:t xml:space="preserve">[И. О. Фамилия]</w:t>
            </w:r>
            <w:r>
              <w:rPr>
                <w:rFonts w:ascii="Times New Roman" w:cs="Times New Roman" w:eastAsia="Times New Roman" w:hAnsi="Times New Roman"/>
                <w:sz w:val="28"/>
                <w:szCs w:val="28"/>
              </w:rPr>
              <w:t xml:space="preserve"> /</w:t>
            </w:r>
          </w:p>
        </w:tc>
        <w:tc>
          <w:tcPr>
            <w:tcW w:type="dxa" w:w="4677"/>
            <w:tcBorders>
              <w:top w:val="none" w:color="FFFFFF" w:sz="0"/>
              <w:left w:val="none" w:color="FFFFFF" w:sz="0"/>
              <w:bottom w:val="none" w:color="FFFFFF" w:sz="0"/>
              <w:right w:val="none" w:color="FFFFFF" w:sz="0"/>
            </w:tcBorders>
          </w:tcPr>
          <w:p>
            <w:pPr>
              <w:spacing w:after="60"/>
            </w:pPr>
            <w:r>
              <w:rPr>
                <w:rFonts w:ascii="Times New Roman" w:cs="Times New Roman" w:eastAsia="Times New Roman" w:hAnsi="Times New Roman"/>
                <w:sz w:val="28"/>
                <w:szCs w:val="28"/>
              </w:rPr>
              <w:t xml:space="preserve">Проверил:</w:t>
            </w:r>
          </w:p>
          <w:p>
            <w:pPr>
              <w:spacing w:after="60"/>
            </w:pPr>
            <w:r>
              <w:rPr>
                <w:rFonts w:ascii="Times New Roman" w:cs="Times New Roman" w:eastAsia="Times New Roman" w:hAnsi="Times New Roman"/>
                <w:sz w:val="28"/>
                <w:szCs w:val="28"/>
              </w:rPr>
              <w:t xml:space="preserve">________________ / </w:t>
            </w:r>
            <w:r>
              <w:rPr>
                <w:rFonts w:ascii="Times New Roman" w:cs="Times New Roman" w:eastAsia="Times New Roman" w:hAnsi="Times New Roman"/>
                <w:sz w:val="28"/>
                <w:szCs w:val="28"/>
                <w:highlight w:val="yellow"/>
                <w:highlightCs w:val="yellow"/>
              </w:rPr>
              <w:t xml:space="preserve">[И. О. Фамилия]</w:t>
            </w:r>
            <w:r>
              <w:rPr>
                <w:rFonts w:ascii="Times New Roman" w:cs="Times New Roman" w:eastAsia="Times New Roman" w:hAnsi="Times New Roman"/>
                <w:sz w:val="28"/>
                <w:szCs w:val="28"/>
              </w:rPr>
              <w:t xml:space="preserve"> /</w:t>
            </w:r>
          </w:p>
        </w:tc>
      </w:tr>
    </w:tbl>
    <w:p>
      <w:pPr>
        <w:keepNext/>
        <w:spacing w:after="0" w:before="1200"/>
        <w:jc w:val="center"/>
      </w:pPr>
    </w:p>
    <w:p>
      <w:pPr>
        <w:keepNext/>
        <w:spacing w:after="0" w:before="0"/>
        <w:jc w:val="center"/>
      </w:pPr>
      <w:r>
        <w:rPr>
          <w:rFonts w:ascii="Times New Roman" w:cs="Times New Roman" w:eastAsia="Times New Roman" w:hAnsi="Times New Roman"/>
          <w:sz w:val="28"/>
          <w:szCs w:val="28"/>
        </w:rPr>
        <w:t xml:space="preserve">с. Ворсино, 2026</w:t>
      </w:r>
    </w:p>
    <w:p>
      <w:pPr>
        <w:sectPr>
          <w:pgSz w:w="11906" w:h="16838" w:orient="portrait"/>
          <w:pgMar w:top="1134" w:right="850" w:bottom="1134" w:left="1701" w:header="708" w:footer="708" w:gutter="0"/>
          <w:pgNumType/>
          <w:titlePg/>
          <w:docGrid w:linePitch="360"/>
        </w:sectPr>
      </w:pPr>
    </w:p>
    <w:p>
      <w:pPr>
        <w:spacing w:after="200"/>
        <w:jc w:val="center"/>
      </w:pPr>
      <w:r>
        <w:rPr>
          <w:rFonts w:ascii="Times New Roman" w:cs="Times New Roman" w:eastAsia="Times New Roman" w:hAnsi="Times New Roman"/>
          <w:b/>
          <w:bCs/>
          <w:sz w:val="32"/>
          <w:szCs w:val="32"/>
        </w:rPr>
        <w:t xml:space="preserve">Содержание</w:t>
      </w:r>
    </w:p>
    <w:sdt>
      <w:sdtPr>
        <w:alias w:val="Содержание"/>
      </w:sdtPr>
      <w:sdtContent>
        <w:p>
          <w:r>
            <w:fldChar w:fldCharType="begin" w:dirty="true"/>
            <w:instrText xml:space="preserve">TOC \h \o "1-2"</w:instrText>
            <w:fldChar w:fldCharType="separate"/>
          </w:r>
        </w:p>
        <w:p>
          <w:r>
            <w:fldChar w:fldCharType="end"/>
          </w:r>
        </w:p>
      </w:sdtContent>
    </w:sdt>
    <w:p>
      <w:pPr>
        <w:pageBreakBefore/>
      </w:pPr>
    </w:p>
    <w:p>
      <w:pPr>
        <w:pStyle w:val="Heading1"/>
        <w:keepNext/>
        <w:spacing w:after="120" w:before="240"/>
        <w:ind w:firstLine="709"/>
      </w:pPr>
      <w:r>
        <w:rPr>
          <w:rFonts w:ascii="Times New Roman" w:cs="Times New Roman" w:eastAsia="Times New Roman" w:hAnsi="Times New Roman"/>
          <w:b/>
          <w:bCs/>
          <w:sz w:val="32"/>
          <w:szCs w:val="32"/>
        </w:rPr>
        <w:t xml:space="preserve">1 Область применения</w:t>
      </w:r>
    </w:p>
    <w:p>
      <w:pPr>
        <w:spacing w:after="60" w:line="276"/>
        <w:ind w:firstLine="709"/>
        <w:jc w:val="both"/>
      </w:pPr>
      <w:r>
        <w:rPr>
          <w:rFonts w:ascii="Times New Roman" w:cs="Times New Roman" w:eastAsia="Times New Roman" w:hAnsi="Times New Roman"/>
        </w:rPr>
        <w:t xml:space="preserve">Настоящая программа комплексных испытаний систем противопожарной защиты (далее – Программа) устанавливает объём, последовательность, методы и критерии оценки комплексных испытаний систем и средств противопожарной защиты (далее – СПЗ) объекта «Завод по производству, хранению, отгрузке смазочных материалов» филиала ООО «ЛЛК-Интернешнл» в с. Ворсино (Калужская область, Боровский район, Северная промышленная зона, с. Ворсино, владение 8).</w:t>
      </w:r>
    </w:p>
    <w:p>
      <w:pPr>
        <w:spacing w:after="60" w:line="276"/>
        <w:ind w:firstLine="709"/>
        <w:jc w:val="both"/>
      </w:pPr>
      <w:r>
        <w:rPr>
          <w:rFonts w:ascii="Times New Roman" w:cs="Times New Roman" w:eastAsia="Times New Roman" w:hAnsi="Times New Roman"/>
        </w:rPr>
        <w:t xml:space="preserve">Объект запроектирован и построен по специальным техническим условиям на проектирование и строительство в части обеспечения пожарной безопасности (далее – СТУ), разработанным в 2016 г. для ООО «ТОТАЛ ВОСТОК». Согласно п. 1.8.1 СТУ они являются обязательными на всех стадиях жизненного цикла объекта, включая эксплуатацию, а при расхождении с иными нормативными документами применяются требования СТУ (п. 1.8.5). Величина индивидуального пожарного риска определена при отступлениях от норм, перечисленных в п. 2.1.2 СТУ, и при условии выполнения компенсирующих мероприятий разделов 2 и 3 СТУ.</w:t>
      </w:r>
    </w:p>
    <w:p>
      <w:pPr>
        <w:keepNext/>
        <w:spacing w:after="60" w:line="276"/>
        <w:ind w:firstLine="709"/>
        <w:jc w:val="both"/>
      </w:pPr>
      <w:r>
        <w:rPr>
          <w:rFonts w:ascii="Times New Roman" w:cs="Times New Roman" w:eastAsia="Times New Roman" w:hAnsi="Times New Roman"/>
        </w:rPr>
        <w:t xml:space="preserve">Цели испытаний:</w:t>
      </w:r>
    </w:p>
    <w:p>
      <w:pPr>
        <w:pStyle w:val="ListParagraph"/>
        <w:numPr>
          <w:ilvl w:val="0"/>
          <w:numId w:val="2"/>
        </w:numPr>
        <w:spacing w:after="40" w:line="276"/>
        <w:jc w:val="both"/>
      </w:pPr>
      <w:r>
        <w:rPr>
          <w:rFonts w:ascii="Times New Roman" w:cs="Times New Roman" w:eastAsia="Times New Roman" w:hAnsi="Times New Roman"/>
        </w:rPr>
        <w:t xml:space="preserve">подтвердить работоспособность системы пожарной сигнализации (далее – СПС), системы оповещения и управления эвакуацией людей при пожаре (далее – СОУЭ), автоматических установок пожаротушения (далее – АУП), систем противодымной вентиляции, противопожарного водоснабжения и их взаимодействие по проектному алгоритму;</w:t>
      </w:r>
    </w:p>
    <w:p>
      <w:pPr>
        <w:pStyle w:val="ListParagraph"/>
        <w:numPr>
          <w:ilvl w:val="0"/>
          <w:numId w:val="2"/>
        </w:numPr>
        <w:spacing w:after="40" w:line="276"/>
        <w:jc w:val="both"/>
      </w:pPr>
      <w:r>
        <w:rPr>
          <w:rFonts w:ascii="Times New Roman" w:cs="Times New Roman" w:eastAsia="Times New Roman" w:hAnsi="Times New Roman"/>
        </w:rPr>
        <w:t xml:space="preserve">подтвердить фактическое выполнение каждого компенсирующего мероприятия СТУ измеримыми показателями с привязкой к пункту СТУ (матрица – приложение А);</w:t>
      </w:r>
    </w:p>
    <w:p>
      <w:pPr>
        <w:pStyle w:val="ListParagraph"/>
        <w:numPr>
          <w:ilvl w:val="0"/>
          <w:numId w:val="2"/>
        </w:numPr>
        <w:spacing w:after="40" w:line="276"/>
        <w:jc w:val="both"/>
      </w:pPr>
      <w:r>
        <w:rPr>
          <w:rFonts w:ascii="Times New Roman" w:cs="Times New Roman" w:eastAsia="Times New Roman" w:hAnsi="Times New Roman"/>
        </w:rPr>
        <w:t xml:space="preserve">выявить отклонения, оформить ведомость дефектов и повторно проверить устранённые отклонения;</w:t>
      </w:r>
    </w:p>
    <w:p>
      <w:pPr>
        <w:pStyle w:val="ListParagraph"/>
        <w:numPr>
          <w:ilvl w:val="0"/>
          <w:numId w:val="2"/>
        </w:numPr>
        <w:spacing w:after="40" w:line="276"/>
        <w:jc w:val="both"/>
      </w:pPr>
      <w:r>
        <w:rPr>
          <w:rFonts w:ascii="Times New Roman" w:cs="Times New Roman" w:eastAsia="Times New Roman" w:hAnsi="Times New Roman"/>
        </w:rPr>
        <w:t xml:space="preserve">оформить результаты испытаний (акты, протоколы, результаты измерений, фотоматериалы), подтверждающие соответствие объекта требованиям СТУ.</w:t>
      </w:r>
    </w:p>
    <w:p>
      <w:pPr>
        <w:spacing w:after="60" w:line="276"/>
        <w:ind w:firstLine="709"/>
        <w:jc w:val="both"/>
      </w:pPr>
      <w:r>
        <w:rPr>
          <w:rFonts w:ascii="Times New Roman" w:cs="Times New Roman" w:eastAsia="Times New Roman" w:hAnsi="Times New Roman"/>
        </w:rPr>
        <w:t xml:space="preserve">Вид испытаний: комплексные испытания на работоспособность в процессе эксплуатации, выполняемые на основании утверждённой проектной, исполнительной и эксплуатационной документации, СТУ и в соответствии с п. 54 Правил противопожарного режима в Российской Федерации.</w:t>
      </w:r>
    </w:p>
    <w:p>
      <w:pPr>
        <w:spacing w:after="60" w:line="276"/>
        <w:ind w:firstLine="709"/>
        <w:jc w:val="both"/>
      </w:pPr>
      <w:r>
        <w:rPr>
          <w:rFonts w:ascii="Times New Roman" w:cs="Times New Roman" w:eastAsia="Times New Roman" w:hAnsi="Times New Roman"/>
        </w:rPr>
        <w:t xml:space="preserve">Автономные испытания АУП, противодымной вентиляции и противопожарного водоснабжения выполняют специалисты организаций, обслуживающих соответствующие системы, по профильным стандартам и утверждённой исполнительной документации. Подачу огнетушащего вещества, пены или воды на резервуары и гидравлические испытания трубопроводов выполняют по методикам разделов 10, 11 и 13 Программы с соблюдением мер безопасности подраздела 6.3.</w:t>
      </w:r>
    </w:p>
    <w:p>
      <w:pPr>
        <w:spacing w:after="60" w:line="276"/>
        <w:ind w:firstLine="709"/>
        <w:jc w:val="both"/>
      </w:pPr>
      <w:r>
        <w:rPr>
          <w:rFonts w:ascii="Times New Roman" w:cs="Times New Roman" w:eastAsia="Times New Roman" w:hAnsi="Times New Roman"/>
        </w:rPr>
        <w:t xml:space="preserve">Данные, не известные на дату разработки Программы, выделены в тексте квадратными скобками. В скобках указаны вносимая величина и документ, из которого её принимают. Данные вносят до начала испытаний по исходным данным, перечисленным в приложении И; при отсутствии документа-источника проверку выполняют в порядке, установленном подразделом 4.1.</w:t>
      </w:r>
    </w:p>
    <w:p>
      <w:pPr>
        <w:pStyle w:val="Heading1"/>
        <w:keepNext/>
        <w:spacing w:after="120" w:before="240"/>
        <w:ind w:firstLine="709"/>
      </w:pPr>
      <w:r>
        <w:rPr>
          <w:rFonts w:ascii="Times New Roman" w:cs="Times New Roman" w:eastAsia="Times New Roman" w:hAnsi="Times New Roman"/>
          <w:b/>
          <w:bCs/>
          <w:sz w:val="32"/>
          <w:szCs w:val="32"/>
        </w:rPr>
        <w:t xml:space="preserve">2 Нормативные ссылки</w:t>
      </w:r>
    </w:p>
    <w:p>
      <w:pPr>
        <w:keepNext/>
        <w:spacing w:after="60" w:line="276"/>
        <w:ind w:firstLine="709"/>
        <w:jc w:val="both"/>
      </w:pPr>
      <w:r>
        <w:rPr>
          <w:rFonts w:ascii="Times New Roman" w:cs="Times New Roman" w:eastAsia="Times New Roman" w:hAnsi="Times New Roman"/>
        </w:rPr>
        <w:t xml:space="preserve">В настоящей Программе использованы ссылки на следующие документы:</w:t>
      </w:r>
    </w:p>
    <w:p>
      <w:pPr>
        <w:pStyle w:val="ListParagraph"/>
        <w:numPr>
          <w:ilvl w:val="0"/>
          <w:numId w:val="2"/>
        </w:numPr>
        <w:spacing w:after="40" w:line="276"/>
        <w:jc w:val="both"/>
      </w:pPr>
      <w:r>
        <w:rPr>
          <w:rFonts w:ascii="Times New Roman" w:cs="Times New Roman" w:eastAsia="Times New Roman" w:hAnsi="Times New Roman"/>
        </w:rPr>
        <w:t xml:space="preserve">Федеральный закон от 26.06.2008 № 102-ФЗ «Об обеспечении единства измерений»;</w:t>
      </w:r>
    </w:p>
    <w:p>
      <w:pPr>
        <w:pStyle w:val="ListParagraph"/>
        <w:numPr>
          <w:ilvl w:val="0"/>
          <w:numId w:val="2"/>
        </w:numPr>
        <w:spacing w:after="40" w:line="276"/>
        <w:jc w:val="both"/>
      </w:pPr>
      <w:r>
        <w:rPr>
          <w:rFonts w:ascii="Times New Roman" w:cs="Times New Roman" w:eastAsia="Times New Roman" w:hAnsi="Times New Roman"/>
        </w:rPr>
        <w:t xml:space="preserve">Федеральный закон от 22.07.2008 № 123-ФЗ «Технический регламент о требованиях пожарной безопасности»;</w:t>
      </w:r>
    </w:p>
    <w:p>
      <w:pPr>
        <w:pStyle w:val="ListParagraph"/>
        <w:numPr>
          <w:ilvl w:val="0"/>
          <w:numId w:val="2"/>
        </w:numPr>
        <w:spacing w:after="40" w:line="276"/>
        <w:jc w:val="both"/>
      </w:pPr>
      <w:r>
        <w:rPr>
          <w:rFonts w:ascii="Times New Roman" w:cs="Times New Roman" w:eastAsia="Times New Roman" w:hAnsi="Times New Roman"/>
        </w:rPr>
        <w:t xml:space="preserve">Правила противопожарного режима в Российской Федерации, утверждённые постановлением Правительства Российской Федерации от 16.09.2020 № 1479 (далее – ППР);</w:t>
      </w:r>
    </w:p>
    <w:p>
      <w:pPr>
        <w:pStyle w:val="ListParagraph"/>
        <w:numPr>
          <w:ilvl w:val="0"/>
          <w:numId w:val="2"/>
        </w:numPr>
        <w:spacing w:after="40" w:line="276"/>
        <w:jc w:val="both"/>
      </w:pPr>
      <w:r>
        <w:rPr>
          <w:rFonts w:ascii="Times New Roman" w:cs="Times New Roman" w:eastAsia="Times New Roman" w:hAnsi="Times New Roman"/>
        </w:rPr>
        <w:t xml:space="preserve">Специальные технические условия на проектирование и строительство, в части обеспечения пожарной безопасности, объекта: Завод по производству, хранению, отгрузке смазочных материалов, расположенный на территории индустриального парка «Ворсино», Калужская область, Боровский район, с. Ворсино, участок площадью 7 га (разработчик – ООО «СК Саламандра», 2016 г.), утверждённые генеральным директором ООО «ТОТАЛ ВОСТОК», согласованные Министерством строительства и жилищно-коммунального хозяйства Российской Федерации 12.08.2016 № 23156-ес/03 и письмом УНД ГУ МЧС России по Калужской области от 28.03.2016 № 127-3-2-2;</w:t>
      </w:r>
    </w:p>
    <w:p>
      <w:pPr>
        <w:pStyle w:val="ListParagraph"/>
        <w:numPr>
          <w:ilvl w:val="0"/>
          <w:numId w:val="2"/>
        </w:numPr>
        <w:spacing w:after="40" w:line="276"/>
        <w:jc w:val="both"/>
      </w:pPr>
      <w:r>
        <w:rPr>
          <w:rFonts w:ascii="Times New Roman" w:cs="Times New Roman" w:eastAsia="Times New Roman" w:hAnsi="Times New Roman"/>
        </w:rPr>
        <w:t xml:space="preserve">ГОСТ Р 50588-2012 Пенообразователи для тушения пожаров. Общие технические требования и методы испытаний;</w:t>
      </w:r>
    </w:p>
    <w:p>
      <w:pPr>
        <w:pStyle w:val="ListParagraph"/>
        <w:numPr>
          <w:ilvl w:val="0"/>
          <w:numId w:val="2"/>
        </w:numPr>
        <w:spacing w:after="40" w:line="276"/>
        <w:jc w:val="both"/>
      </w:pPr>
      <w:r>
        <w:rPr>
          <w:rFonts w:ascii="Times New Roman" w:cs="Times New Roman" w:eastAsia="Times New Roman" w:hAnsi="Times New Roman"/>
        </w:rPr>
        <w:t xml:space="preserve">ГОСТ Р 53279-2009 Техника пожарная. Головки соединительные пожарные. Общие технические требования. Методы испытаний;</w:t>
      </w:r>
    </w:p>
    <w:p>
      <w:pPr>
        <w:pStyle w:val="ListParagraph"/>
        <w:numPr>
          <w:ilvl w:val="0"/>
          <w:numId w:val="2"/>
        </w:numPr>
        <w:spacing w:after="40" w:line="276"/>
        <w:jc w:val="both"/>
      </w:pPr>
      <w:r>
        <w:rPr>
          <w:rFonts w:ascii="Times New Roman" w:cs="Times New Roman" w:eastAsia="Times New Roman" w:hAnsi="Times New Roman"/>
        </w:rPr>
        <w:t xml:space="preserve">ГОСТ Р 53295-2009 Средства огнезащиты для стальных конструкций. Общие требования. Метод определения огнезащитной эффективности;</w:t>
      </w:r>
    </w:p>
    <w:p>
      <w:pPr>
        <w:pStyle w:val="ListParagraph"/>
        <w:numPr>
          <w:ilvl w:val="0"/>
          <w:numId w:val="2"/>
        </w:numPr>
        <w:spacing w:after="40" w:line="276"/>
        <w:jc w:val="both"/>
      </w:pPr>
      <w:r>
        <w:rPr>
          <w:rFonts w:ascii="Times New Roman" w:cs="Times New Roman" w:eastAsia="Times New Roman" w:hAnsi="Times New Roman"/>
        </w:rPr>
        <w:t xml:space="preserve">ГОСТ Р 53300-2009 Противодымная защита зданий и сооружений. Методы приёмо-сдаточных и периодических испытаний;</w:t>
      </w:r>
    </w:p>
    <w:p>
      <w:pPr>
        <w:pStyle w:val="ListParagraph"/>
        <w:numPr>
          <w:ilvl w:val="0"/>
          <w:numId w:val="2"/>
        </w:numPr>
        <w:spacing w:after="40" w:line="276"/>
        <w:jc w:val="both"/>
      </w:pPr>
      <w:r>
        <w:rPr>
          <w:rFonts w:ascii="Times New Roman" w:cs="Times New Roman" w:eastAsia="Times New Roman" w:hAnsi="Times New Roman"/>
        </w:rPr>
        <w:t xml:space="preserve">ГОСТ Р 53324-2009 Ограждения резервуаров. Требования пожарной безопасности;</w:t>
      </w:r>
    </w:p>
    <w:p>
      <w:pPr>
        <w:pStyle w:val="ListParagraph"/>
        <w:numPr>
          <w:ilvl w:val="0"/>
          <w:numId w:val="2"/>
        </w:numPr>
        <w:spacing w:after="40" w:line="276"/>
        <w:jc w:val="both"/>
      </w:pPr>
      <w:r>
        <w:rPr>
          <w:rFonts w:ascii="Times New Roman" w:cs="Times New Roman" w:eastAsia="Times New Roman" w:hAnsi="Times New Roman"/>
        </w:rPr>
        <w:t xml:space="preserve">ГОСТ Р 59636-2021 Установки пожаротушения автоматические. Руководство по проектированию, монтажу, техническому обслуживанию и ремонту. Методы испытаний на работоспособность;</w:t>
      </w:r>
    </w:p>
    <w:p>
      <w:pPr>
        <w:pStyle w:val="ListParagraph"/>
        <w:numPr>
          <w:ilvl w:val="0"/>
          <w:numId w:val="2"/>
        </w:numPr>
        <w:spacing w:after="40" w:line="276"/>
        <w:jc w:val="both"/>
      </w:pPr>
      <w:r>
        <w:rPr>
          <w:rFonts w:ascii="Times New Roman" w:cs="Times New Roman" w:eastAsia="Times New Roman" w:hAnsi="Times New Roman"/>
        </w:rPr>
        <w:t xml:space="preserve">ГОСТ Р 59637-2021 Средства противопожарной защиты зданий и сооружений. Средства огнезащиты. Методы контроля качества огнезащитных работ при монтаже (нанесении), техническом обслуживании и ремонте (с Изменением № 1);</w:t>
      </w:r>
    </w:p>
    <w:p>
      <w:pPr>
        <w:pStyle w:val="ListParagraph"/>
        <w:numPr>
          <w:ilvl w:val="0"/>
          <w:numId w:val="2"/>
        </w:numPr>
        <w:spacing w:after="40" w:line="276"/>
        <w:jc w:val="both"/>
      </w:pPr>
      <w:r>
        <w:rPr>
          <w:rFonts w:ascii="Times New Roman" w:cs="Times New Roman" w:eastAsia="Times New Roman" w:hAnsi="Times New Roman"/>
        </w:rPr>
        <w:t xml:space="preserve">ГОСТ Р 59638-2021 Системы пожарной сигнализации. Руководство по проектированию, монтажу, техническому обслуживанию и ремонту. Методы испытаний на работоспособность (с Изменением № 1, введённым с 01.12.2024);</w:t>
      </w:r>
    </w:p>
    <w:p>
      <w:pPr>
        <w:pStyle w:val="ListParagraph"/>
        <w:numPr>
          <w:ilvl w:val="0"/>
          <w:numId w:val="2"/>
        </w:numPr>
        <w:spacing w:after="40" w:line="276"/>
        <w:jc w:val="both"/>
      </w:pPr>
      <w:r>
        <w:rPr>
          <w:rFonts w:ascii="Times New Roman" w:cs="Times New Roman" w:eastAsia="Times New Roman" w:hAnsi="Times New Roman"/>
        </w:rPr>
        <w:t xml:space="preserve">ГОСТ Р 59639-2021 Системы оповещения и управления эвакуацией людей при пожаре. Руководство по проектированию, монтажу, техническому обслуживанию и ремонту. Методы испытаний на работоспособность (с Изменением № 1);</w:t>
      </w:r>
    </w:p>
    <w:p>
      <w:pPr>
        <w:pStyle w:val="ListParagraph"/>
        <w:numPr>
          <w:ilvl w:val="0"/>
          <w:numId w:val="2"/>
        </w:numPr>
        <w:spacing w:after="40" w:line="276"/>
        <w:jc w:val="both"/>
      </w:pPr>
      <w:r>
        <w:rPr>
          <w:rFonts w:ascii="Times New Roman" w:cs="Times New Roman" w:eastAsia="Times New Roman" w:hAnsi="Times New Roman"/>
        </w:rPr>
        <w:t xml:space="preserve">ГОСТ Р 59643-2021 Внутреннее противопожарное водоснабжение. Руководство по проектированию, монтажу, техническому обслуживанию и ремонту. Методы испытаний на работоспособность;</w:t>
      </w:r>
    </w:p>
    <w:p>
      <w:pPr>
        <w:pStyle w:val="ListParagraph"/>
        <w:numPr>
          <w:ilvl w:val="0"/>
          <w:numId w:val="2"/>
        </w:numPr>
        <w:spacing w:after="40" w:line="276"/>
        <w:jc w:val="both"/>
      </w:pPr>
      <w:r>
        <w:rPr>
          <w:rFonts w:ascii="Times New Roman" w:cs="Times New Roman" w:eastAsia="Times New Roman" w:hAnsi="Times New Roman"/>
        </w:rPr>
        <w:t xml:space="preserve">СП 3.13130 Системы противопожарной защиты. Система оповещения и управления эвакуацией людей при пожаре. Требования пожарной безопасности (утверждён приказом МЧС России от 26.02.2026 № 133, введён с 01.06.2026 взамен СП 3.13130.2009);</w:t>
      </w:r>
    </w:p>
    <w:p>
      <w:pPr>
        <w:pStyle w:val="ListParagraph"/>
        <w:numPr>
          <w:ilvl w:val="0"/>
          <w:numId w:val="2"/>
        </w:numPr>
        <w:spacing w:after="40" w:line="276"/>
        <w:jc w:val="both"/>
      </w:pPr>
      <w:r>
        <w:rPr>
          <w:rFonts w:ascii="Times New Roman" w:cs="Times New Roman" w:eastAsia="Times New Roman" w:hAnsi="Times New Roman"/>
        </w:rPr>
        <w:t xml:space="preserve">СП 4.13130.2013 Системы противопожарной защиты. Ограничение распространения пожара на объектах защиты. Требования к объёмно-планировочным и конструктивным решениям;</w:t>
      </w:r>
    </w:p>
    <w:p>
      <w:pPr>
        <w:pStyle w:val="ListParagraph"/>
        <w:numPr>
          <w:ilvl w:val="0"/>
          <w:numId w:val="2"/>
        </w:numPr>
        <w:spacing w:after="40" w:line="276"/>
        <w:jc w:val="both"/>
      </w:pPr>
      <w:r>
        <w:rPr>
          <w:rFonts w:ascii="Times New Roman" w:cs="Times New Roman" w:eastAsia="Times New Roman" w:hAnsi="Times New Roman"/>
        </w:rPr>
        <w:t xml:space="preserve">СП 7.13130.2013 Отопление, вентиляция и кондиционирование. Требования пожарной безопасности (с Изменениями № 1–3);</w:t>
      </w:r>
    </w:p>
    <w:p>
      <w:pPr>
        <w:pStyle w:val="ListParagraph"/>
        <w:numPr>
          <w:ilvl w:val="0"/>
          <w:numId w:val="2"/>
        </w:numPr>
        <w:spacing w:after="40" w:line="276"/>
        <w:jc w:val="both"/>
      </w:pPr>
      <w:r>
        <w:rPr>
          <w:rFonts w:ascii="Times New Roman" w:cs="Times New Roman" w:eastAsia="Times New Roman" w:hAnsi="Times New Roman"/>
        </w:rPr>
        <w:t xml:space="preserve">СП 8.13130.2020 Системы противопожарной защиты. Наружное противопожарное водоснабжение. Требования пожарной безопасности;</w:t>
      </w:r>
    </w:p>
    <w:p>
      <w:pPr>
        <w:pStyle w:val="ListParagraph"/>
        <w:numPr>
          <w:ilvl w:val="0"/>
          <w:numId w:val="2"/>
        </w:numPr>
        <w:spacing w:after="40" w:line="276"/>
        <w:jc w:val="both"/>
      </w:pPr>
      <w:r>
        <w:rPr>
          <w:rFonts w:ascii="Times New Roman" w:cs="Times New Roman" w:eastAsia="Times New Roman" w:hAnsi="Times New Roman"/>
        </w:rPr>
        <w:t xml:space="preserve">СП 10.13130.2020 Системы противопожарной защиты. Внутренний противопожарный водопровод. Нормы и правила проектирования;</w:t>
      </w:r>
    </w:p>
    <w:p>
      <w:pPr>
        <w:pStyle w:val="ListParagraph"/>
        <w:numPr>
          <w:ilvl w:val="0"/>
          <w:numId w:val="2"/>
        </w:numPr>
        <w:spacing w:after="40" w:line="276"/>
        <w:jc w:val="both"/>
      </w:pPr>
      <w:r>
        <w:rPr>
          <w:rFonts w:ascii="Times New Roman" w:cs="Times New Roman" w:eastAsia="Times New Roman" w:hAnsi="Times New Roman"/>
        </w:rPr>
        <w:t xml:space="preserve">СП 155.13130.2014 Склады нефти и нефтепродуктов. Требования пожарной безопасности (с Изменениями № 1, 2);</w:t>
      </w:r>
    </w:p>
    <w:p>
      <w:pPr>
        <w:pStyle w:val="ListParagraph"/>
        <w:numPr>
          <w:ilvl w:val="0"/>
          <w:numId w:val="2"/>
        </w:numPr>
        <w:spacing w:after="40" w:line="276"/>
        <w:jc w:val="both"/>
      </w:pPr>
      <w:r>
        <w:rPr>
          <w:rFonts w:ascii="Times New Roman" w:cs="Times New Roman" w:eastAsia="Times New Roman" w:hAnsi="Times New Roman"/>
        </w:rPr>
        <w:t xml:space="preserve">СП 432.1325800.2019 Покрытия огнезащитные. Мониторинг технического состояния;</w:t>
      </w:r>
    </w:p>
    <w:p>
      <w:pPr>
        <w:pStyle w:val="ListParagraph"/>
        <w:numPr>
          <w:ilvl w:val="0"/>
          <w:numId w:val="2"/>
        </w:numPr>
        <w:spacing w:after="40" w:line="276"/>
        <w:jc w:val="both"/>
      </w:pPr>
      <w:r>
        <w:rPr>
          <w:rFonts w:ascii="Times New Roman" w:cs="Times New Roman" w:eastAsia="Times New Roman" w:hAnsi="Times New Roman"/>
        </w:rPr>
        <w:t xml:space="preserve">СП 433.1325800.2019 Огнезащита стальных конструкций. Правила производства работ;</w:t>
      </w:r>
    </w:p>
    <w:p>
      <w:pPr>
        <w:pStyle w:val="ListParagraph"/>
        <w:numPr>
          <w:ilvl w:val="0"/>
          <w:numId w:val="2"/>
        </w:numPr>
        <w:spacing w:after="40" w:line="276"/>
        <w:jc w:val="both"/>
      </w:pPr>
      <w:r>
        <w:rPr>
          <w:rFonts w:ascii="Times New Roman" w:cs="Times New Roman" w:eastAsia="Times New Roman" w:hAnsi="Times New Roman"/>
        </w:rPr>
        <w:t xml:space="preserve">СП 484.1311500.2020 Системы противопожарной защиты. Системы пожарной сигнализации и автоматизация систем противопожарной защиты. Нормы и правила проектирования;</w:t>
      </w:r>
    </w:p>
    <w:p>
      <w:pPr>
        <w:pStyle w:val="ListParagraph"/>
        <w:numPr>
          <w:ilvl w:val="0"/>
          <w:numId w:val="2"/>
        </w:numPr>
        <w:spacing w:after="40" w:line="276"/>
        <w:jc w:val="both"/>
      </w:pPr>
      <w:r>
        <w:rPr>
          <w:rFonts w:ascii="Times New Roman" w:cs="Times New Roman" w:eastAsia="Times New Roman" w:hAnsi="Times New Roman"/>
        </w:rPr>
        <w:t xml:space="preserve">СП 485.1311500.2020 Системы противопожарной защиты. Установки пожаротушения автоматические. Нормы и правила проектирования.</w:t>
      </w:r>
    </w:p>
    <w:p>
      <w:pPr>
        <w:spacing w:after="80"/>
        <w:ind w:firstLine="709"/>
        <w:jc w:val="both"/>
      </w:pPr>
      <w:r>
        <w:rPr>
          <w:rFonts w:ascii="Times New Roman" w:cs="Times New Roman" w:eastAsia="Times New Roman" w:hAnsi="Times New Roman"/>
          <w:sz w:val="24"/>
          <w:szCs w:val="24"/>
        </w:rPr>
        <w:t xml:space="preserve">Примечания</w:t>
      </w:r>
    </w:p>
    <w:p>
      <w:pPr>
        <w:spacing w:after="80"/>
        <w:ind w:firstLine="709"/>
        <w:jc w:val="both"/>
      </w:pPr>
      <w:r>
        <w:rPr>
          <w:rFonts w:ascii="Times New Roman" w:cs="Times New Roman" w:eastAsia="Times New Roman" w:hAnsi="Times New Roman"/>
          <w:sz w:val="24"/>
          <w:szCs w:val="24"/>
        </w:rPr>
        <w:t xml:space="preserve">1 Нормативные документы применяются в редакциях, действующих на дату испытаний. Требования к проектным решениям объекта, введённого в эксплуатацию ранее, оцениваются по документам, действовавшим на дату проектирования, и по СТУ (ч. 4 ст. 4 Федерального закона № 123-ФЗ); методы испытаний применяются по действующим стандартам.</w:t>
      </w:r>
    </w:p>
    <w:p>
      <w:pPr>
        <w:spacing w:after="80"/>
        <w:ind w:firstLine="709"/>
        <w:jc w:val="both"/>
      </w:pPr>
      <w:r>
        <w:rPr>
          <w:rFonts w:ascii="Times New Roman" w:cs="Times New Roman" w:eastAsia="Times New Roman" w:hAnsi="Times New Roman"/>
          <w:sz w:val="24"/>
          <w:szCs w:val="24"/>
        </w:rPr>
        <w:t xml:space="preserve">2 СТУ ссылаются на СП 5.13130.2009 (заменён с 01.03.2021 сводами правил СП 484.1311500.2020, СП 485.1311500.2020, СП 486.1311500.2020) и СП 3.13130.2009 (заменён с 01.06.2026). Параметры, прямо установленные СТУ, проверяются по СТУ.</w:t>
      </w:r>
    </w:p>
    <w:p>
      <w:pPr>
        <w:spacing w:after="80"/>
        <w:ind w:firstLine="709"/>
        <w:jc w:val="both"/>
      </w:pPr>
      <w:r>
        <w:rPr>
          <w:rFonts w:ascii="Times New Roman" w:cs="Times New Roman" w:eastAsia="Times New Roman" w:hAnsi="Times New Roman"/>
          <w:sz w:val="24"/>
          <w:szCs w:val="24"/>
        </w:rPr>
        <w:t xml:space="preserve">3 Срок действия ППР установлен до 31.12.2026. При проведении испытаний после этой даты ссылки на ППР подлежат актуализации.</w:t>
      </w:r>
    </w:p>
    <w:p>
      <w:pPr>
        <w:pStyle w:val="Heading1"/>
        <w:keepNext/>
        <w:spacing w:after="120" w:before="240"/>
        <w:ind w:firstLine="709"/>
      </w:pPr>
      <w:r>
        <w:rPr>
          <w:rFonts w:ascii="Times New Roman" w:cs="Times New Roman" w:eastAsia="Times New Roman" w:hAnsi="Times New Roman"/>
          <w:b/>
          <w:bCs/>
          <w:sz w:val="32"/>
          <w:szCs w:val="32"/>
        </w:rPr>
        <w:t xml:space="preserve">3 Сокращения</w:t>
      </w:r>
    </w:p>
    <w:p>
      <w:pPr>
        <w:keepNext/>
        <w:spacing w:after="60" w:line="276"/>
        <w:ind w:firstLine="709"/>
        <w:jc w:val="both"/>
      </w:pPr>
      <w:r>
        <w:rPr>
          <w:rFonts w:ascii="Times New Roman" w:cs="Times New Roman" w:eastAsia="Times New Roman" w:hAnsi="Times New Roman"/>
        </w:rPr>
        <w:t xml:space="preserve">В настоящей Программе применены термины по Федеральному закону № 123-ФЗ, ГОСТ Р 59636-2021, ГОСТ Р 59638-2021, а также следующие сокращения:</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1900"/>
        <w:gridCol w:w="7454"/>
      </w:tblGrid>
      <w:tr>
        <w:trPr>
          <w:cantSplit/>
        </w:trPr>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АБК</w:t>
            </w:r>
          </w:p>
        </w:tc>
        <w:tc>
          <w:tcPr>
            <w:tcW w:type="dxa" w:w="74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административно-бытовой корпус</w:t>
            </w:r>
          </w:p>
        </w:tc>
      </w:tr>
      <w:tr>
        <w:trPr>
          <w:cantSplit/>
        </w:trPr>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АРМ</w:t>
            </w:r>
          </w:p>
        </w:tc>
        <w:tc>
          <w:tcPr>
            <w:tcW w:type="dxa" w:w="74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автоматизированное рабочее место</w:t>
            </w:r>
          </w:p>
        </w:tc>
      </w:tr>
      <w:tr>
        <w:trPr>
          <w:cantSplit/>
        </w:trPr>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АУП</w:t>
            </w:r>
          </w:p>
        </w:tc>
        <w:tc>
          <w:tcPr>
            <w:tcW w:type="dxa" w:w="74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автоматическая установка пожаротушения</w:t>
            </w:r>
          </w:p>
        </w:tc>
      </w:tr>
      <w:tr>
        <w:trPr>
          <w:cantSplit/>
        </w:trPr>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БКИ</w:t>
            </w:r>
          </w:p>
        </w:tc>
        <w:tc>
          <w:tcPr>
            <w:tcW w:type="dxa" w:w="74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блок контроля и индикации</w:t>
            </w:r>
          </w:p>
        </w:tc>
      </w:tr>
      <w:tr>
        <w:trPr>
          <w:cantSplit/>
        </w:trPr>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ВПВ</w:t>
            </w:r>
          </w:p>
        </w:tc>
        <w:tc>
          <w:tcPr>
            <w:tcW w:type="dxa" w:w="74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внутренний противопожарный водопровод</w:t>
            </w:r>
          </w:p>
        </w:tc>
      </w:tr>
      <w:tr>
        <w:trPr>
          <w:cantSplit/>
        </w:trPr>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ГЖ</w:t>
            </w:r>
          </w:p>
        </w:tc>
        <w:tc>
          <w:tcPr>
            <w:tcW w:type="dxa" w:w="74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горючая жидкость</w:t>
            </w:r>
          </w:p>
        </w:tc>
      </w:tr>
      <w:tr>
        <w:trPr>
          <w:cantSplit/>
        </w:trPr>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ГПС</w:t>
            </w:r>
          </w:p>
        </w:tc>
        <w:tc>
          <w:tcPr>
            <w:tcW w:type="dxa" w:w="74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генератор пены</w:t>
            </w:r>
          </w:p>
        </w:tc>
      </w:tr>
      <w:tr>
        <w:trPr>
          <w:cantSplit/>
        </w:trPr>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ЗКСПС</w:t>
            </w:r>
          </w:p>
        </w:tc>
        <w:tc>
          <w:tcPr>
            <w:tcW w:type="dxa" w:w="74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зона контроля пожарной сигнализации</w:t>
            </w:r>
          </w:p>
        </w:tc>
      </w:tr>
      <w:tr>
        <w:trPr>
          <w:cantSplit/>
        </w:trPr>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ИП</w:t>
            </w:r>
          </w:p>
        </w:tc>
        <w:tc>
          <w:tcPr>
            <w:tcW w:type="dxa" w:w="74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извещатель пожарный</w:t>
            </w:r>
          </w:p>
        </w:tc>
      </w:tr>
      <w:tr>
        <w:trPr>
          <w:cantSplit/>
        </w:trPr>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ИПР</w:t>
            </w:r>
          </w:p>
        </w:tc>
        <w:tc>
          <w:tcPr>
            <w:tcW w:type="dxa" w:w="74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извещатель пожарный ручной</w:t>
            </w:r>
          </w:p>
        </w:tc>
      </w:tr>
      <w:tr>
        <w:trPr>
          <w:cantSplit/>
        </w:trPr>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МОПБ</w:t>
            </w:r>
          </w:p>
        </w:tc>
        <w:tc>
          <w:tcPr>
            <w:tcW w:type="dxa" w:w="74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раздел проектной документации «Мероприятия по обеспечению пожарной безопасности»</w:t>
            </w:r>
          </w:p>
        </w:tc>
      </w:tr>
      <w:tr>
        <w:trPr>
          <w:cantSplit/>
        </w:trPr>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НПВ</w:t>
            </w:r>
          </w:p>
        </w:tc>
        <w:tc>
          <w:tcPr>
            <w:tcW w:type="dxa" w:w="74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наружное противопожарное водоснабжение</w:t>
            </w:r>
          </w:p>
        </w:tc>
      </w:tr>
      <w:tr>
        <w:trPr>
          <w:cantSplit/>
        </w:trPr>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ОТВ</w:t>
            </w:r>
          </w:p>
        </w:tc>
        <w:tc>
          <w:tcPr>
            <w:tcW w:type="dxa" w:w="74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огнетушащее вещество</w:t>
            </w:r>
          </w:p>
        </w:tc>
      </w:tr>
      <w:tr>
        <w:trPr>
          <w:cantSplit/>
        </w:trPr>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ПА</w:t>
            </w:r>
          </w:p>
        </w:tc>
        <w:tc>
          <w:tcPr>
            <w:tcW w:type="dxa" w:w="74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пожарный автомобиль</w:t>
            </w:r>
          </w:p>
        </w:tc>
      </w:tr>
      <w:tr>
        <w:trPr>
          <w:cantSplit/>
        </w:trPr>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ПК</w:t>
            </w:r>
          </w:p>
        </w:tc>
        <w:tc>
          <w:tcPr>
            <w:tcW w:type="dxa" w:w="74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пожарный кран</w:t>
            </w:r>
          </w:p>
        </w:tc>
      </w:tr>
      <w:tr>
        <w:trPr>
          <w:cantSplit/>
        </w:trPr>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ППКП</w:t>
            </w:r>
          </w:p>
        </w:tc>
        <w:tc>
          <w:tcPr>
            <w:tcW w:type="dxa" w:w="74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прибор приёмно-контрольный пожарный</w:t>
            </w:r>
          </w:p>
        </w:tc>
      </w:tr>
      <w:tr>
        <w:trPr>
          <w:cantSplit/>
        </w:trPr>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ППР</w:t>
            </w:r>
          </w:p>
        </w:tc>
        <w:tc>
          <w:tcPr>
            <w:tcW w:type="dxa" w:w="74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Правила противопожарного режима в Российской Федерации</w:t>
            </w:r>
          </w:p>
        </w:tc>
      </w:tr>
      <w:tr>
        <w:trPr>
          <w:cantSplit/>
        </w:trPr>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ПСК</w:t>
            </w:r>
          </w:p>
        </w:tc>
        <w:tc>
          <w:tcPr>
            <w:tcW w:type="dxa" w:w="74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производственно-складской корпус</w:t>
            </w:r>
          </w:p>
        </w:tc>
      </w:tr>
      <w:tr>
        <w:trPr>
          <w:cantSplit/>
        </w:trPr>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РВС</w:t>
            </w:r>
          </w:p>
        </w:tc>
        <w:tc>
          <w:tcPr>
            <w:tcW w:type="dxa" w:w="74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резервуар вертикальный стальной</w:t>
            </w:r>
          </w:p>
        </w:tc>
      </w:tr>
      <w:tr>
        <w:trPr>
          <w:cantSplit/>
        </w:trPr>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СИ</w:t>
            </w:r>
          </w:p>
        </w:tc>
        <w:tc>
          <w:tcPr>
            <w:tcW w:type="dxa" w:w="74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средство измерений</w:t>
            </w:r>
          </w:p>
        </w:tc>
      </w:tr>
      <w:tr>
        <w:trPr>
          <w:cantSplit/>
        </w:trPr>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СОУЭ</w:t>
            </w:r>
          </w:p>
        </w:tc>
        <w:tc>
          <w:tcPr>
            <w:tcW w:type="dxa" w:w="74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система оповещения и управления эвакуацией людей при пожаре</w:t>
            </w:r>
          </w:p>
        </w:tc>
      </w:tr>
      <w:tr>
        <w:trPr>
          <w:cantSplit/>
        </w:trPr>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СПЗ</w:t>
            </w:r>
          </w:p>
        </w:tc>
        <w:tc>
          <w:tcPr>
            <w:tcW w:type="dxa" w:w="74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системы и средства противопожарной защиты</w:t>
            </w:r>
          </w:p>
        </w:tc>
      </w:tr>
      <w:tr>
        <w:trPr>
          <w:cantSplit/>
        </w:trPr>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СПС</w:t>
            </w:r>
          </w:p>
        </w:tc>
        <w:tc>
          <w:tcPr>
            <w:tcW w:type="dxa" w:w="74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система пожарной сигнализации</w:t>
            </w:r>
          </w:p>
        </w:tc>
      </w:tr>
      <w:tr>
        <w:trPr>
          <w:cantSplit/>
        </w:trPr>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СТУ</w:t>
            </w:r>
          </w:p>
        </w:tc>
        <w:tc>
          <w:tcPr>
            <w:tcW w:type="dxa" w:w="74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специальные технические условия (см. раздел 2)</w:t>
            </w:r>
          </w:p>
        </w:tc>
      </w:tr>
      <w:tr>
        <w:trPr>
          <w:cantSplit/>
        </w:trPr>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ТД</w:t>
            </w:r>
          </w:p>
        </w:tc>
        <w:tc>
          <w:tcPr>
            <w:tcW w:type="dxa" w:w="74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техническая документация изготовителя</w:t>
            </w:r>
          </w:p>
        </w:tc>
      </w:tr>
      <w:tr>
        <w:trPr>
          <w:cantSplit/>
        </w:trPr>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ТЗ</w:t>
            </w:r>
          </w:p>
        </w:tc>
        <w:tc>
          <w:tcPr>
            <w:tcW w:type="dxa" w:w="74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техническое задание</w:t>
            </w:r>
          </w:p>
        </w:tc>
      </w:tr>
      <w:tr>
        <w:trPr>
          <w:cantSplit/>
        </w:trPr>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ШУПН</w:t>
            </w:r>
          </w:p>
        </w:tc>
        <w:tc>
          <w:tcPr>
            <w:tcW w:type="dxa" w:w="74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шкаф управления пожарными насосами</w:t>
            </w:r>
          </w:p>
        </w:tc>
      </w:tr>
    </w:tbl>
    <w:p>
      <w:pPr>
        <w:spacing w:after="60"/>
      </w:pPr>
    </w:p>
    <w:p>
      <w:pPr>
        <w:pStyle w:val="Heading1"/>
        <w:keepNext/>
        <w:spacing w:after="120" w:before="240"/>
        <w:ind w:firstLine="709"/>
      </w:pPr>
      <w:r>
        <w:rPr>
          <w:rFonts w:ascii="Times New Roman" w:cs="Times New Roman" w:eastAsia="Times New Roman" w:hAnsi="Times New Roman"/>
          <w:b/>
          <w:bCs/>
          <w:sz w:val="32"/>
          <w:szCs w:val="32"/>
        </w:rPr>
        <w:t xml:space="preserve">4 Исходные данные</w:t>
      </w:r>
    </w:p>
    <w:p>
      <w:pPr>
        <w:pStyle w:val="Heading2"/>
        <w:keepNext/>
        <w:spacing w:after="80" w:before="160"/>
        <w:ind w:firstLine="709"/>
      </w:pPr>
      <w:r>
        <w:rPr>
          <w:rFonts w:ascii="Times New Roman" w:cs="Times New Roman" w:eastAsia="Times New Roman" w:hAnsi="Times New Roman"/>
          <w:b/>
          <w:bCs/>
          <w:sz w:val="32"/>
          <w:szCs w:val="32"/>
        </w:rPr>
        <w:t xml:space="preserve">4.1 Проектная и исполнительная документация</w:t>
      </w:r>
    </w:p>
    <w:p>
      <w:pPr>
        <w:spacing w:after="60" w:line="276"/>
        <w:ind w:firstLine="709"/>
        <w:jc w:val="both"/>
      </w:pPr>
      <w:r>
        <w:rPr>
          <w:rFonts w:ascii="Times New Roman" w:cs="Times New Roman" w:eastAsia="Times New Roman" w:hAnsi="Times New Roman"/>
        </w:rPr>
        <w:t xml:space="preserve">Испытания проводят по документации, приведённой в таблице 1. Перед испытаниями сверяют редакции комплектов с фактически смонтированным оборудованием.</w:t>
      </w:r>
    </w:p>
    <w:p>
      <w:pPr>
        <w:keepNext/>
        <w:spacing w:after="60" w:before="120"/>
      </w:pPr>
      <w:r>
        <w:rPr>
          <w:rFonts w:ascii="Times New Roman" w:cs="Times New Roman" w:eastAsia="Times New Roman" w:hAnsi="Times New Roman"/>
        </w:rPr>
        <w:t xml:space="preserve">Таблица 1 – Исходная документация</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2600"/>
        <w:gridCol w:w="6754"/>
      </w:tblGrid>
      <w:tr>
        <w:trPr>
          <w:cantSplit/>
          <w:tblHeader/>
        </w:trPr>
        <w:tc>
          <w:tcPr>
            <w:tcW w:type="dxa" w:w="2600"/>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4"/>
                <w:szCs w:val="24"/>
              </w:rPr>
              <w:t xml:space="preserve">Обозначение</w:t>
            </w:r>
          </w:p>
        </w:tc>
        <w:tc>
          <w:tcPr>
            <w:tcW w:type="dxa" w:w="6754"/>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4"/>
                <w:szCs w:val="24"/>
              </w:rPr>
              <w:t xml:space="preserve">Роль в Программе</w:t>
            </w:r>
          </w:p>
        </w:tc>
      </w:tr>
      <w:tr>
        <w:trPr>
          <w:cantSplit/>
        </w:trPr>
        <w:tc>
          <w:tcPr>
            <w:tcW w:type="dxa" w:w="2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СТУ (2016 г.)</w:t>
            </w:r>
          </w:p>
        </w:tc>
        <w:tc>
          <w:tcPr>
            <w:tcW w:type="dxa" w:w="67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Компенсирующие мероприятия и ограничения, обязательные при эксплуатации; критерии приложения А</w:t>
            </w:r>
          </w:p>
        </w:tc>
      </w:tr>
      <w:tr>
        <w:trPr>
          <w:cantSplit/>
        </w:trPr>
        <w:tc>
          <w:tcPr>
            <w:tcW w:type="dxa" w:w="2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Техническое задание</w:t>
            </w:r>
          </w:p>
        </w:tc>
        <w:tc>
          <w:tcPr>
            <w:tcW w:type="dxa" w:w="67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Объект, состав зданий и установок, цели и объём работ</w:t>
            </w:r>
          </w:p>
        </w:tc>
      </w:tr>
      <w:tr>
        <w:trPr>
          <w:cantSplit/>
        </w:trPr>
        <w:tc>
          <w:tcPr>
            <w:tcW w:type="dxa" w:w="2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0115.010-АПС</w:t>
            </w:r>
          </w:p>
        </w:tc>
        <w:tc>
          <w:tcPr>
            <w:tcW w:type="dxa" w:w="67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СПС производственно-складского корпуса и АБК; общая архитектура и взаимодействие со смежными системами</w:t>
            </w:r>
          </w:p>
        </w:tc>
      </w:tr>
      <w:tr>
        <w:trPr>
          <w:cantSplit/>
        </w:trPr>
        <w:tc>
          <w:tcPr>
            <w:tcW w:type="dxa" w:w="2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0115.023-АПС</w:t>
            </w:r>
          </w:p>
        </w:tc>
        <w:tc>
          <w:tcPr>
            <w:tcW w:type="dxa" w:w="67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СПС насосной расходного склада ГЖ; извещатели и схема связи</w:t>
            </w:r>
          </w:p>
        </w:tc>
      </w:tr>
      <w:tr>
        <w:trPr>
          <w:cantSplit/>
        </w:trPr>
        <w:tc>
          <w:tcPr>
            <w:tcW w:type="dxa" w:w="2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0943-СПС</w:t>
            </w:r>
          </w:p>
        </w:tc>
        <w:tc>
          <w:tcPr>
            <w:tcW w:type="dxa" w:w="67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Расширение склада базовых масел; алгоритм водяной завесы, оборудование и сигналы шкафа управления насосами</w:t>
            </w:r>
          </w:p>
        </w:tc>
      </w:tr>
      <w:tr>
        <w:trPr>
          <w:cantSplit/>
        </w:trPr>
        <w:tc>
          <w:tcPr>
            <w:tcW w:type="dxa" w:w="2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0115.000-АПТ.ПЗ, 0115.000-АПТ</w:t>
            </w:r>
          </w:p>
        </w:tc>
        <w:tc>
          <w:tcPr>
            <w:tcW w:type="dxa" w:w="67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Водяное и пенное пожаротушение ПСК и насосной ГЖ; параметры секций, узлы управления, насосная станция, гидравлический расчёт</w:t>
            </w:r>
          </w:p>
        </w:tc>
      </w:tr>
      <w:tr>
        <w:trPr>
          <w:cantSplit/>
        </w:trPr>
        <w:tc>
          <w:tcPr>
            <w:tcW w:type="dxa" w:w="2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0115.010-ГПТ</w:t>
            </w:r>
          </w:p>
        </w:tc>
        <w:tc>
          <w:tcPr>
            <w:tcW w:type="dxa" w:w="67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Газовое пожаротушение помещений № 216, 140, 141: пояснительная записка, расчёт 0115.010-ГПТ Р, спецификация 0115.010-ГПТ С, задания Зд1–Зд5; алгоритм С2000-АСПТ, задержка выпуска, блокировки, требования к помещениям</w:t>
            </w:r>
          </w:p>
        </w:tc>
      </w:tr>
      <w:tr>
        <w:trPr>
          <w:cantSplit/>
        </w:trPr>
        <w:tc>
          <w:tcPr>
            <w:tcW w:type="dxa" w:w="2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0115.023-АОВ</w:t>
            </w:r>
          </w:p>
        </w:tc>
        <w:tc>
          <w:tcPr>
            <w:tcW w:type="dxa" w:w="67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Автоматика дымоудаления и общеобменной вентиляции насосной ГЖ; сигналы, люки, ворота, вентиляторы, клапаны</w:t>
            </w:r>
          </w:p>
        </w:tc>
      </w:tr>
      <w:tr>
        <w:trPr>
          <w:cantSplit/>
        </w:trPr>
        <w:tc>
          <w:tcPr>
            <w:tcW w:type="dxa" w:w="2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0115.010-АОВ</w:t>
            </w:r>
          </w:p>
        </w:tc>
        <w:tc>
          <w:tcPr>
            <w:tcW w:type="dxa" w:w="67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Автоматизация вентиляции помещений лаборатории ПСК; отключение при пожаре</w:t>
            </w:r>
          </w:p>
        </w:tc>
      </w:tr>
      <w:tr>
        <w:trPr>
          <w:cantSplit/>
        </w:trPr>
        <w:tc>
          <w:tcPr>
            <w:tcW w:type="dxa" w:w="2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0115.0101.0102-АПС</w:t>
            </w:r>
          </w:p>
        </w:tc>
        <w:tc>
          <w:tcPr>
            <w:tcW w:type="dxa" w:w="67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Пожарная сигнализация КПП; пульт С2000М, к которому подключены С2000-ПТ и приборы 0115.010-ГПТ (комплект указан ссылкой в 0115.010-ГПТ)</w:t>
            </w:r>
          </w:p>
        </w:tc>
      </w:tr>
      <w:tr>
        <w:trPr>
          <w:cantSplit/>
        </w:trPr>
        <w:tc>
          <w:tcPr>
            <w:tcW w:type="dxa" w:w="2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0115.041-ОПС, 0115.042-ОПС</w:t>
            </w:r>
          </w:p>
        </w:tc>
        <w:tc>
          <w:tcPr>
            <w:tcW w:type="dxa" w:w="67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Пожарная сигнализация водогрейной котельной и участка подготовки масла (комплекты указаны ссылками в 0115.010-АПС)</w:t>
            </w:r>
          </w:p>
        </w:tc>
      </w:tr>
      <w:tr>
        <w:trPr>
          <w:cantSplit/>
        </w:trPr>
        <w:tc>
          <w:tcPr>
            <w:tcW w:type="dxa" w:w="2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0115.032-АПТ1, 0115.032-АПТ2</w:t>
            </w:r>
          </w:p>
        </w:tc>
        <w:tc>
          <w:tcPr>
            <w:tcW w:type="dxa" w:w="67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Насосная станция пожаротушения (комплекты указаны ссылками в 0115.000-АПТ и 0115.010-АПС)</w:t>
            </w:r>
          </w:p>
        </w:tc>
      </w:tr>
      <w:tr>
        <w:trPr>
          <w:cantSplit/>
        </w:trPr>
        <w:tc>
          <w:tcPr>
            <w:tcW w:type="dxa" w:w="2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0115.000-АПТ1</w:t>
            </w:r>
          </w:p>
        </w:tc>
        <w:tc>
          <w:tcPr>
            <w:tcW w:type="dxa" w:w="67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Пожарные краны с генераторами пены ГПС-200 и лафетные стволы у эстакад (комплект указан ссылкой в 0115.000-АПТ)</w:t>
            </w:r>
          </w:p>
        </w:tc>
      </w:tr>
      <w:tr>
        <w:trPr>
          <w:cantSplit/>
        </w:trPr>
        <w:tc>
          <w:tcPr>
            <w:tcW w:type="dxa" w:w="2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highlight w:val="yellow"/>
                <w:highlightCs w:val="yellow"/>
              </w:rPr>
              <w:t xml:space="preserve">[шифр – по реестру проектной документации]</w:t>
            </w:r>
          </w:p>
        </w:tc>
        <w:tc>
          <w:tcPr>
            <w:tcW w:type="dxa" w:w="67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Генеральный план с проездами и подъездами к резервуарным паркам</w:t>
            </w:r>
          </w:p>
        </w:tc>
      </w:tr>
      <w:tr>
        <w:trPr>
          <w:cantSplit/>
        </w:trPr>
        <w:tc>
          <w:tcPr>
            <w:tcW w:type="dxa" w:w="2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highlight w:val="yellow"/>
                <w:highlightCs w:val="yellow"/>
              </w:rPr>
              <w:t xml:space="preserve">[шифр – по реестру проектной документации]</w:t>
            </w:r>
          </w:p>
        </w:tc>
        <w:tc>
          <w:tcPr>
            <w:tcW w:type="dxa" w:w="67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Стационарные установки охлаждения и пенотушения резервуаров (пп. 3.16, 3.17 СТУ)</w:t>
            </w:r>
          </w:p>
        </w:tc>
      </w:tr>
      <w:tr>
        <w:trPr>
          <w:cantSplit/>
        </w:trPr>
        <w:tc>
          <w:tcPr>
            <w:tcW w:type="dxa" w:w="2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highlight w:val="yellow"/>
                <w:highlightCs w:val="yellow"/>
              </w:rPr>
              <w:t xml:space="preserve">[шифр – по реестру проектной документации]</w:t>
            </w:r>
          </w:p>
        </w:tc>
        <w:tc>
          <w:tcPr>
            <w:tcW w:type="dxa" w:w="67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Наружное противопожарное водоснабжение, насосная станция, резервуары запаса воды</w:t>
            </w:r>
          </w:p>
        </w:tc>
      </w:tr>
      <w:tr>
        <w:trPr>
          <w:cantSplit/>
        </w:trPr>
        <w:tc>
          <w:tcPr>
            <w:tcW w:type="dxa" w:w="2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0115.0101.0102-СОУЭ, 0115.010-СОУЭ, 0115.023-СОУЭ</w:t>
            </w:r>
          </w:p>
        </w:tc>
        <w:tc>
          <w:tcPr>
            <w:tcW w:type="dxa" w:w="67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СОУЭ КПП, ПСК и насосной ГЖ (комплекты указаны ссылками в 0115.010-АПС и 0115.023-АПС)</w:t>
            </w:r>
          </w:p>
        </w:tc>
      </w:tr>
      <w:tr>
        <w:trPr>
          <w:cantSplit/>
        </w:trPr>
        <w:tc>
          <w:tcPr>
            <w:tcW w:type="dxa" w:w="2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0115.010-ОВ2, 0115.010-АОВ1</w:t>
            </w:r>
          </w:p>
        </w:tc>
        <w:tc>
          <w:tcPr>
            <w:tcW w:type="dxa" w:w="67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Общеобменная и производственная вентиляция и дымоудаление ПСК и их автоматика, в том числе противодымная вентиляция производственного цеха (п. 3.2 СТУ), огнезадерживающие клапаны помещений № 216, 140, 141 и удаление ГОТВ (комплекты указаны ссылками в 0115.010-ГПТ и 0115.010-АПС)</w:t>
            </w:r>
          </w:p>
        </w:tc>
      </w:tr>
      <w:tr>
        <w:trPr>
          <w:cantSplit/>
        </w:trPr>
        <w:tc>
          <w:tcPr>
            <w:tcW w:type="dxa" w:w="2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highlight w:val="yellow"/>
                <w:highlightCs w:val="yellow"/>
              </w:rPr>
              <w:t xml:space="preserve">[шифр – по реестру проектной документации]</w:t>
            </w:r>
          </w:p>
        </w:tc>
        <w:tc>
          <w:tcPr>
            <w:tcW w:type="dxa" w:w="67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Огнезащита строительных конструкций</w:t>
            </w:r>
          </w:p>
        </w:tc>
      </w:tr>
    </w:tbl>
    <w:p>
      <w:pPr>
        <w:spacing w:after="60"/>
      </w:pPr>
    </w:p>
    <w:p>
      <w:pPr>
        <w:spacing w:after="60" w:line="276"/>
        <w:ind w:firstLine="709"/>
        <w:jc w:val="both"/>
      </w:pPr>
      <w:r>
        <w:rPr>
          <w:rFonts w:ascii="Times New Roman" w:cs="Times New Roman" w:eastAsia="Times New Roman" w:hAnsi="Times New Roman"/>
        </w:rPr>
        <w:t xml:space="preserve">При отсутствии исходного документа соответствующую проверку выполняют в объёме фактического состояния, а в графе результата указывают «не оценено: нет проектного значения». Комплекты, указанные в таблице 1 только ссылками, и недостающие данные перечислены в приложении И.</w:t>
      </w:r>
    </w:p>
    <w:p>
      <w:pPr>
        <w:pStyle w:val="Heading2"/>
        <w:keepNext/>
        <w:spacing w:after="80" w:before="160"/>
        <w:ind w:firstLine="709"/>
      </w:pPr>
      <w:r>
        <w:rPr>
          <w:rFonts w:ascii="Times New Roman" w:cs="Times New Roman" w:eastAsia="Times New Roman" w:hAnsi="Times New Roman"/>
          <w:b/>
          <w:bCs/>
          <w:sz w:val="32"/>
          <w:szCs w:val="32"/>
        </w:rPr>
        <w:t xml:space="preserve">4.2 Сверка объекта с условиями СТУ</w:t>
      </w:r>
    </w:p>
    <w:p>
      <w:pPr>
        <w:keepNext/>
        <w:spacing w:after="60" w:line="276"/>
        <w:ind w:firstLine="709"/>
        <w:jc w:val="both"/>
      </w:pPr>
      <w:r>
        <w:rPr>
          <w:rFonts w:ascii="Times New Roman" w:cs="Times New Roman" w:eastAsia="Times New Roman" w:hAnsi="Times New Roman"/>
        </w:rPr>
        <w:t xml:space="preserve">До начала испытаний комиссия сверяет фактический состав объекта с п. 1.11 СТУ:</w:t>
      </w:r>
    </w:p>
    <w:p>
      <w:pPr>
        <w:pStyle w:val="ListParagraph"/>
        <w:numPr>
          <w:ilvl w:val="0"/>
          <w:numId w:val="2"/>
        </w:numPr>
        <w:spacing w:after="40" w:line="276"/>
        <w:jc w:val="both"/>
      </w:pPr>
      <w:r>
        <w:rPr>
          <w:rFonts w:ascii="Times New Roman" w:cs="Times New Roman" w:eastAsia="Times New Roman" w:hAnsi="Times New Roman"/>
        </w:rPr>
        <w:t xml:space="preserve">резервуарный склад базовых масел и готовой продукции – одна группа из 33 резервуаров общим объёмом 7800 м³ (4 × 500 м³, 17 × 200 м³, 12 × 200 м³);</w:t>
      </w:r>
    </w:p>
    <w:p>
      <w:pPr>
        <w:pStyle w:val="ListParagraph"/>
        <w:numPr>
          <w:ilvl w:val="0"/>
          <w:numId w:val="2"/>
        </w:numPr>
        <w:spacing w:after="40" w:line="276"/>
        <w:jc w:val="both"/>
      </w:pPr>
      <w:r>
        <w:rPr>
          <w:rFonts w:ascii="Times New Roman" w:cs="Times New Roman" w:eastAsia="Times New Roman" w:hAnsi="Times New Roman"/>
        </w:rPr>
        <w:t xml:space="preserve">резервуарный склад присадок – одна группа из 12 резервуаров общим объёмом 780 м³ (2 × 90 м³, 10 × 60 м³);</w:t>
      </w:r>
    </w:p>
    <w:p>
      <w:pPr>
        <w:pStyle w:val="ListParagraph"/>
        <w:numPr>
          <w:ilvl w:val="0"/>
          <w:numId w:val="2"/>
        </w:numPr>
        <w:spacing w:after="40" w:line="276"/>
        <w:jc w:val="both"/>
      </w:pPr>
      <w:r>
        <w:rPr>
          <w:rFonts w:ascii="Times New Roman" w:cs="Times New Roman" w:eastAsia="Times New Roman" w:hAnsi="Times New Roman"/>
        </w:rPr>
        <w:t xml:space="preserve">насосная расходного склада ГЖ с пристроенным навесом над двумя сливо-наливными автомобильными эстакадами (присадок и базовых масел);</w:t>
      </w:r>
    </w:p>
    <w:p>
      <w:pPr>
        <w:pStyle w:val="ListParagraph"/>
        <w:numPr>
          <w:ilvl w:val="0"/>
          <w:numId w:val="2"/>
        </w:numPr>
        <w:spacing w:after="40" w:line="276"/>
        <w:jc w:val="both"/>
      </w:pPr>
      <w:r>
        <w:rPr>
          <w:rFonts w:ascii="Times New Roman" w:cs="Times New Roman" w:eastAsia="Times New Roman" w:hAnsi="Times New Roman"/>
        </w:rPr>
        <w:t xml:space="preserve">производственно-складской корпус: высотный стеллажный склад высотой помещения не более 13,7 м и высотой хранения не более 10,0 м (п. 2.2.4 СТУ).</w:t>
      </w:r>
    </w:p>
    <w:p>
      <w:pPr>
        <w:spacing w:after="60" w:line="276"/>
        <w:ind w:firstLine="709"/>
        <w:jc w:val="both"/>
      </w:pPr>
      <w:r>
        <w:rPr>
          <w:rFonts w:ascii="Times New Roman" w:cs="Times New Roman" w:eastAsia="Times New Roman" w:hAnsi="Times New Roman"/>
        </w:rPr>
        <w:t xml:space="preserve">Изменения состава объекта, в том числе по проекту 0943 «Расширение склада базовых масел» и в части железнодорожной сливной эстакады, указанной в 0115.000-АПТ и 0115.023-АПС, но отсутствующей в п. 1.11 СТУ, допускаются по п. 1.8.4 СТУ только при выполнении требований СТУ и непревышении допустимого пожарного риска. Если изменения не подтверждены расчётом пожарного риска или изменением СТУ, комиссия фиксирует это в акте как несоответствие п. 1.8.4 СТУ.</w:t>
      </w:r>
    </w:p>
    <w:p>
      <w:pPr>
        <w:spacing w:after="60" w:line="276"/>
        <w:ind w:firstLine="709"/>
        <w:jc w:val="both"/>
      </w:pPr>
      <w:r>
        <w:rPr>
          <w:rFonts w:ascii="Times New Roman" w:cs="Times New Roman" w:eastAsia="Times New Roman" w:hAnsi="Times New Roman"/>
        </w:rPr>
        <w:t xml:space="preserve">Испытания проводят по действующей редакции СТУ с учётом согласованных изменений к ним. Реквизиты действующей редакции СТУ и изменений к ним указывают в акте комплексных испытаний.</w:t>
      </w:r>
    </w:p>
    <w:p>
      <w:pPr>
        <w:pStyle w:val="Heading1"/>
        <w:keepNext/>
        <w:spacing w:after="120" w:before="240"/>
        <w:ind w:firstLine="709"/>
      </w:pPr>
      <w:r>
        <w:rPr>
          <w:rFonts w:ascii="Times New Roman" w:cs="Times New Roman" w:eastAsia="Times New Roman" w:hAnsi="Times New Roman"/>
          <w:b/>
          <w:bCs/>
          <w:sz w:val="32"/>
          <w:szCs w:val="32"/>
        </w:rPr>
        <w:t xml:space="preserve">5 Состав систем противопожарной защиты</w:t>
      </w:r>
    </w:p>
    <w:p>
      <w:pPr>
        <w:pStyle w:val="Heading2"/>
        <w:keepNext/>
        <w:spacing w:after="80" w:before="160"/>
        <w:ind w:firstLine="709"/>
      </w:pPr>
      <w:r>
        <w:rPr>
          <w:rFonts w:ascii="Times New Roman" w:cs="Times New Roman" w:eastAsia="Times New Roman" w:hAnsi="Times New Roman"/>
          <w:b/>
          <w:bCs/>
          <w:sz w:val="32"/>
          <w:szCs w:val="32"/>
        </w:rPr>
        <w:t xml:space="preserve">5.1 Система пожарной сигнализации</w:t>
      </w:r>
    </w:p>
    <w:p>
      <w:pPr>
        <w:spacing w:after="60" w:line="276"/>
        <w:ind w:firstLine="709"/>
        <w:jc w:val="both"/>
      </w:pPr>
      <w:r>
        <w:rPr>
          <w:rFonts w:ascii="Times New Roman" w:cs="Times New Roman" w:eastAsia="Times New Roman" w:hAnsi="Times New Roman"/>
        </w:rPr>
        <w:t xml:space="preserve">Интегрированная система «Орион» производства «Болид» с приборами С2000-М, С2000-КДЛ, С2000-КПБ, С2000-СП1, С2000-СП2, «Сигнал-20П», С2000-БКИ, БЗК, телефонным информатором С2000-ИТ, ручными, дымовыми (в том числе линейными) и тепловыми извещателями и резервированными источниками питания РИП-12 RS. По 0115.010-АПС резервное питание обеспечивает работу 24 ч в дежурном режиме и 3 ч в режиме «Пожар»; расчёт ёмкости аккумуляторных батарей в комплекте не приведён. Проверяют фактически смонтированное оборудование по исполнительным схемам и актуальному списку адресов.</w:t>
      </w:r>
    </w:p>
    <w:p>
      <w:pPr>
        <w:keepNext/>
        <w:spacing w:after="60" w:line="276"/>
        <w:ind w:firstLine="709"/>
        <w:jc w:val="both"/>
      </w:pPr>
      <w:r>
        <w:rPr>
          <w:rFonts w:ascii="Times New Roman" w:cs="Times New Roman" w:eastAsia="Times New Roman" w:hAnsi="Times New Roman"/>
        </w:rPr>
        <w:t xml:space="preserve">Защищаемые здания и сооружения:</w:t>
      </w:r>
    </w:p>
    <w:p>
      <w:pPr>
        <w:pStyle w:val="ListParagraph"/>
        <w:numPr>
          <w:ilvl w:val="0"/>
          <w:numId w:val="3"/>
        </w:numPr>
        <w:spacing w:after="40" w:line="276"/>
        <w:jc w:val="both"/>
      </w:pPr>
      <w:r>
        <w:rPr>
          <w:rFonts w:ascii="Times New Roman" w:cs="Times New Roman" w:eastAsia="Times New Roman" w:hAnsi="Times New Roman"/>
        </w:rPr>
        <w:t xml:space="preserve">производственно-складской корпус: АБК, производственный цех, склады готовой продукции, склад пустой тары, инженерный блок;</w:t>
      </w:r>
    </w:p>
    <w:p>
      <w:pPr>
        <w:pStyle w:val="ListParagraph"/>
        <w:numPr>
          <w:ilvl w:val="0"/>
          <w:numId w:val="3"/>
        </w:numPr>
        <w:spacing w:after="40" w:line="276"/>
        <w:jc w:val="both"/>
      </w:pPr>
      <w:r>
        <w:rPr>
          <w:rFonts w:ascii="Times New Roman" w:cs="Times New Roman" w:eastAsia="Times New Roman" w:hAnsi="Times New Roman"/>
        </w:rPr>
        <w:t xml:space="preserve">насосная расходного склада ГЖ;</w:t>
      </w:r>
    </w:p>
    <w:p>
      <w:pPr>
        <w:pStyle w:val="ListParagraph"/>
        <w:numPr>
          <w:ilvl w:val="0"/>
          <w:numId w:val="3"/>
        </w:numPr>
        <w:spacing w:after="40" w:line="276"/>
        <w:jc w:val="both"/>
      </w:pPr>
      <w:r>
        <w:rPr>
          <w:rFonts w:ascii="Times New Roman" w:cs="Times New Roman" w:eastAsia="Times New Roman" w:hAnsi="Times New Roman"/>
        </w:rPr>
        <w:t xml:space="preserve">станция пожаротушения;</w:t>
      </w:r>
    </w:p>
    <w:p>
      <w:pPr>
        <w:pStyle w:val="ListParagraph"/>
        <w:numPr>
          <w:ilvl w:val="0"/>
          <w:numId w:val="3"/>
        </w:numPr>
        <w:spacing w:after="40" w:line="276"/>
        <w:jc w:val="both"/>
      </w:pPr>
      <w:r>
        <w:rPr>
          <w:rFonts w:ascii="Times New Roman" w:cs="Times New Roman" w:eastAsia="Times New Roman" w:hAnsi="Times New Roman"/>
        </w:rPr>
        <w:t xml:space="preserve">водогрейная котельная;</w:t>
      </w:r>
    </w:p>
    <w:p>
      <w:pPr>
        <w:pStyle w:val="ListParagraph"/>
        <w:numPr>
          <w:ilvl w:val="0"/>
          <w:numId w:val="3"/>
        </w:numPr>
        <w:spacing w:after="40" w:line="276"/>
        <w:jc w:val="both"/>
      </w:pPr>
      <w:r>
        <w:rPr>
          <w:rFonts w:ascii="Times New Roman" w:cs="Times New Roman" w:eastAsia="Times New Roman" w:hAnsi="Times New Roman"/>
        </w:rPr>
        <w:t xml:space="preserve">участок подготовки масла;</w:t>
      </w:r>
    </w:p>
    <w:p>
      <w:pPr>
        <w:pStyle w:val="ListParagraph"/>
        <w:numPr>
          <w:ilvl w:val="0"/>
          <w:numId w:val="3"/>
        </w:numPr>
        <w:spacing w:after="40" w:line="276"/>
        <w:jc w:val="both"/>
      </w:pPr>
      <w:r>
        <w:rPr>
          <w:rFonts w:ascii="Times New Roman" w:cs="Times New Roman" w:eastAsia="Times New Roman" w:hAnsi="Times New Roman"/>
        </w:rPr>
        <w:t xml:space="preserve">трансформаторная подстанция;</w:t>
      </w:r>
    </w:p>
    <w:p>
      <w:pPr>
        <w:pStyle w:val="ListParagraph"/>
        <w:numPr>
          <w:ilvl w:val="0"/>
          <w:numId w:val="3"/>
        </w:numPr>
        <w:spacing w:after="40" w:line="276"/>
        <w:jc w:val="both"/>
      </w:pPr>
      <w:r>
        <w:rPr>
          <w:rFonts w:ascii="Times New Roman" w:cs="Times New Roman" w:eastAsia="Times New Roman" w:hAnsi="Times New Roman"/>
        </w:rPr>
        <w:t xml:space="preserve">КПП;</w:t>
      </w:r>
    </w:p>
    <w:p>
      <w:pPr>
        <w:pStyle w:val="ListParagraph"/>
        <w:numPr>
          <w:ilvl w:val="0"/>
          <w:numId w:val="3"/>
        </w:numPr>
        <w:spacing w:after="40" w:line="276"/>
        <w:jc w:val="both"/>
      </w:pPr>
      <w:r>
        <w:rPr>
          <w:rFonts w:ascii="Times New Roman" w:cs="Times New Roman" w:eastAsia="Times New Roman" w:hAnsi="Times New Roman"/>
        </w:rPr>
        <w:t xml:space="preserve">территория резервуарных парков (ИПР по периметру, п. 3.6 СТУ).</w:t>
      </w:r>
    </w:p>
    <w:p>
      <w:pPr>
        <w:spacing w:after="60" w:line="276"/>
        <w:ind w:firstLine="709"/>
        <w:jc w:val="both"/>
      </w:pPr>
      <w:r>
        <w:rPr>
          <w:rFonts w:ascii="Times New Roman" w:cs="Times New Roman" w:eastAsia="Times New Roman" w:hAnsi="Times New Roman"/>
        </w:rPr>
        <w:t xml:space="preserve">Комплект 0115.010-АПС описывает выдачу команд на противодымную вентиляцию, отключение общеобменной вентиляции и закрытие противопожарных клапанов, запуск СОУЭ и управление иными инженерными системами. Конкретный перечень управляемых устройств и действующие задержки подтверждают матрицей сигналов и конфигурацией приборов. Комплект 0115.023-АПС относится к насосной ГЖ; в нём предусмотрены дымовые, линейные дымовые и ручные извещатели. По п. 2.2.8 СТУ на объекте предусматривается вывод сигнала о пожаре в подразделение пожарной охраны. По 0115.010-АПС сигнал передаёт телефонный информатор С2000-ИТ, установленный в помещении № 2 здания КПП, автодозвоном на пульт пожарной части; канал связи и принимающий пульт в проекте не указаны </w:t>
      </w:r>
      <w:r>
        <w:rPr>
          <w:rFonts w:ascii="Times New Roman" w:cs="Times New Roman" w:eastAsia="Times New Roman" w:hAnsi="Times New Roman"/>
          <w:highlight w:val="yellow"/>
          <w:highlightCs w:val="yellow"/>
        </w:rPr>
        <w:t xml:space="preserve">[канал связи и принимающий пульт – по договору или письму принимающей стороны]</w:t>
      </w:r>
      <w:r>
        <w:rPr>
          <w:rFonts w:ascii="Times New Roman" w:cs="Times New Roman" w:eastAsia="Times New Roman" w:hAnsi="Times New Roman"/>
        </w:rPr>
        <w:t xml:space="preserve">.</w:t>
      </w:r>
    </w:p>
    <w:p>
      <w:pPr>
        <w:pStyle w:val="Heading2"/>
        <w:keepNext/>
        <w:spacing w:after="80" w:before="160"/>
        <w:ind w:firstLine="709"/>
      </w:pPr>
      <w:r>
        <w:rPr>
          <w:rFonts w:ascii="Times New Roman" w:cs="Times New Roman" w:eastAsia="Times New Roman" w:hAnsi="Times New Roman"/>
          <w:b/>
          <w:bCs/>
          <w:sz w:val="32"/>
          <w:szCs w:val="32"/>
        </w:rPr>
        <w:t xml:space="preserve">5.2 Система оповещения и управления эвакуацией</w:t>
      </w:r>
    </w:p>
    <w:p>
      <w:pPr>
        <w:spacing w:after="60" w:line="276"/>
        <w:ind w:firstLine="709"/>
        <w:jc w:val="both"/>
      </w:pPr>
      <w:r>
        <w:rPr>
          <w:rFonts w:ascii="Times New Roman" w:cs="Times New Roman" w:eastAsia="Times New Roman" w:hAnsi="Times New Roman"/>
        </w:rPr>
        <w:t xml:space="preserve">Производственно-складской корпус оборудуется СОУЭ 2-го типа (п. 3.19 СТУ); прочие здания – СОУЭ в соответствии с проектом </w:t>
      </w:r>
      <w:r>
        <w:rPr>
          <w:rFonts w:ascii="Times New Roman" w:cs="Times New Roman" w:eastAsia="Times New Roman" w:hAnsi="Times New Roman"/>
          <w:highlight w:val="yellow"/>
          <w:highlightCs w:val="yellow"/>
        </w:rPr>
        <w:t xml:space="preserve">[тип СОУЭ по каждому зданию – по проекту СОУЭ]</w:t>
      </w:r>
      <w:r>
        <w:rPr>
          <w:rFonts w:ascii="Times New Roman" w:cs="Times New Roman" w:eastAsia="Times New Roman" w:hAnsi="Times New Roman"/>
        </w:rPr>
        <w:t xml:space="preserve">. Зоны оповещения и алгоритм запуска принимают по проекту и конфигурации приборов.</w:t>
      </w:r>
    </w:p>
    <w:p>
      <w:pPr>
        <w:pStyle w:val="Heading2"/>
        <w:keepNext/>
        <w:spacing w:after="80" w:before="160"/>
        <w:ind w:firstLine="709"/>
      </w:pPr>
      <w:r>
        <w:rPr>
          <w:rFonts w:ascii="Times New Roman" w:cs="Times New Roman" w:eastAsia="Times New Roman" w:hAnsi="Times New Roman"/>
          <w:b/>
          <w:bCs/>
          <w:sz w:val="32"/>
          <w:szCs w:val="32"/>
        </w:rPr>
        <w:t xml:space="preserve">5.3 Установки пожаротушения</w:t>
      </w:r>
    </w:p>
    <w:p>
      <w:pPr>
        <w:spacing w:after="60" w:line="276"/>
        <w:ind w:firstLine="709"/>
        <w:jc w:val="both"/>
      </w:pPr>
      <w:r>
        <w:rPr>
          <w:rFonts w:ascii="Times New Roman" w:cs="Times New Roman" w:eastAsia="Times New Roman" w:hAnsi="Times New Roman"/>
        </w:rPr>
        <w:t xml:space="preserve">В ТЗ перечислены водяные и пенные спринклерные секции складов, производственного цеха, административного и инженерного блоков и насосной ГЖ; пенная дренчерная установка участка подготовки масла; газовое пожаротушение помещений № 216, 140, 141; порошковое пожаротушение дизель-генераторного зала; наружное пенное пожаротушение эстакад и охлаждение резервуарного парка. Часть секций совмещена с внутренними пожарными кранами (допускается п. 2.2.6 СТУ). На каждую установку заводят отдельную строку ведомости испытаний и берут проектные обозначения из исполнительных чертежей.</w:t>
      </w:r>
    </w:p>
    <w:p>
      <w:pPr>
        <w:spacing w:after="60" w:line="276"/>
        <w:ind w:firstLine="709"/>
        <w:jc w:val="both"/>
      </w:pPr>
      <w:r>
        <w:rPr>
          <w:rFonts w:ascii="Times New Roman" w:cs="Times New Roman" w:eastAsia="Times New Roman" w:hAnsi="Times New Roman"/>
        </w:rPr>
        <w:t xml:space="preserve">Комплектом 0115.000-АПТ.ПЗ предусмотрены водяные и пенные секции ПСК и насосной ГЖ. При срабатывании оросителя или открытии пожарного крана падает давление, открывается узел управления либо срабатывает сигнализатор потока; датчики давления формируют команду рабочему насосу и сигнал на пост и в СПС. Предусмотрены контрольные краны Ду 50 с манометрами на секциях и спускные краны узлов управления. Проектный расчёт выделяет секцию помещения 101, зона 1, как диктующую по напору, а склад готовой продукции № 104 – по расходу.</w:t>
      </w:r>
    </w:p>
    <w:p>
      <w:pPr>
        <w:spacing w:after="60" w:line="276"/>
        <w:ind w:firstLine="709"/>
        <w:jc w:val="both"/>
      </w:pPr>
      <w:r>
        <w:rPr>
          <w:rFonts w:ascii="Times New Roman" w:cs="Times New Roman" w:eastAsia="Times New Roman" w:hAnsi="Times New Roman"/>
        </w:rPr>
        <w:t xml:space="preserve">Комплектом 0115.010-ГПТ предусмотрены модульные установки газового пожаротушения в помещении главного компьютера № 216 (объём 60,434 м³), операторской № 140 (101,99 м³) и помещении АСУ ТП № 141 (64,96 м³), включая пространство за подвесным потолком. В каждом помещении установлены прибор С2000-АСПТ, шесть дымовых извещателей ИП 212-3СМ в двух шлейфах (три из них за подвесным потолком с выносными оптическими индикаторами), устройство ручного пуска ИПР-Кск и считыватель Touch Memory у входа, дверной магнитоконтактный извещатель ИО 102-6, табло «Газ – уходи!», «Газ – не входи!» и «Автоматика отключена», модуль МПА-NVC1230 с Novec 1230, электромагнитным приводом и сигнализатором давления СДУ-М. В помещении № 140 предусмотрены два дверных извещателя и два табло «Газ – уходи!». Масса Novec 1230: № 216 – 41 кг (модуль 42-52-50), № 140 – 66 кг (42-106-50), № 141 – 43 кг (42-52-50). Блок индикации С2000-ПТ и пульт С2000М установлены в помещении № 2 здания КПП. Запас ОТВ по спецификации – модули 42-106-50 с 66 кг и 42-52-50 с 43 кг. Факт наличия и действующий вариант оборудования проверяют по исполнительной документации.</w:t>
      </w:r>
    </w:p>
    <w:p>
      <w:pPr>
        <w:spacing w:after="60" w:line="276"/>
        <w:ind w:firstLine="709"/>
        <w:jc w:val="both"/>
      </w:pPr>
      <w:r>
        <w:rPr>
          <w:rFonts w:ascii="Times New Roman" w:cs="Times New Roman" w:eastAsia="Times New Roman" w:hAnsi="Times New Roman"/>
        </w:rPr>
        <w:t xml:space="preserve">Для расширения склада базовых масел проект 0943-СПС задаёт сценарий водяной завесы: первый автоматический извещатель формирует сигнал для оценки оператором; второй – автоматическое включение; любой ручной извещатель зоны завесы – включение завесы. Предусмотрены дистанционные «Пуск» и «Отмена пуска» в операторной, светозвуковое оповещение, управление шкафом ШУПН2З1-ПНЛА-140 и отображение состояния на С2000-БКИ. Перед испытанием этот алгоритм сверяют с фактической конфигурацией и границами зоны.</w:t>
      </w:r>
    </w:p>
    <w:p>
      <w:pPr>
        <w:pStyle w:val="Heading2"/>
        <w:keepNext/>
        <w:spacing w:after="80" w:before="160"/>
        <w:ind w:firstLine="709"/>
      </w:pPr>
      <w:r>
        <w:rPr>
          <w:rFonts w:ascii="Times New Roman" w:cs="Times New Roman" w:eastAsia="Times New Roman" w:hAnsi="Times New Roman"/>
          <w:b/>
          <w:bCs/>
          <w:sz w:val="32"/>
          <w:szCs w:val="32"/>
        </w:rPr>
        <w:t xml:space="preserve">5.4 Противопожарное водоснабжение</w:t>
      </w:r>
    </w:p>
    <w:p>
      <w:pPr>
        <w:spacing w:after="60" w:line="276"/>
        <w:ind w:firstLine="709"/>
        <w:jc w:val="both"/>
      </w:pPr>
      <w:r>
        <w:rPr>
          <w:rFonts w:ascii="Times New Roman" w:cs="Times New Roman" w:eastAsia="Times New Roman" w:hAnsi="Times New Roman"/>
        </w:rPr>
        <w:t xml:space="preserve">ВПВ совмещён с АУП (п. 2.2.6 СТУ). НПВ по 0115.000-АПТ: кольцевая сеть с пожарными гидрантами ПГ1–ПГ10, питаемая от насосной станции пожаротушения двумя линиями DN200 через регуляторы давления; расход на наружное пожаротушение 40 л/с; резервуары противопожарного запаса воды 2 × 468 м³; основной и резервный насосы Grundfos NKG300-250-500/445 (622 м³/ч, напор 80,3 м) и жокей-насос CR 5-25. Расчётное число одновременно используемых гидрантов, требуемый объём запаса воды и расчётное время </w:t>
      </w:r>
      <w:r>
        <w:rPr>
          <w:rFonts w:ascii="Times New Roman" w:cs="Times New Roman" w:eastAsia="Times New Roman" w:hAnsi="Times New Roman"/>
          <w:highlight w:val="yellow"/>
          <w:highlightCs w:val="yellow"/>
        </w:rPr>
        <w:t xml:space="preserve">[по проекту НПВ]</w:t>
      </w:r>
      <w:r>
        <w:rPr>
          <w:rFonts w:ascii="Times New Roman" w:cs="Times New Roman" w:eastAsia="Times New Roman" w:hAnsi="Times New Roman"/>
        </w:rPr>
        <w:t xml:space="preserve">. Резервуары, охлаждение и (или) тушение которых передвижной пожарной техникой невозможно, оборудуются стационарными неавтоматическими установками охлаждения и стационарными устройствами подачи пены с сухими трубопроводами, выведенными за обвалование (пп. 3.16, 3.17 СТУ) </w:t>
      </w:r>
      <w:r>
        <w:rPr>
          <w:rFonts w:ascii="Times New Roman" w:cs="Times New Roman" w:eastAsia="Times New Roman" w:hAnsi="Times New Roman"/>
          <w:highlight w:val="yellow"/>
          <w:highlightCs w:val="yellow"/>
        </w:rPr>
        <w:t xml:space="preserve">[номера резервуаров – по проекту установок охлаждения и пенотушения; вносят в приложение Б]</w:t>
      </w:r>
      <w:r>
        <w:rPr>
          <w:rFonts w:ascii="Times New Roman" w:cs="Times New Roman" w:eastAsia="Times New Roman" w:hAnsi="Times New Roman"/>
        </w:rPr>
        <w:t xml:space="preserve">.</w:t>
      </w:r>
    </w:p>
    <w:p>
      <w:pPr>
        <w:pStyle w:val="Heading2"/>
        <w:keepNext/>
        <w:spacing w:after="80" w:before="160"/>
        <w:ind w:firstLine="709"/>
      </w:pPr>
      <w:r>
        <w:rPr>
          <w:rFonts w:ascii="Times New Roman" w:cs="Times New Roman" w:eastAsia="Times New Roman" w:hAnsi="Times New Roman"/>
          <w:b/>
          <w:bCs/>
          <w:sz w:val="32"/>
          <w:szCs w:val="32"/>
        </w:rPr>
        <w:t xml:space="preserve">5.5 Противодымная вентиляция</w:t>
      </w:r>
    </w:p>
    <w:p>
      <w:pPr>
        <w:spacing w:after="60" w:line="276"/>
        <w:ind w:firstLine="709"/>
        <w:jc w:val="both"/>
      </w:pPr>
      <w:r>
        <w:rPr>
          <w:rFonts w:ascii="Times New Roman" w:cs="Times New Roman" w:eastAsia="Times New Roman" w:hAnsi="Times New Roman"/>
        </w:rPr>
        <w:t xml:space="preserve">Комплектом 0115.010-АПС предусмотрена выдача сигнала на включение дымоудаления и открытие клапанов в зоне пожара. При сигнале «Пожар» предусмотрено открытие люков дымоудаления на кровле и управление противопожарными воротами; дистанционное управление люками выполняется с поста и через С2000-БКИ. На пост выводятся состояния люков, ворот и отключения общеобменной вентиляции. В насосной ГЖ по 0115.023-АОВ дымоудаление естественное через три люка 1ЛД–3ЛД с пультом управления MCRP 9705; вентиляторов дымоудаления и подпора нет. Общеобменная вентиляция насосной – крышные вентиляторы В1, В2 и приточные клапаны ПЕ1–ПЕ6; вентиляторы при пожаре отключаются, положение клапанов ПЕ при пожаре в представленных листах не указано.</w:t>
      </w:r>
    </w:p>
    <w:p>
      <w:pPr>
        <w:spacing w:after="60" w:line="276"/>
        <w:ind w:firstLine="709"/>
        <w:jc w:val="both"/>
      </w:pPr>
      <w:r>
        <w:rPr>
          <w:rFonts w:ascii="Times New Roman" w:cs="Times New Roman" w:eastAsia="Times New Roman" w:hAnsi="Times New Roman"/>
        </w:rPr>
        <w:t xml:space="preserve">Производственный цех (около 7400 м²) оборудуется системой вытяжной противодымной вентиляции; допускается не разделять его на дымовые зоны площадью не более 3000 м² (п. 3.2 СТУ) </w:t>
      </w:r>
      <w:r>
        <w:rPr>
          <w:rFonts w:ascii="Times New Roman" w:cs="Times New Roman" w:eastAsia="Times New Roman" w:hAnsi="Times New Roman"/>
          <w:highlight w:val="yellow"/>
          <w:highlightCs w:val="yellow"/>
        </w:rPr>
        <w:t xml:space="preserve">[число систем, вентиляторов и клапанов – по 0115.010-ОВ2]</w:t>
      </w:r>
      <w:r>
        <w:rPr>
          <w:rFonts w:ascii="Times New Roman" w:cs="Times New Roman" w:eastAsia="Times New Roman" w:hAnsi="Times New Roman"/>
        </w:rPr>
        <w:t xml:space="preserve">. Выполнение п. 3.2 СТУ проверяют по Д5 (раздел 12).</w:t>
      </w:r>
    </w:p>
    <w:p>
      <w:pPr>
        <w:pStyle w:val="Heading2"/>
        <w:keepNext/>
        <w:spacing w:after="80" w:before="160"/>
        <w:ind w:firstLine="709"/>
      </w:pPr>
      <w:r>
        <w:rPr>
          <w:rFonts w:ascii="Times New Roman" w:cs="Times New Roman" w:eastAsia="Times New Roman" w:hAnsi="Times New Roman"/>
          <w:b/>
          <w:bCs/>
          <w:sz w:val="32"/>
          <w:szCs w:val="32"/>
        </w:rPr>
        <w:t xml:space="preserve">5.6 Конструктивные и объёмно-планировочные компенсирующие мероприятия</w:t>
      </w:r>
    </w:p>
    <w:p>
      <w:pPr>
        <w:spacing w:after="60" w:line="276"/>
        <w:ind w:firstLine="709"/>
        <w:jc w:val="both"/>
      </w:pPr>
      <w:r>
        <w:rPr>
          <w:rFonts w:ascii="Times New Roman" w:cs="Times New Roman" w:eastAsia="Times New Roman" w:hAnsi="Times New Roman"/>
        </w:rPr>
        <w:t xml:space="preserve">Проверке подлежат также: глухие стены насосной ГЖ в сторону резервуарных групп, стены без окон и с противопожарными дверями 2-го типа в сторону эстакад и ёмкости проливов объёмом не более 30 м³ (п. 3.4 СТУ); противопожарная стена 1-го типа между складом и цехом (п. 3.9); стена ПСК в сторону эстакады с пределом огнестойкости не менее EI 45 и заполнением проёмов 2-го типа (п. 3.10); параметры эстакад, ограждений, расстояний и подъездов (пп. 3.11–3.14); участок зарядки аккумуляторов погрузчиков (п. 3.7); огнезащита конструкций (раздел 15); объёмно-планировочные решения (раздел 16).</w:t>
      </w:r>
    </w:p>
    <w:p>
      <w:pPr>
        <w:pStyle w:val="Heading1"/>
        <w:keepNext/>
        <w:spacing w:after="120" w:before="240"/>
        <w:ind w:firstLine="709"/>
      </w:pPr>
      <w:r>
        <w:rPr>
          <w:rFonts w:ascii="Times New Roman" w:cs="Times New Roman" w:eastAsia="Times New Roman" w:hAnsi="Times New Roman"/>
          <w:b/>
          <w:bCs/>
          <w:sz w:val="32"/>
          <w:szCs w:val="32"/>
        </w:rPr>
        <w:t xml:space="preserve">6 Организация испытаний и меры безопасности</w:t>
      </w:r>
    </w:p>
    <w:p>
      <w:pPr>
        <w:pStyle w:val="Heading2"/>
        <w:keepNext/>
        <w:spacing w:after="80" w:before="160"/>
        <w:ind w:firstLine="709"/>
      </w:pPr>
      <w:r>
        <w:rPr>
          <w:rFonts w:ascii="Times New Roman" w:cs="Times New Roman" w:eastAsia="Times New Roman" w:hAnsi="Times New Roman"/>
          <w:b/>
          <w:bCs/>
          <w:sz w:val="32"/>
          <w:szCs w:val="32"/>
        </w:rPr>
        <w:t xml:space="preserve">6.1 Комиссия</w:t>
      </w:r>
    </w:p>
    <w:p>
      <w:pPr>
        <w:spacing w:after="60" w:line="276"/>
        <w:ind w:firstLine="709"/>
        <w:jc w:val="both"/>
      </w:pPr>
      <w:r>
        <w:rPr>
          <w:rFonts w:ascii="Times New Roman" w:cs="Times New Roman" w:eastAsia="Times New Roman" w:hAnsi="Times New Roman"/>
        </w:rPr>
        <w:t xml:space="preserve">Приказом руководителя филиала назначают комиссию с участием представителей эксплуатирующей организации, организаций, обслуживающих СПС, СОУЭ, АУП, противопожарное водоснабжение и вентиляцию, технологической службы резервуарного парка. Для проверки п. 3.15 СТУ и сценария передачи извещения привлекают по согласованию представителя подразделения пожарной охраны, в район выезда которого входит объект. Закрепляют ответственных за запуск, измерения, диспетчеризацию и восстановление дежурного режима.</w:t>
      </w:r>
    </w:p>
    <w:p>
      <w:pPr>
        <w:pStyle w:val="Heading2"/>
        <w:keepNext/>
        <w:spacing w:after="80" w:before="160"/>
        <w:ind w:firstLine="709"/>
      </w:pPr>
      <w:r>
        <w:rPr>
          <w:rFonts w:ascii="Times New Roman" w:cs="Times New Roman" w:eastAsia="Times New Roman" w:hAnsi="Times New Roman"/>
          <w:b/>
          <w:bCs/>
          <w:sz w:val="32"/>
          <w:szCs w:val="32"/>
        </w:rPr>
        <w:t xml:space="preserve">6.2 Подготовка</w:t>
      </w:r>
    </w:p>
    <w:p>
      <w:pPr>
        <w:pStyle w:val="ListParagraph"/>
        <w:numPr>
          <w:ilvl w:val="0"/>
          <w:numId w:val="4"/>
        </w:numPr>
        <w:spacing w:after="40" w:line="276"/>
        <w:jc w:val="both"/>
      </w:pPr>
      <w:r>
        <w:rPr>
          <w:rFonts w:ascii="Times New Roman" w:cs="Times New Roman" w:eastAsia="Times New Roman" w:hAnsi="Times New Roman"/>
        </w:rPr>
        <w:t xml:space="preserve">Сверить исполнительную документацию с фактической конфигурацией: список ЗКСПС и адресов, матрицу «событие – команда – обратный сигнал», схемы АУП, противодымной вентиляции и водоснабжения, уставки, паспорта, журналы технического обслуживания, акты предыдущих проверок, инструкции изготовителей.</w:t>
      </w:r>
    </w:p>
    <w:p>
      <w:pPr>
        <w:pStyle w:val="ListParagraph"/>
        <w:numPr>
          <w:ilvl w:val="0"/>
          <w:numId w:val="4"/>
        </w:numPr>
        <w:spacing w:after="40" w:line="276"/>
        <w:jc w:val="both"/>
      </w:pPr>
      <w:r>
        <w:rPr>
          <w:rFonts w:ascii="Times New Roman" w:cs="Times New Roman" w:eastAsia="Times New Roman" w:hAnsi="Times New Roman"/>
        </w:rPr>
        <w:t xml:space="preserve">Составить по проектной и рабочей документации таблицу алгоритмов взаимодействия систем (приложение К) и сверить её с конфигурацией приборов; комплексные сценарии раздела 14 и проверки С5 выполняют по этой таблице (ГОСТ Р 59638-2021, Б.4.2).</w:t>
      </w:r>
    </w:p>
    <w:p>
      <w:pPr>
        <w:pStyle w:val="ListParagraph"/>
        <w:numPr>
          <w:ilvl w:val="0"/>
          <w:numId w:val="4"/>
        </w:numPr>
        <w:spacing w:after="40" w:line="276"/>
        <w:jc w:val="both"/>
      </w:pPr>
      <w:r>
        <w:rPr>
          <w:rFonts w:ascii="Times New Roman" w:cs="Times New Roman" w:eastAsia="Times New Roman" w:hAnsi="Times New Roman"/>
        </w:rPr>
        <w:t xml:space="preserve">Ответственному за измерения (6.1) определить контрольные точки, проектные значения и допустимые отклонения до начала испытаний; внести их в журнал проверок (приложение В).</w:t>
      </w:r>
    </w:p>
    <w:p>
      <w:pPr>
        <w:pStyle w:val="ListParagraph"/>
        <w:numPr>
          <w:ilvl w:val="0"/>
          <w:numId w:val="4"/>
        </w:numPr>
        <w:spacing w:after="40" w:line="276"/>
        <w:jc w:val="both"/>
      </w:pPr>
      <w:r>
        <w:rPr>
          <w:rFonts w:ascii="Times New Roman" w:cs="Times New Roman" w:eastAsia="Times New Roman" w:hAnsi="Times New Roman"/>
        </w:rPr>
        <w:t xml:space="preserve">Нанести на генеральный план позиции установки ПА, подъезды и номера резервуаров; подготовить ведомость резервуаров (приложение Б).</w:t>
      </w:r>
    </w:p>
    <w:p>
      <w:pPr>
        <w:pStyle w:val="ListParagraph"/>
        <w:numPr>
          <w:ilvl w:val="0"/>
          <w:numId w:val="4"/>
        </w:numPr>
        <w:spacing w:after="40" w:line="276"/>
        <w:jc w:val="both"/>
      </w:pPr>
      <w:r>
        <w:rPr>
          <w:rFonts w:ascii="Times New Roman" w:cs="Times New Roman" w:eastAsia="Times New Roman" w:hAnsi="Times New Roman"/>
        </w:rPr>
        <w:t xml:space="preserve">Для работ с водой или пеной согласовать маршруты слива, защиту оборудования и порядок восстановления запаса ОТВ; подачу воды на резервуары и сухотрубы планировать при положительной температуре наружного воздуха.</w:t>
      </w:r>
    </w:p>
    <w:p>
      <w:pPr>
        <w:pStyle w:val="ListParagraph"/>
        <w:numPr>
          <w:ilvl w:val="0"/>
          <w:numId w:val="4"/>
        </w:numPr>
        <w:spacing w:after="40" w:line="276"/>
        <w:jc w:val="both"/>
      </w:pPr>
      <w:r>
        <w:rPr>
          <w:rFonts w:ascii="Times New Roman" w:cs="Times New Roman" w:eastAsia="Times New Roman" w:hAnsi="Times New Roman"/>
        </w:rPr>
        <w:t xml:space="preserve">Подготовить СИ по таблице 2.</w:t>
      </w:r>
    </w:p>
    <w:p>
      <w:pPr>
        <w:spacing w:after="60" w:line="276"/>
        <w:ind w:firstLine="709"/>
        <w:jc w:val="both"/>
      </w:pPr>
      <w:r>
        <w:rPr>
          <w:rFonts w:ascii="Times New Roman" w:cs="Times New Roman" w:eastAsia="Times New Roman" w:hAnsi="Times New Roman"/>
        </w:rPr>
        <w:t xml:space="preserve">Программу актуализируют при изменении систем противопожарной защиты, алгоритмов их взаимодействия или состава объекта (ГОСТ Р 59638-2021, Б.4.2).</w:t>
      </w:r>
    </w:p>
    <w:p>
      <w:pPr>
        <w:pStyle w:val="Heading2"/>
        <w:keepNext/>
        <w:spacing w:after="80" w:before="160"/>
        <w:ind w:firstLine="709"/>
      </w:pPr>
      <w:r>
        <w:rPr>
          <w:rFonts w:ascii="Times New Roman" w:cs="Times New Roman" w:eastAsia="Times New Roman" w:hAnsi="Times New Roman"/>
          <w:b/>
          <w:bCs/>
          <w:sz w:val="32"/>
          <w:szCs w:val="32"/>
        </w:rPr>
        <w:t xml:space="preserve">6.3 Меры безопасности</w:t>
      </w:r>
    </w:p>
    <w:p>
      <w:pPr>
        <w:pStyle w:val="ListParagraph"/>
        <w:numPr>
          <w:ilvl w:val="0"/>
          <w:numId w:val="2"/>
        </w:numPr>
        <w:spacing w:after="40" w:line="276"/>
        <w:jc w:val="both"/>
      </w:pPr>
      <w:r>
        <w:rPr>
          <w:rFonts w:ascii="Times New Roman" w:cs="Times New Roman" w:eastAsia="Times New Roman" w:hAnsi="Times New Roman"/>
        </w:rPr>
        <w:t xml:space="preserve">Получить допуск на объект, провести инструктаж, согласовать время и режим работы, уведомить присутствующих. Перед передачей тестовых извещений во внешние службы ответственный за диспетчеризацию (6.1) уведомляет принимающий пульт о времени и порядке передачи; начало и окончание тестового режима записывают в журнал проверок.</w:t>
      </w:r>
    </w:p>
    <w:p>
      <w:pPr>
        <w:pStyle w:val="ListParagraph"/>
        <w:numPr>
          <w:ilvl w:val="0"/>
          <w:numId w:val="2"/>
        </w:numPr>
        <w:spacing w:after="40" w:line="276"/>
        <w:jc w:val="both"/>
      </w:pPr>
      <w:r>
        <w:rPr>
          <w:rFonts w:ascii="Times New Roman" w:cs="Times New Roman" w:eastAsia="Times New Roman" w:hAnsi="Times New Roman"/>
        </w:rPr>
        <w:t xml:space="preserve">До воздействия на извещатели и пусковые органы определить возможные технологические последствия. Пусковые цепи установок, срабатывание которых может причинить вред (газовое и порошковое пожаротушение, остановка технологического оборудования), физически отделить от исполнительных устройств и подключить предусмотренные имитаторы; состояние блокировок проверяют ответственный за запуск и ответственный за восстановление дежурного режима (6.1) с записью в журнале проверок. Ручной пуск установок газового пожаротушения от ИПР-Кск действует независимо от режима прибора С2000-АСПТ и состояния шлейфов (0115.010-ГПТ, лист 8), поэтому электромагнитный привод модуля отсоединяют до начала любых проверок в помещениях № 216, 140, 141. Установить пост наблюдения за опасными зонами (ГОСТ Р 59638-2021, 7.4, Б.4.8).</w:t>
      </w:r>
    </w:p>
    <w:p>
      <w:pPr>
        <w:pStyle w:val="ListParagraph"/>
        <w:numPr>
          <w:ilvl w:val="0"/>
          <w:numId w:val="2"/>
        </w:numPr>
        <w:spacing w:after="40" w:line="276"/>
        <w:jc w:val="both"/>
      </w:pPr>
      <w:r>
        <w:rPr>
          <w:rFonts w:ascii="Times New Roman" w:cs="Times New Roman" w:eastAsia="Times New Roman" w:hAnsi="Times New Roman"/>
        </w:rPr>
        <w:t xml:space="preserve">До начала испытаний определяют факторы, при которых испытания могут создать угрозу жизни и здоровью людей или причинить ущерб имуществу: пуск установок пожаротушения, останов технологического оборудования, подача воды на резервуары, передача извещений во внешние службы. О выявленных факторах уведомляют руководителя филиала и принимают меры по снижению риска; перечень факторов и мер вносят в журнал проверок (ГОСТ Р 59638-2021, Б.4.3).</w:t>
      </w:r>
    </w:p>
    <w:p>
      <w:pPr>
        <w:pStyle w:val="ListParagraph"/>
        <w:numPr>
          <w:ilvl w:val="0"/>
          <w:numId w:val="2"/>
        </w:numPr>
        <w:spacing w:after="40" w:line="276"/>
        <w:jc w:val="both"/>
      </w:pPr>
      <w:r>
        <w:rPr>
          <w:rFonts w:ascii="Times New Roman" w:cs="Times New Roman" w:eastAsia="Times New Roman" w:hAnsi="Times New Roman"/>
        </w:rPr>
        <w:t xml:space="preserve">Подачу воды на стенки резервуаров с продуктом выполнять только после согласования представителем технологической службы резервуарного парка (6.1) с записью в журнале проверок, с учётом воздействия на теплоизоляцию и системы подогрева. Подача воды или раствора пенообразователя внутрь резервуара с продуктом не допускается: проходимость трубопроводов пенотушения проверяют с отсоединением генератора или через контрольный выпуск перед ним.</w:t>
      </w:r>
    </w:p>
    <w:p>
      <w:pPr>
        <w:pStyle w:val="ListParagraph"/>
        <w:numPr>
          <w:ilvl w:val="0"/>
          <w:numId w:val="2"/>
        </w:numPr>
        <w:spacing w:after="40" w:line="276"/>
        <w:jc w:val="both"/>
      </w:pPr>
      <w:r>
        <w:rPr>
          <w:rFonts w:ascii="Times New Roman" w:cs="Times New Roman" w:eastAsia="Times New Roman" w:hAnsi="Times New Roman"/>
        </w:rPr>
        <w:t xml:space="preserve">Работы на территории резервуарных парков и эстакад выполнять с соблюдением инструкций по охране труда филиала с учётом класса зон по проекту; в зонах взрывоопасных классов применять СИ во взрывозащищённом исполнении.</w:t>
      </w:r>
    </w:p>
    <w:p>
      <w:pPr>
        <w:pStyle w:val="ListParagraph"/>
        <w:numPr>
          <w:ilvl w:val="0"/>
          <w:numId w:val="2"/>
        </w:numPr>
        <w:spacing w:after="40" w:line="276"/>
        <w:jc w:val="both"/>
      </w:pPr>
      <w:r>
        <w:rPr>
          <w:rFonts w:ascii="Times New Roman" w:cs="Times New Roman" w:eastAsia="Times New Roman" w:hAnsi="Times New Roman"/>
        </w:rPr>
        <w:t xml:space="preserve">После каждой проверки восстановить все отключённые цепи, арматуру и режимы автоматики, опорожнить сухие трубопроводы, установить заглушки; восстановление подтверждается подписью ответственного в журнале проверок.</w:t>
      </w:r>
    </w:p>
    <w:p>
      <w:pPr>
        <w:pStyle w:val="Heading2"/>
        <w:keepNext/>
        <w:spacing w:after="80" w:before="160"/>
        <w:ind w:firstLine="709"/>
      </w:pPr>
      <w:r>
        <w:rPr>
          <w:rFonts w:ascii="Times New Roman" w:cs="Times New Roman" w:eastAsia="Times New Roman" w:hAnsi="Times New Roman"/>
          <w:b/>
          <w:bCs/>
          <w:sz w:val="32"/>
          <w:szCs w:val="32"/>
        </w:rPr>
        <w:t xml:space="preserve">6.4 Средства измерений</w:t>
      </w:r>
    </w:p>
    <w:p>
      <w:pPr>
        <w:spacing w:after="60" w:line="276"/>
        <w:ind w:firstLine="709"/>
        <w:jc w:val="both"/>
      </w:pPr>
      <w:r>
        <w:rPr>
          <w:rFonts w:ascii="Times New Roman" w:cs="Times New Roman" w:eastAsia="Times New Roman" w:hAnsi="Times New Roman"/>
        </w:rPr>
        <w:t xml:space="preserve">Применяют СИ, поверенные в соответствии с Федеральным законом от 26.06.2008 № 102-ФЗ «Об обеспечении единства измерений»; испытательное оборудование, не являющееся СИ, – исправное и соответствующее ТД изготовителя. Номера и сроки поверки записывают в журнал проверок.</w:t>
      </w:r>
    </w:p>
    <w:p>
      <w:pPr>
        <w:keepNext/>
        <w:spacing w:after="60" w:before="120"/>
      </w:pPr>
      <w:r>
        <w:rPr>
          <w:rFonts w:ascii="Times New Roman" w:cs="Times New Roman" w:eastAsia="Times New Roman" w:hAnsi="Times New Roman"/>
        </w:rPr>
        <w:t xml:space="preserve">Таблица 2 – Средства измерений и испытательное оборудование</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3300"/>
        <w:gridCol w:w="3500"/>
        <w:gridCol w:w="2554"/>
      </w:tblGrid>
      <w:tr>
        <w:trPr>
          <w:cantSplit/>
          <w:tblHeader/>
        </w:trPr>
        <w:tc>
          <w:tcPr>
            <w:tcW w:type="dxa" w:w="3300"/>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4"/>
                <w:szCs w:val="24"/>
              </w:rPr>
              <w:t xml:space="preserve">Наименование</w:t>
            </w:r>
          </w:p>
        </w:tc>
        <w:tc>
          <w:tcPr>
            <w:tcW w:type="dxa" w:w="3500"/>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4"/>
                <w:szCs w:val="24"/>
              </w:rPr>
              <w:t xml:space="preserve">Назначение</w:t>
            </w:r>
          </w:p>
        </w:tc>
        <w:tc>
          <w:tcPr>
            <w:tcW w:type="dxa" w:w="2554"/>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4"/>
                <w:szCs w:val="24"/>
              </w:rPr>
              <w:t xml:space="preserve">Требование</w:t>
            </w:r>
          </w:p>
        </w:tc>
      </w:tr>
      <w:tr>
        <w:trPr>
          <w:cantSplit/>
        </w:trPr>
        <w:tc>
          <w:tcPr>
            <w:tcW w:type="dxa" w:w="3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Мультиметр</w:t>
            </w:r>
          </w:p>
        </w:tc>
        <w:tc>
          <w:tcPr>
            <w:tcW w:type="dxa" w:w="3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Напряжение питания, контроль линий</w:t>
            </w:r>
          </w:p>
        </w:tc>
        <w:tc>
          <w:tcPr>
            <w:tcW w:type="dxa" w:w="25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По ТД приборов</w:t>
            </w:r>
          </w:p>
        </w:tc>
      </w:tr>
      <w:tr>
        <w:trPr>
          <w:cantSplit/>
        </w:trPr>
        <w:tc>
          <w:tcPr>
            <w:tcW w:type="dxa" w:w="3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Секундомер</w:t>
            </w:r>
          </w:p>
        </w:tc>
        <w:tc>
          <w:tcPr>
            <w:tcW w:type="dxa" w:w="3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Время реакции, задержки, выход насосов на режим</w:t>
            </w:r>
          </w:p>
        </w:tc>
        <w:tc>
          <w:tcPr>
            <w:tcW w:type="dxa" w:w="25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Поверенный</w:t>
            </w:r>
          </w:p>
        </w:tc>
      </w:tr>
      <w:tr>
        <w:trPr>
          <w:cantSplit/>
        </w:trPr>
        <w:tc>
          <w:tcPr>
            <w:tcW w:type="dxa" w:w="3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Шумомер</w:t>
            </w:r>
          </w:p>
        </w:tc>
        <w:tc>
          <w:tcPr>
            <w:tcW w:type="dxa" w:w="3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Уровень звука СОУЭ</w:t>
            </w:r>
          </w:p>
        </w:tc>
        <w:tc>
          <w:tcPr>
            <w:tcW w:type="dxa" w:w="25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Поверенный, класс 1 или 2</w:t>
            </w:r>
          </w:p>
        </w:tc>
      </w:tr>
      <w:tr>
        <w:trPr>
          <w:cantSplit/>
        </w:trPr>
        <w:tc>
          <w:tcPr>
            <w:tcW w:type="dxa" w:w="3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Манометры</w:t>
            </w:r>
          </w:p>
        </w:tc>
        <w:tc>
          <w:tcPr>
            <w:tcW w:type="dxa" w:w="3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Давление в сетях АУП, ВПВ, НПВ, на вводе установок охлаждения</w:t>
            </w:r>
          </w:p>
        </w:tc>
        <w:tc>
          <w:tcPr>
            <w:tcW w:type="dxa" w:w="25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Поверенные; предел измерений по ожидаемому давлению</w:t>
            </w:r>
          </w:p>
        </w:tc>
      </w:tr>
      <w:tr>
        <w:trPr>
          <w:cantSplit/>
        </w:trPr>
        <w:tc>
          <w:tcPr>
            <w:tcW w:type="dxa" w:w="3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Расходомер (накладной ультразвуковой) или ствол с калиброванным насадком</w:t>
            </w:r>
          </w:p>
        </w:tc>
        <w:tc>
          <w:tcPr>
            <w:tcW w:type="dxa" w:w="3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Расход воды в сетях, на гидрантах и установках охлаждения</w:t>
            </w:r>
          </w:p>
        </w:tc>
        <w:tc>
          <w:tcPr>
            <w:tcW w:type="dxa" w:w="25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Поверенный; диапазон измерений по проектному расходу. Для ствола с насадком расход определяют по давлению перед насадком, измеренному поверенным манометром, и диаметру насадка</w:t>
            </w:r>
          </w:p>
        </w:tc>
      </w:tr>
      <w:tr>
        <w:trPr>
          <w:cantSplit/>
        </w:trPr>
        <w:tc>
          <w:tcPr>
            <w:tcW w:type="dxa" w:w="3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Анемометр, дифференциальный манометр</w:t>
            </w:r>
          </w:p>
        </w:tc>
        <w:tc>
          <w:tcPr>
            <w:tcW w:type="dxa" w:w="3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Аэродинамические испытания противодымной вентиляции</w:t>
            </w:r>
          </w:p>
        </w:tc>
        <w:tc>
          <w:tcPr>
            <w:tcW w:type="dxa" w:w="25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По ГОСТ Р 53300-2009</w:t>
            </w:r>
          </w:p>
        </w:tc>
      </w:tr>
      <w:tr>
        <w:trPr>
          <w:cantSplit/>
        </w:trPr>
        <w:tc>
          <w:tcPr>
            <w:tcW w:type="dxa" w:w="3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Рефрактометр</w:t>
            </w:r>
          </w:p>
        </w:tc>
        <w:tc>
          <w:tcPr>
            <w:tcW w:type="dxa" w:w="3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Концентрация раствора пенообразователя</w:t>
            </w:r>
          </w:p>
        </w:tc>
        <w:tc>
          <w:tcPr>
            <w:tcW w:type="dxa" w:w="25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С калибровкой по фактическому пенообразователю</w:t>
            </w:r>
          </w:p>
        </w:tc>
      </w:tr>
      <w:tr>
        <w:trPr>
          <w:cantSplit/>
        </w:trPr>
        <w:tc>
          <w:tcPr>
            <w:tcW w:type="dxa" w:w="3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Лазерный дальномер, рулетка, нивелир</w:t>
            </w:r>
          </w:p>
        </w:tc>
        <w:tc>
          <w:tcPr>
            <w:tcW w:type="dxa" w:w="3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Расстояния, высота хранения, уклоны площадок, положение линейных ИП</w:t>
            </w:r>
          </w:p>
        </w:tc>
        <w:tc>
          <w:tcPr>
            <w:tcW w:type="dxa" w:w="25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По паспорту СИ</w:t>
            </w:r>
          </w:p>
        </w:tc>
      </w:tr>
      <w:tr>
        <w:trPr>
          <w:cantSplit/>
        </w:trPr>
        <w:tc>
          <w:tcPr>
            <w:tcW w:type="dxa" w:w="3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Толщиномер покрытий</w:t>
            </w:r>
          </w:p>
        </w:tc>
        <w:tc>
          <w:tcPr>
            <w:tcW w:type="dxa" w:w="3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Толщина огнезащиты</w:t>
            </w:r>
          </w:p>
        </w:tc>
        <w:tc>
          <w:tcPr>
            <w:tcW w:type="dxa" w:w="25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По ТД средства огнезащиты</w:t>
            </w:r>
          </w:p>
        </w:tc>
      </w:tr>
      <w:tr>
        <w:trPr>
          <w:cantSplit/>
        </w:trPr>
        <w:tc>
          <w:tcPr>
            <w:tcW w:type="dxa" w:w="3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Средства активации ИП, имитаторы пусковых цепей</w:t>
            </w:r>
          </w:p>
        </w:tc>
        <w:tc>
          <w:tcPr>
            <w:tcW w:type="dxa" w:w="3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Воздействие на ИП, имитация пуска</w:t>
            </w:r>
          </w:p>
        </w:tc>
        <w:tc>
          <w:tcPr>
            <w:tcW w:type="dxa" w:w="25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Указанные в ТД изготовителя извещателей и приборов</w:t>
            </w:r>
          </w:p>
        </w:tc>
      </w:tr>
    </w:tbl>
    <w:p>
      <w:pPr>
        <w:spacing w:after="60"/>
      </w:pPr>
    </w:p>
    <w:p>
      <w:pPr>
        <w:pStyle w:val="Heading1"/>
        <w:keepNext/>
        <w:spacing w:after="120" w:before="240"/>
        <w:ind w:firstLine="709"/>
      </w:pPr>
      <w:r>
        <w:rPr>
          <w:rFonts w:ascii="Times New Roman" w:cs="Times New Roman" w:eastAsia="Times New Roman" w:hAnsi="Times New Roman"/>
          <w:b/>
          <w:bCs/>
          <w:sz w:val="32"/>
          <w:szCs w:val="32"/>
        </w:rPr>
        <w:t xml:space="preserve">7 Общий порядок и критерии оценки</w:t>
      </w:r>
    </w:p>
    <w:p>
      <w:pPr>
        <w:keepNext/>
        <w:spacing w:after="60" w:line="276"/>
        <w:ind w:firstLine="709"/>
        <w:jc w:val="both"/>
      </w:pPr>
      <w:r>
        <w:rPr>
          <w:rFonts w:ascii="Times New Roman" w:cs="Times New Roman" w:eastAsia="Times New Roman" w:hAnsi="Times New Roman"/>
        </w:rPr>
        <w:t xml:space="preserve">Испытания проводят в следующей последовательности:</w:t>
      </w:r>
    </w:p>
    <w:p>
      <w:pPr>
        <w:pStyle w:val="ListParagraph"/>
        <w:numPr>
          <w:ilvl w:val="0"/>
          <w:numId w:val="5"/>
        </w:numPr>
        <w:spacing w:after="40" w:line="276"/>
        <w:jc w:val="both"/>
      </w:pPr>
      <w:r>
        <w:rPr>
          <w:rFonts w:ascii="Times New Roman" w:cs="Times New Roman" w:eastAsia="Times New Roman" w:hAnsi="Times New Roman"/>
        </w:rPr>
        <w:t xml:space="preserve">документальная проверка (таблица 3);</w:t>
      </w:r>
    </w:p>
    <w:p>
      <w:pPr>
        <w:pStyle w:val="ListParagraph"/>
        <w:numPr>
          <w:ilvl w:val="0"/>
          <w:numId w:val="5"/>
        </w:numPr>
        <w:spacing w:after="40" w:line="276"/>
        <w:jc w:val="both"/>
      </w:pPr>
      <w:r>
        <w:rPr>
          <w:rFonts w:ascii="Times New Roman" w:cs="Times New Roman" w:eastAsia="Times New Roman" w:hAnsi="Times New Roman"/>
        </w:rPr>
        <w:t xml:space="preserve">автономные испытания систем (разделы 8–12);</w:t>
      </w:r>
    </w:p>
    <w:p>
      <w:pPr>
        <w:pStyle w:val="ListParagraph"/>
        <w:numPr>
          <w:ilvl w:val="0"/>
          <w:numId w:val="5"/>
        </w:numPr>
        <w:spacing w:after="40" w:line="276"/>
        <w:jc w:val="both"/>
      </w:pPr>
      <w:r>
        <w:rPr>
          <w:rFonts w:ascii="Times New Roman" w:cs="Times New Roman" w:eastAsia="Times New Roman" w:hAnsi="Times New Roman"/>
        </w:rPr>
        <w:t xml:space="preserve">проверка компенсирующих мероприятий СТУ на резервуарных парках и эстакадах (раздел 13);</w:t>
      </w:r>
    </w:p>
    <w:p>
      <w:pPr>
        <w:pStyle w:val="ListParagraph"/>
        <w:numPr>
          <w:ilvl w:val="0"/>
          <w:numId w:val="5"/>
        </w:numPr>
        <w:spacing w:after="40" w:line="276"/>
        <w:jc w:val="both"/>
      </w:pPr>
      <w:r>
        <w:rPr>
          <w:rFonts w:ascii="Times New Roman" w:cs="Times New Roman" w:eastAsia="Times New Roman" w:hAnsi="Times New Roman"/>
        </w:rPr>
        <w:t xml:space="preserve">комплексные сценарии взаимодействия систем (раздел 14);</w:t>
      </w:r>
    </w:p>
    <w:p>
      <w:pPr>
        <w:pStyle w:val="ListParagraph"/>
        <w:numPr>
          <w:ilvl w:val="0"/>
          <w:numId w:val="5"/>
        </w:numPr>
        <w:spacing w:after="40" w:line="276"/>
        <w:jc w:val="both"/>
      </w:pPr>
      <w:r>
        <w:rPr>
          <w:rFonts w:ascii="Times New Roman" w:cs="Times New Roman" w:eastAsia="Times New Roman" w:hAnsi="Times New Roman"/>
        </w:rPr>
        <w:t xml:space="preserve">проверка огнезащиты (раздел 15);</w:t>
      </w:r>
    </w:p>
    <w:p>
      <w:pPr>
        <w:pStyle w:val="ListParagraph"/>
        <w:numPr>
          <w:ilvl w:val="0"/>
          <w:numId w:val="5"/>
        </w:numPr>
        <w:spacing w:after="40" w:line="276"/>
        <w:jc w:val="both"/>
      </w:pPr>
      <w:r>
        <w:rPr>
          <w:rFonts w:ascii="Times New Roman" w:cs="Times New Roman" w:eastAsia="Times New Roman" w:hAnsi="Times New Roman"/>
        </w:rPr>
        <w:t xml:space="preserve">проверка объёмно-планировочных решений (раздел 16);</w:t>
      </w:r>
    </w:p>
    <w:p>
      <w:pPr>
        <w:pStyle w:val="ListParagraph"/>
        <w:numPr>
          <w:ilvl w:val="0"/>
          <w:numId w:val="5"/>
        </w:numPr>
        <w:spacing w:after="40" w:line="276"/>
        <w:jc w:val="both"/>
      </w:pPr>
      <w:r>
        <w:rPr>
          <w:rFonts w:ascii="Times New Roman" w:cs="Times New Roman" w:eastAsia="Times New Roman" w:hAnsi="Times New Roman"/>
        </w:rPr>
        <w:t xml:space="preserve">оформление результатов (раздел 17).</w:t>
      </w:r>
    </w:p>
    <w:p>
      <w:pPr>
        <w:spacing w:after="60" w:line="276"/>
        <w:ind w:firstLine="709"/>
        <w:jc w:val="both"/>
      </w:pPr>
      <w:r>
        <w:rPr>
          <w:rFonts w:ascii="Times New Roman" w:cs="Times New Roman" w:eastAsia="Times New Roman" w:hAnsi="Times New Roman"/>
        </w:rPr>
        <w:t xml:space="preserve">Каждый сценарий выполняют в порядке: запись исходного состояния; создание тестового события; фиксация времени и места события; наблюдение ППКП и АРМ; фиксация команды на границе СПС; подтверждение фактического действия смежной системы и обратного сигнала; возврат в дежурный режим. Для каждой проверки указывают исходную зону или адрес, ожидаемую последовательность и проектную ссылку.</w:t>
      </w:r>
    </w:p>
    <w:p>
      <w:pPr>
        <w:spacing w:after="60" w:line="276"/>
        <w:ind w:firstLine="709"/>
        <w:jc w:val="both"/>
      </w:pPr>
      <w:r>
        <w:rPr>
          <w:rFonts w:ascii="Times New Roman" w:cs="Times New Roman" w:eastAsia="Times New Roman" w:hAnsi="Times New Roman"/>
        </w:rPr>
        <w:t xml:space="preserve">Результат «соответствует» ставят только при выполнении всей проектной цепочки, включая индикацию, управление и обратные сигналы, а для мероприятий СТУ – при фактическом значении не хуже установленного СТУ. При отсутствии проектного параметра в графе результата пишут «не оценено: нет проектного значения». Отрицательный результат по любой строке приложения А оформляют как несоответствие СТУ с указанием пункта СТУ, требуемого и фактического значения.</w:t>
      </w:r>
    </w:p>
    <w:p>
      <w:pPr>
        <w:spacing w:after="60" w:line="276"/>
        <w:ind w:firstLine="709"/>
        <w:jc w:val="both"/>
      </w:pPr>
      <w:r>
        <w:rPr>
          <w:rFonts w:ascii="Times New Roman" w:cs="Times New Roman" w:eastAsia="Times New Roman" w:hAnsi="Times New Roman"/>
        </w:rPr>
        <w:t xml:space="preserve">Все неисправности, отклонения времени и неполные реакции вносят в ведомость дефектов; после устранения повторяют затронутые сценарии (ГОСТ Р 59638-2021, Б.4.9).</w:t>
      </w:r>
    </w:p>
    <w:p>
      <w:pPr>
        <w:spacing w:after="60" w:line="276"/>
        <w:ind w:firstLine="709"/>
        <w:jc w:val="both"/>
      </w:pPr>
      <w:r>
        <w:rPr>
          <w:rFonts w:ascii="Times New Roman" w:cs="Times New Roman" w:eastAsia="Times New Roman" w:hAnsi="Times New Roman"/>
        </w:rPr>
        <w:t xml:space="preserve">После изменения систем противопожарной защиты, алгоритмов их взаимодействия или состава объекта, в том числе по проекту 0943, комплексные испытания проводят не менее чем в объёме функций, затронутых изменениями, с проверкой каждой изменённой функции (ГОСТ Р 59638-2021, Б.4.10).</w:t>
      </w:r>
    </w:p>
    <w:p>
      <w:pPr>
        <w:spacing w:after="60" w:line="276"/>
        <w:ind w:firstLine="709"/>
        <w:jc w:val="both"/>
      </w:pPr>
      <w:r>
        <w:rPr>
          <w:rFonts w:ascii="Times New Roman" w:cs="Times New Roman" w:eastAsia="Times New Roman" w:hAnsi="Times New Roman"/>
        </w:rPr>
        <w:t xml:space="preserve">Испытания приостанавливают при возникновении пожара или срабатывании систем, не связанном с испытаниями; при угрозе жизни и здоровью людей или повреждению оборудования; при непредусмотренном пуске установки пожаротушения, подаче ОТВ или останове технологического оборудования; при отказе СИ или имитаторов; при неисправности, исключающей продолжение сценария. Время и причину приостановки и возобновления записывают в журнал проверок. После устранения причины прерванный сценарий повторяют с начала.</w:t>
      </w:r>
    </w:p>
    <w:p>
      <w:pPr>
        <w:keepNext/>
        <w:spacing w:after="60" w:before="120"/>
      </w:pPr>
      <w:r>
        <w:rPr>
          <w:rFonts w:ascii="Times New Roman" w:cs="Times New Roman" w:eastAsia="Times New Roman" w:hAnsi="Times New Roman"/>
        </w:rPr>
        <w:t xml:space="preserve">Таблица 3 – Документальная проверка</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1000"/>
        <w:gridCol w:w="4400"/>
        <w:gridCol w:w="3954"/>
      </w:tblGrid>
      <w:tr>
        <w:trPr>
          <w:cantSplit/>
          <w:tblHeader/>
        </w:trPr>
        <w:tc>
          <w:tcPr>
            <w:tcW w:type="dxa" w:w="1000"/>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4"/>
                <w:szCs w:val="24"/>
              </w:rPr>
              <w:t xml:space="preserve">Код</w:t>
            </w:r>
          </w:p>
        </w:tc>
        <w:tc>
          <w:tcPr>
            <w:tcW w:type="dxa" w:w="4400"/>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4"/>
                <w:szCs w:val="24"/>
              </w:rPr>
              <w:t xml:space="preserve">Действие и объём</w:t>
            </w:r>
          </w:p>
        </w:tc>
        <w:tc>
          <w:tcPr>
            <w:tcW w:type="dxa" w:w="3954"/>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4"/>
                <w:szCs w:val="24"/>
              </w:rPr>
              <w:t xml:space="preserve">Критерий</w:t>
            </w:r>
          </w:p>
        </w:tc>
      </w:tr>
      <w:tr>
        <w:trPr>
          <w:cantSplit/>
        </w:trPr>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О1</w:t>
            </w:r>
          </w:p>
        </w:tc>
        <w:tc>
          <w:tcPr>
            <w:tcW w:type="dxa" w:w="4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Ознакомление с проектной и исполнительной документацией, планами визуализации в «ОрионПро»</w:t>
            </w:r>
          </w:p>
        </w:tc>
        <w:tc>
          <w:tcPr>
            <w:tcW w:type="dxa" w:w="39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Документация соответствует смонтированному оборудованию</w:t>
            </w:r>
          </w:p>
        </w:tc>
      </w:tr>
      <w:tr>
        <w:trPr>
          <w:cantSplit/>
        </w:trPr>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О2</w:t>
            </w:r>
          </w:p>
        </w:tc>
        <w:tc>
          <w:tcPr>
            <w:tcW w:type="dxa" w:w="4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Проверка сертификатов (деклараций) соответствия и паспортов на оборудование и материалы (п. 2.1.4 СТУ)</w:t>
            </w:r>
          </w:p>
        </w:tc>
        <w:tc>
          <w:tcPr>
            <w:tcW w:type="dxa" w:w="39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Документы имеются на всё оборудование, подлежащее подтверждению соответствия</w:t>
            </w:r>
          </w:p>
        </w:tc>
      </w:tr>
      <w:tr>
        <w:trPr>
          <w:cantSplit/>
        </w:trPr>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О3</w:t>
            </w:r>
          </w:p>
        </w:tc>
        <w:tc>
          <w:tcPr>
            <w:tcW w:type="dxa" w:w="4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Проверка эксплуатационной документации: журнал эксплуатации систем противопожарной защиты, акты проверок по п. 54 ППР, договор на техническое обслуживание, инструкция по эксплуатации СПС (Изменение № 1 к ГОСТ Р 59638-2021)</w:t>
            </w:r>
          </w:p>
        </w:tc>
        <w:tc>
          <w:tcPr>
            <w:tcW w:type="dxa" w:w="39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Документы имеются и ведутся</w:t>
            </w:r>
          </w:p>
        </w:tc>
      </w:tr>
      <w:tr>
        <w:trPr>
          <w:cantSplit/>
        </w:trPr>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О4</w:t>
            </w:r>
          </w:p>
        </w:tc>
        <w:tc>
          <w:tcPr>
            <w:tcW w:type="dxa" w:w="4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Сверка состава объекта с п. 1.11 СТУ (подраздел 4.2)</w:t>
            </w:r>
          </w:p>
        </w:tc>
        <w:tc>
          <w:tcPr>
            <w:tcW w:type="dxa" w:w="39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Состав соответствует СТУ либо изменения подтверждены расчётом риска или изменением СТУ</w:t>
            </w:r>
          </w:p>
        </w:tc>
      </w:tr>
      <w:tr>
        <w:trPr>
          <w:cantSplit/>
        </w:trPr>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О5</w:t>
            </w:r>
          </w:p>
        </w:tc>
        <w:tc>
          <w:tcPr>
            <w:tcW w:type="dxa" w:w="4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Подтверждение времени прибытия первых подразделений пожарной охраны (пп. 2.1.3, 3.23 СТУ) по расчёту или письму гарнизона</w:t>
            </w:r>
          </w:p>
        </w:tc>
        <w:tc>
          <w:tcPr>
            <w:tcW w:type="dxa" w:w="39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Не более 20 мин</w:t>
            </w:r>
          </w:p>
        </w:tc>
      </w:tr>
    </w:tbl>
    <w:p>
      <w:pPr>
        <w:spacing w:after="60"/>
      </w:pPr>
    </w:p>
    <w:p>
      <w:pPr>
        <w:pStyle w:val="Heading1"/>
        <w:keepNext/>
        <w:spacing w:after="120" w:before="240"/>
        <w:ind w:firstLine="709"/>
      </w:pPr>
      <w:r>
        <w:rPr>
          <w:rFonts w:ascii="Times New Roman" w:cs="Times New Roman" w:eastAsia="Times New Roman" w:hAnsi="Times New Roman"/>
          <w:b/>
          <w:bCs/>
          <w:sz w:val="32"/>
          <w:szCs w:val="32"/>
        </w:rPr>
        <w:t xml:space="preserve">8 Методика испытаний СПС и межсистемных связей</w:t>
      </w:r>
    </w:p>
    <w:p>
      <w:pPr>
        <w:spacing w:after="60" w:line="276"/>
        <w:ind w:firstLine="709"/>
        <w:jc w:val="both"/>
      </w:pPr>
      <w:r>
        <w:rPr>
          <w:rFonts w:ascii="Times New Roman" w:cs="Times New Roman" w:eastAsia="Times New Roman" w:hAnsi="Times New Roman"/>
        </w:rPr>
        <w:t xml:space="preserve">Испытания проводят по ГОСТ Р 59638-2021 (раздел 7, приложение Б, подраздел Б.4).</w:t>
      </w:r>
    </w:p>
    <w:p>
      <w:pPr>
        <w:keepNext/>
        <w:spacing w:after="60" w:before="120"/>
      </w:pPr>
      <w:r>
        <w:rPr>
          <w:rFonts w:ascii="Times New Roman" w:cs="Times New Roman" w:eastAsia="Times New Roman" w:hAnsi="Times New Roman"/>
        </w:rPr>
        <w:t xml:space="preserve">Таблица 4 – Испытания СПС</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1000"/>
        <w:gridCol w:w="4400"/>
        <w:gridCol w:w="3954"/>
      </w:tblGrid>
      <w:tr>
        <w:trPr>
          <w:cantSplit/>
          <w:tblHeader/>
        </w:trPr>
        <w:tc>
          <w:tcPr>
            <w:tcW w:type="dxa" w:w="1000"/>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4"/>
                <w:szCs w:val="24"/>
              </w:rPr>
              <w:t xml:space="preserve">Код</w:t>
            </w:r>
          </w:p>
        </w:tc>
        <w:tc>
          <w:tcPr>
            <w:tcW w:type="dxa" w:w="4400"/>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4"/>
                <w:szCs w:val="24"/>
              </w:rPr>
              <w:t xml:space="preserve">Действие и объём</w:t>
            </w:r>
          </w:p>
        </w:tc>
        <w:tc>
          <w:tcPr>
            <w:tcW w:type="dxa" w:w="3954"/>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4"/>
                <w:szCs w:val="24"/>
              </w:rPr>
              <w:t xml:space="preserve">Критерий и запись</w:t>
            </w:r>
          </w:p>
        </w:tc>
      </w:tr>
      <w:tr>
        <w:trPr>
          <w:cantSplit/>
        </w:trPr>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С1</w:t>
            </w:r>
          </w:p>
        </w:tc>
        <w:tc>
          <w:tcPr>
            <w:tcW w:type="dxa" w:w="4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Поочерёдно активировать автоматический и ручной ИП в каждой ЗКСПС; если в зоне оба типа, проверить оба</w:t>
            </w:r>
          </w:p>
        </w:tc>
        <w:tc>
          <w:tcPr>
            <w:tcW w:type="dxa" w:w="39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Правильные адрес, зона, состояние «Пожар» и запись в журнале событий; проектные выходы и цифровые сообщения активируются</w:t>
            </w:r>
          </w:p>
        </w:tc>
      </w:tr>
      <w:tr>
        <w:trPr>
          <w:cantSplit/>
        </w:trPr>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С2</w:t>
            </w:r>
          </w:p>
        </w:tc>
        <w:tc>
          <w:tcPr>
            <w:tcW w:type="dxa" w:w="4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Проверить переходы «Внимание», «Пожар», «Неисправность», «Отключение» по предусмотренным алгоритмам</w:t>
            </w:r>
          </w:p>
        </w:tc>
        <w:tc>
          <w:tcPr>
            <w:tcW w:type="dxa" w:w="39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Индикация ППКП, БКИ и АРМ соответствует проекту; преждевременный пуск исключён</w:t>
            </w:r>
          </w:p>
        </w:tc>
      </w:tr>
      <w:tr>
        <w:trPr>
          <w:cantSplit/>
        </w:trPr>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С3</w:t>
            </w:r>
          </w:p>
        </w:tc>
        <w:tc>
          <w:tcPr>
            <w:tcW w:type="dxa" w:w="4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Имитировать обрыв и короткое замыкание контролируемой линии, потерю связи с прибором, отказ основного питания и отключение аккумуляторов на узле, выбранном до начала испытаний и указанном в журнале проверок</w:t>
            </w:r>
          </w:p>
        </w:tc>
        <w:tc>
          <w:tcPr>
            <w:tcW w:type="dxa" w:w="39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Адресная индикация неисправности, запись в журнале, звуковая и световая сигнализация, сохранение функций по проекту</w:t>
            </w:r>
          </w:p>
        </w:tc>
      </w:tr>
      <w:tr>
        <w:trPr>
          <w:cantSplit/>
        </w:trPr>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С4</w:t>
            </w:r>
          </w:p>
        </w:tc>
        <w:tc>
          <w:tcPr>
            <w:tcW w:type="dxa" w:w="4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Провести не менее одной проверки работы от резервных источников при максимальной предусмотренной нагрузке</w:t>
            </w:r>
          </w:p>
        </w:tc>
        <w:tc>
          <w:tcPr>
            <w:tcW w:type="dxa" w:w="39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Переключение, устойчивость и возврат питания; напряжения и длительность по проекту и ТД</w:t>
            </w:r>
          </w:p>
        </w:tc>
      </w:tr>
      <w:tr>
        <w:trPr>
          <w:cantSplit/>
        </w:trPr>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С5</w:t>
            </w:r>
          </w:p>
        </w:tc>
        <w:tc>
          <w:tcPr>
            <w:tcW w:type="dxa" w:w="4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Проверить каждый выход и цифровое сообщение, управляющие СОУЭ, АУП, противодымной и общеобменной вентиляцией</w:t>
            </w:r>
          </w:p>
        </w:tc>
        <w:tc>
          <w:tcPr>
            <w:tcW w:type="dxa" w:w="39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Совпадение с таблицей алгоритмов взаимодействия (приложение К); при опасных воздействиях – команда на имитаторе и отдельно проверка исполнительного устройства от местного управления без выпуска ОТВ и без останова технологического оборудования</w:t>
            </w:r>
          </w:p>
        </w:tc>
      </w:tr>
      <w:tr>
        <w:trPr>
          <w:cantSplit/>
        </w:trPr>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С6</w:t>
            </w:r>
          </w:p>
        </w:tc>
        <w:tc>
          <w:tcPr>
            <w:tcW w:type="dxa" w:w="4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Линейные дымовые ИП в помещениях стеллажного хранения (п. 2.2.7 СТУ): измерить расстояние от оптической оси до перекрытия (по 0115.010-АПС, лист 3, верхний ярус размещают не более 0,8 м от перекрытия); в помещениях высотой более 12 м проверить второй ярус; активировать каждый ИП тест-фильтром изготовителя</w:t>
            </w:r>
          </w:p>
        </w:tc>
        <w:tc>
          <w:tcPr>
            <w:tcW w:type="dxa" w:w="39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Оптическая ось на расстоянии от 0,1 до 0,6 м от перекрытия; при высоте помещения более 12 м – два яруса по таблице 13.4 СП 5.13130.2009 (п. 2.2.7 СТУ); срабатывание каждого ИП</w:t>
            </w:r>
          </w:p>
        </w:tc>
      </w:tr>
      <w:tr>
        <w:trPr>
          <w:cantSplit/>
        </w:trPr>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С7</w:t>
            </w:r>
          </w:p>
        </w:tc>
        <w:tc>
          <w:tcPr>
            <w:tcW w:type="dxa" w:w="4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ИПР по периметру резервуарных парков (п. 3.6 СТУ): измерить расстояния между ИПР по внешнему периметру и до обвалования; активировать каждый ИПР</w:t>
            </w:r>
          </w:p>
        </w:tc>
        <w:tc>
          <w:tcPr>
            <w:tcW w:type="dxa" w:w="39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Не более 100 м между ИПР, не менее двух на парк, не более 5 м от обвалования, в местах прохода персонала; правильные адрес и зона на ППКП</w:t>
            </w:r>
          </w:p>
        </w:tc>
      </w:tr>
      <w:tr>
        <w:trPr>
          <w:cantSplit/>
        </w:trPr>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С8</w:t>
            </w:r>
          </w:p>
        </w:tc>
        <w:tc>
          <w:tcPr>
            <w:tcW w:type="dxa" w:w="4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Передача извещения в подразделение пожарной охраны (п. 2.2.8 СТУ): после уведомления принимающего пульта о тестовом извещении сформировать «Пожар»</w:t>
            </w:r>
          </w:p>
        </w:tc>
        <w:tc>
          <w:tcPr>
            <w:tcW w:type="dxa" w:w="39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Извещение принято на пульте подразделения с идентификацией объекта; время регистрации подтверждено записью принимающей стороны</w:t>
            </w:r>
          </w:p>
        </w:tc>
      </w:tr>
    </w:tbl>
    <w:p>
      <w:pPr>
        <w:spacing w:after="60"/>
      </w:pPr>
    </w:p>
    <w:p>
      <w:pPr>
        <w:spacing w:after="60" w:line="276"/>
        <w:ind w:firstLine="709"/>
        <w:jc w:val="both"/>
      </w:pPr>
      <w:r>
        <w:rPr>
          <w:rFonts w:ascii="Times New Roman" w:cs="Times New Roman" w:eastAsia="Times New Roman" w:hAnsi="Times New Roman"/>
        </w:rPr>
        <w:t xml:space="preserve">Специальный сценарий 0943-СПС: отдельно проверить первый автоматический ИП (без автоматического пуска завесы), второй ИП (команда пуска), ручной ИП периметра (команда пуска), местный «Пуск», «Отмена пуска», светозвуковой оповещатель и сообщения «пуск», «работа», «неисправность» ШУПН. Реальное открытие задвижки и запуск насоса выполнять только после согласования представителем технологической службы (6.1) с записью в журнале проверок и с соблюдением мер безопасности подраздела 6.3. Критерии времени и давления принимают по проекту АУП и ТД ШУПН.</w:t>
      </w:r>
    </w:p>
    <w:p>
      <w:pPr>
        <w:pStyle w:val="Heading1"/>
        <w:keepNext/>
        <w:spacing w:after="120" w:before="240"/>
        <w:ind w:firstLine="709"/>
      </w:pPr>
      <w:r>
        <w:rPr>
          <w:rFonts w:ascii="Times New Roman" w:cs="Times New Roman" w:eastAsia="Times New Roman" w:hAnsi="Times New Roman"/>
          <w:b/>
          <w:bCs/>
          <w:sz w:val="32"/>
          <w:szCs w:val="32"/>
        </w:rPr>
        <w:t xml:space="preserve">9 Методика испытаний СОУЭ</w:t>
      </w:r>
    </w:p>
    <w:p>
      <w:pPr>
        <w:spacing w:after="60" w:line="276"/>
        <w:ind w:firstLine="709"/>
        <w:jc w:val="both"/>
      </w:pPr>
      <w:r>
        <w:rPr>
          <w:rFonts w:ascii="Times New Roman" w:cs="Times New Roman" w:eastAsia="Times New Roman" w:hAnsi="Times New Roman"/>
        </w:rPr>
        <w:t xml:space="preserve">Испытания проводят по ГОСТ Р 59639-2021. Требования к уровню звука принимают по СП 3.13130.2009, на который ссылается п. 3.19 СТУ (примечание 1 к разделу 2).</w:t>
      </w:r>
    </w:p>
    <w:p>
      <w:pPr>
        <w:keepNext/>
        <w:spacing w:after="60" w:before="120"/>
      </w:pPr>
      <w:r>
        <w:rPr>
          <w:rFonts w:ascii="Times New Roman" w:cs="Times New Roman" w:eastAsia="Times New Roman" w:hAnsi="Times New Roman"/>
        </w:rPr>
        <w:t xml:space="preserve">Таблица 5 – Испытания СОУЭ</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1000"/>
        <w:gridCol w:w="4400"/>
        <w:gridCol w:w="3954"/>
      </w:tblGrid>
      <w:tr>
        <w:trPr>
          <w:cantSplit/>
          <w:tblHeader/>
        </w:trPr>
        <w:tc>
          <w:tcPr>
            <w:tcW w:type="dxa" w:w="1000"/>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4"/>
                <w:szCs w:val="24"/>
              </w:rPr>
              <w:t xml:space="preserve">Код</w:t>
            </w:r>
          </w:p>
        </w:tc>
        <w:tc>
          <w:tcPr>
            <w:tcW w:type="dxa" w:w="4400"/>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4"/>
                <w:szCs w:val="24"/>
              </w:rPr>
              <w:t xml:space="preserve">Действие и объём</w:t>
            </w:r>
          </w:p>
        </w:tc>
        <w:tc>
          <w:tcPr>
            <w:tcW w:type="dxa" w:w="3954"/>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4"/>
                <w:szCs w:val="24"/>
              </w:rPr>
              <w:t xml:space="preserve">Критерий</w:t>
            </w:r>
          </w:p>
        </w:tc>
      </w:tr>
      <w:tr>
        <w:trPr>
          <w:cantSplit/>
        </w:trPr>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Э1</w:t>
            </w:r>
          </w:p>
        </w:tc>
        <w:tc>
          <w:tcPr>
            <w:tcW w:type="dxa" w:w="4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Запуск СОУЭ от СПС в каждой зоне оповещения и вручную с поста</w:t>
            </w:r>
          </w:p>
        </w:tc>
        <w:tc>
          <w:tcPr>
            <w:tcW w:type="dxa" w:w="39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Включение оповещателей во всех зонах по проектному алгоритму; время запуска по проекту</w:t>
            </w:r>
          </w:p>
        </w:tc>
      </w:tr>
      <w:tr>
        <w:trPr>
          <w:cantSplit/>
        </w:trPr>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Э2</w:t>
            </w:r>
          </w:p>
        </w:tc>
        <w:tc>
          <w:tcPr>
            <w:tcW w:type="dxa" w:w="4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Измерение уровня звука шумомером на высоте 1,5 м от пола в наиболее удалённых от оповещателей точках и в точках с наибольшим постоянным шумом (при работающем технологическом оборудовании)</w:t>
            </w:r>
          </w:p>
        </w:tc>
        <w:tc>
          <w:tcPr>
            <w:tcW w:type="dxa" w:w="39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Не менее 75 дБА на расстоянии 3 м от оповещателя, не менее чем на 15 дБА выше допустимого уровня постоянного шума, не более 120 дБА в любой точке</w:t>
            </w:r>
          </w:p>
        </w:tc>
      </w:tr>
      <w:tr>
        <w:trPr>
          <w:cantSplit/>
        </w:trPr>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Э3</w:t>
            </w:r>
          </w:p>
        </w:tc>
        <w:tc>
          <w:tcPr>
            <w:tcW w:type="dxa" w:w="4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Проверка световых оповещателей «Выход» и иных световых указателей по проекту</w:t>
            </w:r>
          </w:p>
        </w:tc>
        <w:tc>
          <w:tcPr>
            <w:tcW w:type="dxa" w:w="39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Включение одновременно со звуковыми оповещателями; видимость с путей эвакуации</w:t>
            </w:r>
          </w:p>
        </w:tc>
      </w:tr>
      <w:tr>
        <w:trPr>
          <w:cantSplit/>
        </w:trPr>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Э4</w:t>
            </w:r>
          </w:p>
        </w:tc>
        <w:tc>
          <w:tcPr>
            <w:tcW w:type="dxa" w:w="4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Имитация неисправности линий оповещения и отказа основного питания</w:t>
            </w:r>
          </w:p>
        </w:tc>
        <w:tc>
          <w:tcPr>
            <w:tcW w:type="dxa" w:w="39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Индикация неисправности; работа от резервного источника по проекту</w:t>
            </w:r>
          </w:p>
        </w:tc>
      </w:tr>
      <w:tr>
        <w:trPr>
          <w:cantSplit/>
        </w:trPr>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Э5</w:t>
            </w:r>
          </w:p>
        </w:tc>
        <w:tc>
          <w:tcPr>
            <w:tcW w:type="dxa" w:w="4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Проверка связей СОУЭ со смежными системами (разблокировка дверей на путях эвакуации и другие связи </w:t>
            </w:r>
            <w:r>
              <w:rPr>
                <w:rFonts w:ascii="Times New Roman" w:cs="Times New Roman" w:eastAsia="Times New Roman" w:hAnsi="Times New Roman"/>
                <w:b w:val="false"/>
                <w:bCs w:val="false"/>
                <w:sz w:val="24"/>
                <w:szCs w:val="24"/>
                <w:highlight w:val="yellow"/>
                <w:highlightCs w:val="yellow"/>
              </w:rPr>
              <w:t xml:space="preserve">[перечень – по проекту СОУЭ]</w:t>
            </w:r>
            <w:r>
              <w:rPr>
                <w:rFonts w:ascii="Times New Roman" w:cs="Times New Roman" w:eastAsia="Times New Roman" w:hAnsi="Times New Roman"/>
                <w:b w:val="false"/>
                <w:bCs w:val="false"/>
                <w:sz w:val="24"/>
                <w:szCs w:val="24"/>
              </w:rPr>
              <w:t xml:space="preserve">)</w:t>
            </w:r>
          </w:p>
        </w:tc>
        <w:tc>
          <w:tcPr>
            <w:tcW w:type="dxa" w:w="39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Действие по проектному алгоритму</w:t>
            </w:r>
          </w:p>
        </w:tc>
      </w:tr>
    </w:tbl>
    <w:p>
      <w:pPr>
        <w:spacing w:after="60"/>
      </w:pPr>
    </w:p>
    <w:p>
      <w:pPr>
        <w:pStyle w:val="Heading1"/>
        <w:keepNext/>
        <w:spacing w:after="120" w:before="240"/>
        <w:ind w:firstLine="709"/>
      </w:pPr>
      <w:r>
        <w:rPr>
          <w:rFonts w:ascii="Times New Roman" w:cs="Times New Roman" w:eastAsia="Times New Roman" w:hAnsi="Times New Roman"/>
          <w:b/>
          <w:bCs/>
          <w:sz w:val="32"/>
          <w:szCs w:val="32"/>
        </w:rPr>
        <w:t xml:space="preserve">10 Методика испытаний установок пожаротушения</w:t>
      </w:r>
    </w:p>
    <w:p>
      <w:pPr>
        <w:pStyle w:val="Heading2"/>
        <w:keepNext/>
        <w:spacing w:after="80" w:before="160"/>
        <w:ind w:firstLine="709"/>
      </w:pPr>
      <w:r>
        <w:rPr>
          <w:rFonts w:ascii="Times New Roman" w:cs="Times New Roman" w:eastAsia="Times New Roman" w:hAnsi="Times New Roman"/>
          <w:b/>
          <w:bCs/>
          <w:sz w:val="32"/>
          <w:szCs w:val="32"/>
        </w:rPr>
        <w:t xml:space="preserve">10.1 Требования СТУ и проектные параметры</w:t>
      </w:r>
    </w:p>
    <w:p>
      <w:pPr>
        <w:keepNext/>
        <w:spacing w:after="60" w:before="120"/>
      </w:pPr>
      <w:r>
        <w:rPr>
          <w:rFonts w:ascii="Times New Roman" w:cs="Times New Roman" w:eastAsia="Times New Roman" w:hAnsi="Times New Roman"/>
        </w:rPr>
        <w:t xml:space="preserve">Таблица 6 – Требования СТУ к АУП производственно-складского корпуса</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1300"/>
        <w:gridCol w:w="4700"/>
        <w:gridCol w:w="3354"/>
      </w:tblGrid>
      <w:tr>
        <w:trPr>
          <w:cantSplit/>
          <w:tblHeader/>
        </w:trPr>
        <w:tc>
          <w:tcPr>
            <w:tcW w:type="dxa" w:w="1300"/>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4"/>
                <w:szCs w:val="24"/>
              </w:rPr>
              <w:t xml:space="preserve">Пункт СТУ</w:t>
            </w:r>
          </w:p>
        </w:tc>
        <w:tc>
          <w:tcPr>
            <w:tcW w:type="dxa" w:w="4700"/>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4"/>
                <w:szCs w:val="24"/>
              </w:rPr>
              <w:t xml:space="preserve">Требование</w:t>
            </w:r>
          </w:p>
        </w:tc>
        <w:tc>
          <w:tcPr>
            <w:tcW w:type="dxa" w:w="3354"/>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4"/>
                <w:szCs w:val="24"/>
              </w:rPr>
              <w:t xml:space="preserve">Метод проверки</w:t>
            </w:r>
          </w:p>
        </w:tc>
      </w:tr>
      <w:tr>
        <w:trPr>
          <w:cantSplit/>
        </w:trPr>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2.2.1</w:t>
            </w:r>
          </w:p>
        </w:tc>
        <w:tc>
          <w:tcPr>
            <w:tcW w:type="dxa" w:w="4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АУП на основе спринклерных пенных оросителей под покрытием: интенсивность 0,22 л/(с·м²), расчётная площадь 180 м², продолжительность 25 мин</w:t>
            </w:r>
          </w:p>
        </w:tc>
        <w:tc>
          <w:tcPr>
            <w:tcW w:type="dxa" w:w="33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Сверка гидравлического расчёта; П4, П6, П9</w:t>
            </w:r>
          </w:p>
        </w:tc>
      </w:tr>
      <w:tr>
        <w:trPr>
          <w:cantSplit/>
        </w:trPr>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2.2.2</w:t>
            </w:r>
          </w:p>
        </w:tc>
        <w:tc>
          <w:tcPr>
            <w:tcW w:type="dxa" w:w="4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Внутристеллажная АУП: уровни через 5 м по высоте, расстояние между оросителями не более 3 м, 0,22 л/(с·м²), 25 мин; горизонтальные экраны по п. 6.3.18 СП 4.13130.2013</w:t>
            </w:r>
          </w:p>
        </w:tc>
        <w:tc>
          <w:tcPr>
            <w:tcW w:type="dxa" w:w="33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П7</w:t>
            </w:r>
          </w:p>
        </w:tc>
      </w:tr>
      <w:tr>
        <w:trPr>
          <w:cantSplit/>
        </w:trPr>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2.2.3</w:t>
            </w:r>
          </w:p>
        </w:tc>
        <w:tc>
          <w:tcPr>
            <w:tcW w:type="dxa" w:w="4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Пена низкой кратности, 3 %-ный раствор пенообразователя</w:t>
            </w:r>
          </w:p>
        </w:tc>
        <w:tc>
          <w:tcPr>
            <w:tcW w:type="dxa" w:w="33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П9</w:t>
            </w:r>
          </w:p>
        </w:tc>
      </w:tr>
      <w:tr>
        <w:trPr>
          <w:cantSplit/>
        </w:trPr>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2.2.4</w:t>
            </w:r>
          </w:p>
        </w:tc>
        <w:tc>
          <w:tcPr>
            <w:tcW w:type="dxa" w:w="4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Высота помещения склада не более 13,7 м; высота хранения не более 10,0 м</w:t>
            </w:r>
          </w:p>
        </w:tc>
        <w:tc>
          <w:tcPr>
            <w:tcW w:type="dxa" w:w="33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П8</w:t>
            </w:r>
          </w:p>
        </w:tc>
      </w:tr>
      <w:tr>
        <w:trPr>
          <w:cantSplit/>
        </w:trPr>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2.2.6, 3.18</w:t>
            </w:r>
          </w:p>
        </w:tc>
        <w:tc>
          <w:tcPr>
            <w:tcW w:type="dxa" w:w="4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ВПВ совмещён с АУП; расход на внутреннее пожаротушение – по наибольшему суммарному расходу в зоне хранения или в зоне приёмки и отправки</w:t>
            </w:r>
          </w:p>
        </w:tc>
        <w:tc>
          <w:tcPr>
            <w:tcW w:type="dxa" w:w="33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Сверка расчёта; В1</w:t>
            </w:r>
          </w:p>
        </w:tc>
      </w:tr>
      <w:tr>
        <w:trPr>
          <w:cantSplit/>
        </w:trPr>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3.5</w:t>
            </w:r>
          </w:p>
        </w:tc>
        <w:tc>
          <w:tcPr>
            <w:tcW w:type="dxa" w:w="4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Трубопровод для подключения передвижной пожарной техники, выведенный на наружную стену насосной станции, с соединительными головками на наибольший расчётный расход спринклерной секции</w:t>
            </w:r>
          </w:p>
        </w:tc>
        <w:tc>
          <w:tcPr>
            <w:tcW w:type="dxa" w:w="33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П10</w:t>
            </w:r>
          </w:p>
        </w:tc>
      </w:tr>
    </w:tbl>
    <w:p>
      <w:pPr>
        <w:spacing w:after="60"/>
      </w:pPr>
    </w:p>
    <w:p>
      <w:pPr>
        <w:spacing w:after="60" w:line="276"/>
        <w:ind w:firstLine="709"/>
        <w:jc w:val="both"/>
      </w:pPr>
      <w:r>
        <w:rPr>
          <w:rFonts w:ascii="Times New Roman" w:cs="Times New Roman" w:eastAsia="Times New Roman" w:hAnsi="Times New Roman"/>
        </w:rPr>
        <w:t xml:space="preserve">Проектные параметры по 0115.000-АПТ.ПЗ приведены в таблице 7 и являются референсными значениями при испытаниях. Измерение через контрольный кран само по себе не подтверждает расчётный расход секции. Перед проверкой сверяют редакцию проекта и применимость значений к смонтированным секциям.</w:t>
      </w:r>
    </w:p>
    <w:p>
      <w:pPr>
        <w:keepNext/>
        <w:spacing w:after="60" w:before="120"/>
      </w:pPr>
      <w:r>
        <w:rPr>
          <w:rFonts w:ascii="Times New Roman" w:cs="Times New Roman" w:eastAsia="Times New Roman" w:hAnsi="Times New Roman"/>
        </w:rPr>
        <w:t xml:space="preserve">Таблица 7 – Проектные параметры водяных и пенных секций</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3000"/>
        <w:gridCol w:w="4100"/>
        <w:gridCol w:w="2254"/>
      </w:tblGrid>
      <w:tr>
        <w:trPr>
          <w:cantSplit/>
          <w:tblHeader/>
        </w:trPr>
        <w:tc>
          <w:tcPr>
            <w:tcW w:type="dxa" w:w="3000"/>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4"/>
                <w:szCs w:val="24"/>
              </w:rPr>
              <w:t xml:space="preserve">Секция, помещение</w:t>
            </w:r>
          </w:p>
        </w:tc>
        <w:tc>
          <w:tcPr>
            <w:tcW w:type="dxa" w:w="4100"/>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4"/>
                <w:szCs w:val="24"/>
              </w:rPr>
              <w:t xml:space="preserve">Проектный параметр</w:t>
            </w:r>
          </w:p>
        </w:tc>
        <w:tc>
          <w:tcPr>
            <w:tcW w:type="dxa" w:w="2254"/>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4"/>
                <w:szCs w:val="24"/>
              </w:rPr>
              <w:t xml:space="preserve">Источник</w:t>
            </w:r>
          </w:p>
        </w:tc>
      </w:tr>
      <w:tr>
        <w:trPr>
          <w:cantSplit/>
        </w:trPr>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Инженерный блок и АБК</w:t>
            </w:r>
          </w:p>
        </w:tc>
        <w:tc>
          <w:tcPr>
            <w:tcW w:type="dxa" w:w="4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Вода: 60 мин; 0,08 л/(с·м²); расход не менее 10 л/с</w:t>
            </w:r>
          </w:p>
        </w:tc>
        <w:tc>
          <w:tcPr>
            <w:tcW w:type="dxa" w:w="22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0115.000-АПТ.ПЗ, лист 3</w:t>
            </w:r>
          </w:p>
        </w:tc>
      </w:tr>
      <w:tr>
        <w:trPr>
          <w:cantSplit/>
        </w:trPr>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Склады готовой продукции № 102–104, под покрытием</w:t>
            </w:r>
          </w:p>
        </w:tc>
        <w:tc>
          <w:tcPr>
            <w:tcW w:type="dxa" w:w="4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Пена: 25 мин; 0,22 л/(с·м²); расход не менее 75 л/с</w:t>
            </w:r>
          </w:p>
        </w:tc>
        <w:tc>
          <w:tcPr>
            <w:tcW w:type="dxa" w:w="22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Лист 3</w:t>
            </w:r>
          </w:p>
        </w:tc>
      </w:tr>
      <w:tr>
        <w:trPr>
          <w:cantSplit/>
        </w:trPr>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Склад пустой тары, под покрытием</w:t>
            </w:r>
          </w:p>
        </w:tc>
        <w:tc>
          <w:tcPr>
            <w:tcW w:type="dxa" w:w="4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Пена: 25 мин; 0,22 л/(с·м²); расход не менее 75 л/с</w:t>
            </w:r>
          </w:p>
        </w:tc>
        <w:tc>
          <w:tcPr>
            <w:tcW w:type="dxa" w:w="22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Лист 4</w:t>
            </w:r>
          </w:p>
        </w:tc>
      </w:tr>
      <w:tr>
        <w:trPr>
          <w:cantSplit/>
        </w:trPr>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Производственный цех № 101, зоны 1 и 2</w:t>
            </w:r>
          </w:p>
        </w:tc>
        <w:tc>
          <w:tcPr>
            <w:tcW w:type="dxa" w:w="4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Пена: 15 мин; 0,22 л/(с·м²); расход не менее 115 л/с</w:t>
            </w:r>
          </w:p>
        </w:tc>
        <w:tc>
          <w:tcPr>
            <w:tcW w:type="dxa" w:w="22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Лист 4</w:t>
            </w:r>
          </w:p>
        </w:tc>
      </w:tr>
      <w:tr>
        <w:trPr>
          <w:cantSplit/>
        </w:trPr>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Насосная расходного склада ГЖ</w:t>
            </w:r>
          </w:p>
        </w:tc>
        <w:tc>
          <w:tcPr>
            <w:tcW w:type="dxa" w:w="4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Пена: 15 мин; 0,17 л/(с·м²); расход не менее 65 л/с</w:t>
            </w:r>
          </w:p>
        </w:tc>
        <w:tc>
          <w:tcPr>
            <w:tcW w:type="dxa" w:w="22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Лист 4</w:t>
            </w:r>
          </w:p>
        </w:tc>
      </w:tr>
      <w:tr>
        <w:trPr>
          <w:cantSplit/>
        </w:trPr>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Расчётная секция склада № 104</w:t>
            </w:r>
          </w:p>
        </w:tc>
        <w:tc>
          <w:tcPr>
            <w:tcW w:type="dxa" w:w="4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Q = 132,8 л/с; H = 65,75 м вод. ст.</w:t>
            </w:r>
          </w:p>
        </w:tc>
        <w:tc>
          <w:tcPr>
            <w:tcW w:type="dxa" w:w="22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Листы 6–7</w:t>
            </w:r>
          </w:p>
        </w:tc>
      </w:tr>
      <w:tr>
        <w:trPr>
          <w:cantSplit/>
        </w:trPr>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Расчётная секция цеха № 101, зона 1</w:t>
            </w:r>
          </w:p>
        </w:tc>
        <w:tc>
          <w:tcPr>
            <w:tcW w:type="dxa" w:w="4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Q = 128,8 л/с; H = 69,03 м вод. ст.</w:t>
            </w:r>
          </w:p>
        </w:tc>
        <w:tc>
          <w:tcPr>
            <w:tcW w:type="dxa" w:w="22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Листы 7–8</w:t>
            </w:r>
          </w:p>
        </w:tc>
      </w:tr>
      <w:tr>
        <w:trPr>
          <w:cantSplit/>
        </w:trPr>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Расчётная секция насосной ГЖ</w:t>
            </w:r>
          </w:p>
        </w:tc>
        <w:tc>
          <w:tcPr>
            <w:tcW w:type="dxa" w:w="4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Q = 76 л/с; H = 39,48 м вод. ст.</w:t>
            </w:r>
          </w:p>
        </w:tc>
        <w:tc>
          <w:tcPr>
            <w:tcW w:type="dxa" w:w="22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Листы 8–9</w:t>
            </w:r>
          </w:p>
        </w:tc>
      </w:tr>
      <w:tr>
        <w:trPr>
          <w:cantSplit/>
        </w:trPr>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Внутристеллажная сеть склада № 104</w:t>
            </w:r>
          </w:p>
        </w:tc>
        <w:tc>
          <w:tcPr>
            <w:tcW w:type="dxa" w:w="4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20 оросителей, Q = 42,2 л/с; отдельный напор не рассчитан, сеть входит в расчёт H = 65,75 м вод. ст. при Q = 132,8 л/с (внутристеллажная 42,2 + под покрытием 79,2 + ВПВ 11,4); уровни сети +4,500 и +7,600, экраны +4,550 и +7,650</w:t>
            </w:r>
          </w:p>
        </w:tc>
        <w:tc>
          <w:tcPr>
            <w:tcW w:type="dxa" w:w="22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Лист 6; листы 16–19; задание Зд3</w:t>
            </w:r>
          </w:p>
        </w:tc>
      </w:tr>
    </w:tbl>
    <w:p>
      <w:pPr>
        <w:spacing w:after="60"/>
      </w:pPr>
    </w:p>
    <w:p>
      <w:pPr>
        <w:spacing w:after="60" w:line="276"/>
        <w:ind w:firstLine="709"/>
        <w:jc w:val="both"/>
      </w:pPr>
      <w:r>
        <w:rPr>
          <w:rFonts w:ascii="Times New Roman" w:cs="Times New Roman" w:eastAsia="Times New Roman" w:hAnsi="Times New Roman"/>
        </w:rPr>
        <w:t xml:space="preserve">В проекте рассчитаны запас 3 %-ного пенообразователя 6,44 м³ и запас воды 208,224 м³ для расчётного режима.</w:t>
      </w:r>
    </w:p>
    <w:p>
      <w:pPr>
        <w:pStyle w:val="Heading2"/>
        <w:keepNext/>
        <w:spacing w:after="80" w:before="160"/>
        <w:ind w:firstLine="709"/>
      </w:pPr>
      <w:r>
        <w:rPr>
          <w:rFonts w:ascii="Times New Roman" w:cs="Times New Roman" w:eastAsia="Times New Roman" w:hAnsi="Times New Roman"/>
          <w:b/>
          <w:bCs/>
          <w:sz w:val="32"/>
          <w:szCs w:val="32"/>
        </w:rPr>
        <w:t xml:space="preserve">10.2 Водяные и пенные установки</w:t>
      </w:r>
    </w:p>
    <w:p>
      <w:pPr>
        <w:spacing w:after="60" w:line="276"/>
        <w:ind w:firstLine="709"/>
        <w:jc w:val="both"/>
      </w:pPr>
      <w:r>
        <w:rPr>
          <w:rFonts w:ascii="Times New Roman" w:cs="Times New Roman" w:eastAsia="Times New Roman" w:hAnsi="Times New Roman"/>
        </w:rPr>
        <w:t xml:space="preserve">Испытания проводят по ГОСТ Р 59636-2021 (разделы 7, 8).</w:t>
      </w:r>
    </w:p>
    <w:p>
      <w:pPr>
        <w:keepNext/>
        <w:spacing w:after="60" w:before="120"/>
      </w:pPr>
      <w:r>
        <w:rPr>
          <w:rFonts w:ascii="Times New Roman" w:cs="Times New Roman" w:eastAsia="Times New Roman" w:hAnsi="Times New Roman"/>
        </w:rPr>
        <w:t xml:space="preserve">Таблица 8 – Испытания водяных и пенных АУП</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1000"/>
        <w:gridCol w:w="4400"/>
        <w:gridCol w:w="3954"/>
      </w:tblGrid>
      <w:tr>
        <w:trPr>
          <w:cantSplit/>
          <w:tblHeader/>
        </w:trPr>
        <w:tc>
          <w:tcPr>
            <w:tcW w:type="dxa" w:w="1000"/>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4"/>
                <w:szCs w:val="24"/>
              </w:rPr>
              <w:t xml:space="preserve">Код</w:t>
            </w:r>
          </w:p>
        </w:tc>
        <w:tc>
          <w:tcPr>
            <w:tcW w:type="dxa" w:w="4400"/>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4"/>
                <w:szCs w:val="24"/>
              </w:rPr>
              <w:t xml:space="preserve">Проверка</w:t>
            </w:r>
          </w:p>
        </w:tc>
        <w:tc>
          <w:tcPr>
            <w:tcW w:type="dxa" w:w="3954"/>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4"/>
                <w:szCs w:val="24"/>
              </w:rPr>
              <w:t xml:space="preserve">Критерий и запись</w:t>
            </w:r>
          </w:p>
        </w:tc>
      </w:tr>
      <w:tr>
        <w:trPr>
          <w:cantSplit/>
        </w:trPr>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П1</w:t>
            </w:r>
          </w:p>
        </w:tc>
        <w:tc>
          <w:tcPr>
            <w:tcW w:type="dxa" w:w="4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Состояние каждой секции: запорные устройства, давление, уровень воды и пенообразователя, питание, режим автоматики, сигналы диспетчеризации</w:t>
            </w:r>
          </w:p>
        </w:tc>
        <w:tc>
          <w:tcPr>
            <w:tcW w:type="dxa" w:w="39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Фактические значения соответствуют проектным уставкам; положение арматуры правильное; неисправностей нет</w:t>
            </w:r>
          </w:p>
        </w:tc>
      </w:tr>
      <w:tr>
        <w:trPr>
          <w:cantSplit/>
        </w:trPr>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П2</w:t>
            </w:r>
          </w:p>
        </w:tc>
        <w:tc>
          <w:tcPr>
            <w:tcW w:type="dxa" w:w="4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Спринклерная секция: открыть контрольный кран узла управления; проверить сигнальный клапан, сигнализатор давления и сообщение о пуске</w:t>
            </w:r>
          </w:p>
        </w:tc>
        <w:tc>
          <w:tcPr>
            <w:tcW w:type="dxa" w:w="39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Время срабатывания и адрес секции; возврат клапана и восстановление давления</w:t>
            </w:r>
          </w:p>
        </w:tc>
      </w:tr>
      <w:tr>
        <w:trPr>
          <w:cantSplit/>
        </w:trPr>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П3</w:t>
            </w:r>
          </w:p>
        </w:tc>
        <w:tc>
          <w:tcPr>
            <w:tcW w:type="dxa" w:w="4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Дренчерная секция: при закрытой задвижке на подводящем трубопроводе секции (номер задвижки по проекту записывают в журнал проверок) инициировать команду или проверочный кран побудительной линии</w:t>
            </w:r>
          </w:p>
        </w:tc>
        <w:tc>
          <w:tcPr>
            <w:tcW w:type="dxa" w:w="39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Срабатывание сигнального клапана и датчика давления, команда насосу или задвижке, индикация на посту</w:t>
            </w:r>
          </w:p>
        </w:tc>
      </w:tr>
      <w:tr>
        <w:trPr>
          <w:cantSplit/>
        </w:trPr>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П4</w:t>
            </w:r>
          </w:p>
        </w:tc>
        <w:tc>
          <w:tcPr>
            <w:tcW w:type="dxa" w:w="4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Пуск основного и резервного насосов с подачей воды через испытательный (обводной) трубопровод насосной станции по проекту АУП или в режиме, установленном ТД насосной установки; имитировать отказ основного агрегата</w:t>
            </w:r>
          </w:p>
        </w:tc>
        <w:tc>
          <w:tcPr>
            <w:tcW w:type="dxa" w:w="39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Автоматическое переключение; давление, расход и время выхода на режим по проекту; обратные сигналы</w:t>
            </w:r>
          </w:p>
        </w:tc>
      </w:tr>
      <w:tr>
        <w:trPr>
          <w:cantSplit/>
        </w:trPr>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П5</w:t>
            </w:r>
          </w:p>
        </w:tc>
        <w:tc>
          <w:tcPr>
            <w:tcW w:type="dxa" w:w="4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Контроль положения задвижек, уровня и давления, неисправностей питания и управления; ручной и дистанционный пуск</w:t>
            </w:r>
          </w:p>
        </w:tc>
        <w:tc>
          <w:tcPr>
            <w:tcW w:type="dxa" w:w="39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Раздельные сообщения «работа», «неисправность», «отключено»; восстановление дежурного режима с записью в журнале проверок</w:t>
            </w:r>
          </w:p>
        </w:tc>
      </w:tr>
      <w:tr>
        <w:trPr>
          <w:cantSplit/>
        </w:trPr>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П6</w:t>
            </w:r>
          </w:p>
        </w:tc>
        <w:tc>
          <w:tcPr>
            <w:tcW w:type="dxa" w:w="4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Сверка площади секций и расстановки оросителей под покрытием склада с гидравлическим расчётом</w:t>
            </w:r>
          </w:p>
        </w:tc>
        <w:tc>
          <w:tcPr>
            <w:tcW w:type="dxa" w:w="39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Расчётная площадь не менее 180 м²; интенсивность не менее 0,22 л/(с·м²) (п. 2.2.1 СТУ)</w:t>
            </w:r>
          </w:p>
        </w:tc>
      </w:tr>
      <w:tr>
        <w:trPr>
          <w:cantSplit/>
        </w:trPr>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П7</w:t>
            </w:r>
          </w:p>
        </w:tc>
        <w:tc>
          <w:tcPr>
            <w:tcW w:type="dxa" w:w="4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Внутристеллажная АУП (п. 2.2.2 СТУ): измерить расстояние по высоте между уровнями сети, шаг оросителей по длине стеллажа, наличие горизонтальных экранов; в каждом стеллажном ряду и на всех крайних стеллажах</w:t>
            </w:r>
          </w:p>
        </w:tc>
        <w:tc>
          <w:tcPr>
            <w:tcW w:type="dxa" w:w="39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Уровни не реже чем через 5 м; расстояние между оросителями не более 3 м; экраны по п. 6.3.18 СП 4.13130.2013</w:t>
            </w:r>
          </w:p>
        </w:tc>
      </w:tr>
      <w:tr>
        <w:trPr>
          <w:cantSplit/>
        </w:trPr>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П8</w:t>
            </w:r>
          </w:p>
        </w:tc>
        <w:tc>
          <w:tcPr>
            <w:tcW w:type="dxa" w:w="4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Высота склада и хранения (п. 2.2.4 СТУ): измерить высоту помещения и верх грузов верхнего яруса в каждом ряду стеллажей</w:t>
            </w:r>
          </w:p>
        </w:tc>
        <w:tc>
          <w:tcPr>
            <w:tcW w:type="dxa" w:w="39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Высота помещения не более 13,7 м; высота хранения не более 10,0 м</w:t>
            </w:r>
          </w:p>
        </w:tc>
      </w:tr>
      <w:tr>
        <w:trPr>
          <w:cantSplit/>
        </w:trPr>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П9</w:t>
            </w:r>
          </w:p>
        </w:tc>
        <w:tc>
          <w:tcPr>
            <w:tcW w:type="dxa" w:w="4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Пенообразователь: паспорт, срок годности, фактический запас; при проверочном пуске отобрать пробу раствора и определить концентрацию рефрактометром</w:t>
            </w:r>
          </w:p>
        </w:tc>
        <w:tc>
          <w:tcPr>
            <w:tcW w:type="dxa" w:w="39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Запас не менее 6,44 м³ и резервный запас </w:t>
            </w:r>
            <w:r>
              <w:rPr>
                <w:rFonts w:ascii="Times New Roman" w:cs="Times New Roman" w:eastAsia="Times New Roman" w:hAnsi="Times New Roman"/>
                <w:b w:val="false"/>
                <w:bCs w:val="false"/>
                <w:sz w:val="24"/>
                <w:szCs w:val="24"/>
                <w:highlight w:val="yellow"/>
                <w:highlightCs w:val="yellow"/>
              </w:rPr>
              <w:t xml:space="preserve">[объём, м³ – по 0115.032-АПТ1, 0115.032-АПТ2; в 0115.000-АПТ не рассчитан]</w:t>
            </w:r>
            <w:r>
              <w:rPr>
                <w:rFonts w:ascii="Times New Roman" w:cs="Times New Roman" w:eastAsia="Times New Roman" w:hAnsi="Times New Roman"/>
                <w:b w:val="false"/>
                <w:bCs w:val="false"/>
                <w:sz w:val="24"/>
                <w:szCs w:val="24"/>
              </w:rPr>
              <w:t xml:space="preserve">; концентрация 3 % с допуском по ТД дозатора; показатели по паспорту и ГОСТ Р 50588-2012</w:t>
            </w:r>
          </w:p>
        </w:tc>
      </w:tr>
      <w:tr>
        <w:trPr>
          <w:cantSplit/>
        </w:trPr>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П10</w:t>
            </w:r>
          </w:p>
        </w:tc>
        <w:tc>
          <w:tcPr>
            <w:tcW w:type="dxa" w:w="4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Трубопровод подключения ПА (п. 3.5 СТУ): осмотр выведенных патрубков (по 0115.000-АПТ – пять патрубков DN80 с головками ГМ-80, обратными клапанами и задвижками ЗД29–ЗД33 на коллекторе DN300), головок (ГОСТ Р 53279-2009), заглушек, обратного клапана, задвижки, указательного знака; опытная подача от ПА в сеть АУП при открытом контрольном кране диктующей секции</w:t>
            </w:r>
          </w:p>
        </w:tc>
        <w:tc>
          <w:tcPr>
            <w:tcW w:type="dxa" w:w="39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Головки совместимы с техникой гарнизона; число головок и их пропускная способность обеспечивают подачу не менее 132,8 л/с – наибольшего расчётного расхода по 0115.000-АПТ (склад № 104 с внутристеллажной сетью и ВПВ; наибольший расход одной секции под покрытием – 117,4 л/с, цех № 101); давление в сети по проекту</w:t>
            </w:r>
          </w:p>
        </w:tc>
      </w:tr>
      <w:tr>
        <w:trPr>
          <w:cantSplit/>
        </w:trPr>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П11</w:t>
            </w:r>
          </w:p>
        </w:tc>
        <w:tc>
          <w:tcPr>
            <w:tcW w:type="dxa" w:w="4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Наружная установка пенного пожаротушения сливо-наливных эстакад (по 0115.000-АПТ – пожарные краны с генераторами ГПС-200 и лафетные стволы; способ пуска </w:t>
            </w:r>
            <w:r>
              <w:rPr>
                <w:rFonts w:ascii="Times New Roman" w:cs="Times New Roman" w:eastAsia="Times New Roman" w:hAnsi="Times New Roman"/>
                <w:b w:val="false"/>
                <w:bCs w:val="false"/>
                <w:sz w:val="24"/>
                <w:szCs w:val="24"/>
                <w:highlight w:val="yellow"/>
                <w:highlightCs w:val="yellow"/>
              </w:rPr>
              <w:t xml:space="preserve">[по 0115.000-АПТ1]</w:t>
            </w:r>
            <w:r>
              <w:rPr>
                <w:rFonts w:ascii="Times New Roman" w:cs="Times New Roman" w:eastAsia="Times New Roman" w:hAnsi="Times New Roman"/>
                <w:b w:val="false"/>
                <w:bCs w:val="false"/>
                <w:sz w:val="24"/>
                <w:szCs w:val="24"/>
              </w:rPr>
              <w:t xml:space="preserve">): пуск (с имитацией), узлы управления, дозирование, проходимость трубопроводов до пеногенераторов (оросителей); подача пены на эстакаду – только после согласования представителем технологической службы (6.1) с записью в журнале проверок</w:t>
            </w:r>
          </w:p>
        </w:tc>
        <w:tc>
          <w:tcPr>
            <w:tcW w:type="dxa" w:w="39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Пуск, сигналы и параметры по проекту и ТД; трубопроводы проходимы и герметичны</w:t>
            </w:r>
          </w:p>
        </w:tc>
      </w:tr>
      <w:tr>
        <w:trPr>
          <w:cantSplit/>
        </w:trPr>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П12</w:t>
            </w:r>
          </w:p>
        </w:tc>
        <w:tc>
          <w:tcPr>
            <w:tcW w:type="dxa" w:w="4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Запас воды в резервуарах противопожарного запаса и устройства его неприкосновенности</w:t>
            </w:r>
          </w:p>
        </w:tc>
        <w:tc>
          <w:tcPr>
            <w:tcW w:type="dxa" w:w="39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Не менее суммы расходов на АУП, ВПВ, НПВ и охлаждение резервуаров за расчётное время (по 0115.000-АПТ резервуары 2 × 468 м³; требуемый объём и расчётное время </w:t>
            </w:r>
            <w:r>
              <w:rPr>
                <w:rFonts w:ascii="Times New Roman" w:cs="Times New Roman" w:eastAsia="Times New Roman" w:hAnsi="Times New Roman"/>
                <w:b w:val="false"/>
                <w:bCs w:val="false"/>
                <w:sz w:val="24"/>
                <w:szCs w:val="24"/>
                <w:highlight w:val="yellow"/>
                <w:highlightCs w:val="yellow"/>
              </w:rPr>
              <w:t xml:space="preserve">[по проекту НПВ]</w:t>
            </w:r>
            <w:r>
              <w:rPr>
                <w:rFonts w:ascii="Times New Roman" w:cs="Times New Roman" w:eastAsia="Times New Roman" w:hAnsi="Times New Roman"/>
                <w:b w:val="false"/>
                <w:bCs w:val="false"/>
                <w:sz w:val="24"/>
                <w:szCs w:val="24"/>
              </w:rPr>
              <w:t xml:space="preserve">)</w:t>
            </w:r>
          </w:p>
        </w:tc>
      </w:tr>
    </w:tbl>
    <w:p>
      <w:pPr>
        <w:spacing w:after="60"/>
      </w:pPr>
    </w:p>
    <w:p>
      <w:pPr>
        <w:spacing w:after="80"/>
        <w:ind w:firstLine="709"/>
        <w:jc w:val="both"/>
      </w:pPr>
      <w:r>
        <w:rPr>
          <w:rFonts w:ascii="Times New Roman" w:cs="Times New Roman" w:eastAsia="Times New Roman" w:hAnsi="Times New Roman"/>
          <w:sz w:val="24"/>
          <w:szCs w:val="24"/>
        </w:rPr>
        <w:t xml:space="preserve">Примечание – Число ПА, одновременно подключаемых для обеспечения расхода 132,8 л/с, определяют делением этого расхода на производительность насосов ПА гарнизона с округлением в большую сторону (при производительности 40 л/с – не менее четырёх ПА).</w:t>
      </w:r>
    </w:p>
    <w:p>
      <w:pPr>
        <w:pStyle w:val="Heading2"/>
        <w:keepNext/>
        <w:spacing w:after="80" w:before="160"/>
        <w:ind w:firstLine="709"/>
      </w:pPr>
      <w:r>
        <w:rPr>
          <w:rFonts w:ascii="Times New Roman" w:cs="Times New Roman" w:eastAsia="Times New Roman" w:hAnsi="Times New Roman"/>
          <w:b/>
          <w:bCs/>
          <w:sz w:val="32"/>
          <w:szCs w:val="32"/>
        </w:rPr>
        <w:t xml:space="preserve">10.3 Газовое и порошковое пожаротушение</w:t>
      </w:r>
    </w:p>
    <w:p>
      <w:pPr>
        <w:keepNext/>
        <w:spacing w:after="60" w:line="276"/>
        <w:ind w:firstLine="709"/>
        <w:jc w:val="both"/>
      </w:pPr>
      <w:r>
        <w:rPr>
          <w:rFonts w:ascii="Times New Roman" w:cs="Times New Roman" w:eastAsia="Times New Roman" w:hAnsi="Times New Roman"/>
        </w:rPr>
        <w:t xml:space="preserve">Для помещений № 216, 140 и 141 по 0115.010-ГПТ проверяют:</w:t>
      </w:r>
    </w:p>
    <w:p>
      <w:pPr>
        <w:pStyle w:val="ListParagraph"/>
        <w:numPr>
          <w:ilvl w:val="0"/>
          <w:numId w:val="2"/>
        </w:numPr>
        <w:spacing w:after="40" w:line="276"/>
        <w:jc w:val="both"/>
      </w:pPr>
      <w:r>
        <w:rPr>
          <w:rFonts w:ascii="Times New Roman" w:cs="Times New Roman" w:eastAsia="Times New Roman" w:hAnsi="Times New Roman"/>
        </w:rPr>
        <w:t xml:space="preserve">срабатывание одного дымового извещателя («Внимание») и не менее двух («Пожар»), в том числе извещателей за подвесным потолком с выносными оптическими индикаторами;</w:t>
      </w:r>
    </w:p>
    <w:p>
      <w:pPr>
        <w:pStyle w:val="ListParagraph"/>
        <w:numPr>
          <w:ilvl w:val="0"/>
          <w:numId w:val="2"/>
        </w:numPr>
        <w:spacing w:after="40" w:line="276"/>
        <w:jc w:val="both"/>
      </w:pPr>
      <w:r>
        <w:rPr>
          <w:rFonts w:ascii="Times New Roman" w:cs="Times New Roman" w:eastAsia="Times New Roman" w:hAnsi="Times New Roman"/>
        </w:rPr>
        <w:t xml:space="preserve">отображение состояния установки на С2000М и С2000-ПТ в помещении № 2 здания КПП;</w:t>
      </w:r>
    </w:p>
    <w:p>
      <w:pPr>
        <w:pStyle w:val="ListParagraph"/>
        <w:numPr>
          <w:ilvl w:val="0"/>
          <w:numId w:val="2"/>
        </w:numPr>
        <w:spacing w:after="40" w:line="276"/>
        <w:jc w:val="both"/>
      </w:pPr>
      <w:r>
        <w:rPr>
          <w:rFonts w:ascii="Times New Roman" w:cs="Times New Roman" w:eastAsia="Times New Roman" w:hAnsi="Times New Roman"/>
        </w:rPr>
        <w:t xml:space="preserve">автоматический пуск и дистанционный (ручной) пуск от устройства ИПР-Кск у входа в помещение: включение табло «Газ – уходи!» и «Газ – не входи!» и звукового сигнала, выдачу команды на пуск модуля через 30 с после формирования сигнала на пуск (0115.010-ГПТ, лист 8);</w:t>
      </w:r>
    </w:p>
    <w:p>
      <w:pPr>
        <w:pStyle w:val="ListParagraph"/>
        <w:numPr>
          <w:ilvl w:val="0"/>
          <w:numId w:val="2"/>
        </w:numPr>
        <w:spacing w:after="40" w:line="276"/>
        <w:jc w:val="both"/>
      </w:pPr>
      <w:r>
        <w:rPr>
          <w:rFonts w:ascii="Times New Roman" w:cs="Times New Roman" w:eastAsia="Times New Roman" w:hAnsi="Times New Roman"/>
        </w:rPr>
        <w:t xml:space="preserve">команду через УК-ВК/04 на закрытие огнезадерживающих клапанов общеобменной вентиляции защищаемого помещения и их закрытие до выдачи команды на пуск модуля, время закрытия не более 30 с (задание Зд1); отключение вентиляции по проекту 0115.010-ОВ2;</w:t>
      </w:r>
    </w:p>
    <w:p>
      <w:pPr>
        <w:pStyle w:val="ListParagraph"/>
        <w:numPr>
          <w:ilvl w:val="0"/>
          <w:numId w:val="2"/>
        </w:numPr>
        <w:spacing w:after="40" w:line="276"/>
        <w:jc w:val="both"/>
      </w:pPr>
      <w:r>
        <w:rPr>
          <w:rFonts w:ascii="Times New Roman" w:cs="Times New Roman" w:eastAsia="Times New Roman" w:hAnsi="Times New Roman"/>
        </w:rPr>
        <w:t xml:space="preserve">блокировку автоматического пуска при открытой двери (в помещении № 140 – по каждой из двух дверей) с включением табло «Автоматика отключена»;</w:t>
      </w:r>
    </w:p>
    <w:p>
      <w:pPr>
        <w:pStyle w:val="ListParagraph"/>
        <w:numPr>
          <w:ilvl w:val="0"/>
          <w:numId w:val="2"/>
        </w:numPr>
        <w:spacing w:after="40" w:line="276"/>
        <w:jc w:val="both"/>
      </w:pPr>
      <w:r>
        <w:rPr>
          <w:rFonts w:ascii="Times New Roman" w:cs="Times New Roman" w:eastAsia="Times New Roman" w:hAnsi="Times New Roman"/>
        </w:rPr>
        <w:t xml:space="preserve">выдачу команды на пуск от ИПР-Кск при открытой двери и в режиме «Автоматика отключена» и её отмену кнопкой СБРОС на С2000-АСПТ в период задержки (0115.010-ГПТ, лист 8);</w:t>
      </w:r>
    </w:p>
    <w:p>
      <w:pPr>
        <w:pStyle w:val="ListParagraph"/>
        <w:numPr>
          <w:ilvl w:val="0"/>
          <w:numId w:val="2"/>
        </w:numPr>
        <w:spacing w:after="40" w:line="276"/>
        <w:jc w:val="both"/>
      </w:pPr>
      <w:r>
        <w:rPr>
          <w:rFonts w:ascii="Times New Roman" w:cs="Times New Roman" w:eastAsia="Times New Roman" w:hAnsi="Times New Roman"/>
        </w:rPr>
        <w:t xml:space="preserve">переключение режимов и восстановление автоматического режима ключом Touch Memory, выключение табло после сброса;</w:t>
      </w:r>
    </w:p>
    <w:p>
      <w:pPr>
        <w:pStyle w:val="ListParagraph"/>
        <w:numPr>
          <w:ilvl w:val="0"/>
          <w:numId w:val="2"/>
        </w:numPr>
        <w:spacing w:after="40" w:line="276"/>
        <w:jc w:val="both"/>
      </w:pPr>
      <w:r>
        <w:rPr>
          <w:rFonts w:ascii="Times New Roman" w:cs="Times New Roman" w:eastAsia="Times New Roman" w:hAnsi="Times New Roman"/>
        </w:rPr>
        <w:t xml:space="preserve">контроль пусковой цепи и сигнализатора давления СДУ-М с имитатором, подключённым вместо электромагнитного привода модуля.</w:t>
      </w:r>
    </w:p>
    <w:p>
      <w:pPr>
        <w:spacing w:after="60" w:line="276"/>
        <w:ind w:firstLine="709"/>
        <w:jc w:val="both"/>
      </w:pPr>
      <w:r>
        <w:rPr>
          <w:rFonts w:ascii="Times New Roman" w:cs="Times New Roman" w:eastAsia="Times New Roman" w:hAnsi="Times New Roman"/>
        </w:rPr>
        <w:t xml:space="preserve">По 0115.010-ГПТ (листы 15, 17; расчёт 0115.010-ГПТ Р) масса Novec 1230 составляет: № 216 – 41 кг, № 140 – 66 кг, № 141 – 43 кг; нормативная концентрация 4,2 % об.; расчётное время выпуска 6,7–6,9 с. Фактическую массу сверяют с паспортами модулей и журналом контроля.</w:t>
      </w:r>
    </w:p>
    <w:p>
      <w:pPr>
        <w:spacing w:after="60" w:line="276"/>
        <w:ind w:firstLine="709"/>
        <w:jc w:val="both"/>
      </w:pPr>
      <w:r>
        <w:rPr>
          <w:rFonts w:ascii="Times New Roman" w:cs="Times New Roman" w:eastAsia="Times New Roman" w:hAnsi="Times New Roman"/>
        </w:rPr>
        <w:t xml:space="preserve">Требования к защищаемым помещениям (0115.010-ГПТ, лист 9; задание Зд2) проверяют осмотром и по документам: предел огнестойкости двери 0,5 ч, доводчик двери, уплотнение кабельных проходок, отсутствие технологически необоснованных проёмов. Проём для сброса избыточного давления по расчёту не требуется (лист 7). Для удаления ГОТВ после пуска проверяют наличие стыковочного узла для передвижного дымососа (задание Зд1; проект 0115.010-ОВ2).</w:t>
      </w:r>
    </w:p>
    <w:p>
      <w:pPr>
        <w:spacing w:after="60" w:line="276"/>
        <w:ind w:firstLine="709"/>
        <w:jc w:val="both"/>
      </w:pPr>
      <w:r>
        <w:rPr>
          <w:rFonts w:ascii="Times New Roman" w:cs="Times New Roman" w:eastAsia="Times New Roman" w:hAnsi="Times New Roman"/>
        </w:rPr>
        <w:t xml:space="preserve">Для порошковой установки дизель-генераторного зала проверяют наличие сигналов её состояния в СПС </w:t>
      </w:r>
      <w:r>
        <w:rPr>
          <w:rFonts w:ascii="Times New Roman" w:cs="Times New Roman" w:eastAsia="Times New Roman" w:hAnsi="Times New Roman"/>
          <w:highlight w:val="yellow"/>
          <w:highlightCs w:val="yellow"/>
        </w:rPr>
        <w:t xml:space="preserve">[перечень сигналов – по проекту порошковой установки]</w:t>
      </w:r>
      <w:r>
        <w:rPr>
          <w:rFonts w:ascii="Times New Roman" w:cs="Times New Roman" w:eastAsia="Times New Roman" w:hAnsi="Times New Roman"/>
        </w:rPr>
        <w:t xml:space="preserve">. После каждого опыта подтверждают отсутствие реального выпуска ОТВ и восстановление рабочего режима.</w:t>
      </w:r>
    </w:p>
    <w:p>
      <w:pPr>
        <w:pStyle w:val="Heading1"/>
        <w:keepNext/>
        <w:spacing w:after="120" w:before="240"/>
        <w:ind w:firstLine="709"/>
      </w:pPr>
      <w:r>
        <w:rPr>
          <w:rFonts w:ascii="Times New Roman" w:cs="Times New Roman" w:eastAsia="Times New Roman" w:hAnsi="Times New Roman"/>
          <w:b/>
          <w:bCs/>
          <w:sz w:val="32"/>
          <w:szCs w:val="32"/>
        </w:rPr>
        <w:t xml:space="preserve">11 Методика испытаний противопожарного водоснабжения</w:t>
      </w:r>
    </w:p>
    <w:p>
      <w:pPr>
        <w:pStyle w:val="Heading2"/>
        <w:keepNext/>
        <w:spacing w:after="80" w:before="160"/>
        <w:ind w:firstLine="709"/>
      </w:pPr>
      <w:r>
        <w:rPr>
          <w:rFonts w:ascii="Times New Roman" w:cs="Times New Roman" w:eastAsia="Times New Roman" w:hAnsi="Times New Roman"/>
          <w:b/>
          <w:bCs/>
          <w:sz w:val="32"/>
          <w:szCs w:val="32"/>
        </w:rPr>
        <w:t xml:space="preserve">11.1 Внутренний противопожарный водопровод</w:t>
      </w:r>
    </w:p>
    <w:p>
      <w:pPr>
        <w:spacing w:after="60" w:line="276"/>
        <w:ind w:firstLine="709"/>
        <w:jc w:val="both"/>
      </w:pPr>
      <w:r>
        <w:rPr>
          <w:rFonts w:ascii="Times New Roman" w:cs="Times New Roman" w:eastAsia="Times New Roman" w:hAnsi="Times New Roman"/>
        </w:rPr>
        <w:t xml:space="preserve">Испытания проводят по ГОСТ Р 59643-2021 с учётом п. 50 ППР. ВПВ, совмещённый с АУП, испытывают отдельно; испытание ВПВ не заменяет испытание автоматической части АУП.</w:t>
      </w:r>
    </w:p>
    <w:p>
      <w:pPr>
        <w:keepNext/>
        <w:spacing w:after="60" w:before="120"/>
      </w:pPr>
      <w:r>
        <w:rPr>
          <w:rFonts w:ascii="Times New Roman" w:cs="Times New Roman" w:eastAsia="Times New Roman" w:hAnsi="Times New Roman"/>
        </w:rPr>
        <w:t xml:space="preserve">Таблица 9 – Испытания ВПВ</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1000"/>
        <w:gridCol w:w="4400"/>
        <w:gridCol w:w="3954"/>
      </w:tblGrid>
      <w:tr>
        <w:trPr>
          <w:cantSplit/>
          <w:tblHeader/>
        </w:trPr>
        <w:tc>
          <w:tcPr>
            <w:tcW w:type="dxa" w:w="1000"/>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4"/>
                <w:szCs w:val="24"/>
              </w:rPr>
              <w:t xml:space="preserve">Код</w:t>
            </w:r>
          </w:p>
        </w:tc>
        <w:tc>
          <w:tcPr>
            <w:tcW w:type="dxa" w:w="4400"/>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4"/>
                <w:szCs w:val="24"/>
              </w:rPr>
              <w:t xml:space="preserve">Проверка</w:t>
            </w:r>
          </w:p>
        </w:tc>
        <w:tc>
          <w:tcPr>
            <w:tcW w:type="dxa" w:w="3954"/>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4"/>
                <w:szCs w:val="24"/>
              </w:rPr>
              <w:t xml:space="preserve">Критерий</w:t>
            </w:r>
          </w:p>
        </w:tc>
      </w:tr>
      <w:tr>
        <w:trPr>
          <w:cantSplit/>
        </w:trPr>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В1</w:t>
            </w:r>
          </w:p>
        </w:tc>
        <w:tc>
          <w:tcPr>
            <w:tcW w:type="dxa" w:w="4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Давление у клапана и расход струи на диктующих ПК (наиболее высоко расположенных и удалённых) при одновременной работе расчётного числа струй</w:t>
            </w:r>
          </w:p>
        </w:tc>
        <w:tc>
          <w:tcPr>
            <w:tcW w:type="dxa" w:w="39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Не менее проектных значений по 0115.000-АПТ: ПСК – 2 струи, ПК Ду65 со спрыском 19 мм, расход и напор </w:t>
            </w:r>
            <w:r>
              <w:rPr>
                <w:rFonts w:ascii="Times New Roman" w:cs="Times New Roman" w:eastAsia="Times New Roman" w:hAnsi="Times New Roman"/>
                <w:b w:val="false"/>
                <w:bCs w:val="false"/>
                <w:sz w:val="24"/>
                <w:szCs w:val="24"/>
                <w:highlight w:val="yellow"/>
                <w:highlightCs w:val="yellow"/>
              </w:rPr>
              <w:t xml:space="preserve">[14 м компактной струи и 5,7 л/с при 23 м вод. ст. (листы 4, 6, 7) или 12 м и 5,2 л/с при 19,9 м вод. ст. (лист 5) – по гидравлическому расчёту]</w:t>
            </w:r>
            <w:r>
              <w:rPr>
                <w:rFonts w:ascii="Times New Roman" w:cs="Times New Roman" w:eastAsia="Times New Roman" w:hAnsi="Times New Roman"/>
                <w:b w:val="false"/>
                <w:bCs w:val="false"/>
                <w:sz w:val="24"/>
                <w:szCs w:val="24"/>
              </w:rPr>
              <w:t xml:space="preserve">; насосная ГЖ – 2 струи по 5,2 л/с при 19,9 м вод. ст.; АБК – 2 струи по 2,6 л/с при 10 м вод. ст. (ПК Ду50, спрыск 16 мм)</w:t>
            </w:r>
          </w:p>
        </w:tc>
      </w:tr>
      <w:tr>
        <w:trPr>
          <w:cantSplit/>
        </w:trPr>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В2</w:t>
            </w:r>
          </w:p>
        </w:tc>
        <w:tc>
          <w:tcPr>
            <w:tcW w:type="dxa" w:w="4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Комплектность пожарных шкафов, состояние рукавов и стволов, перекатка рукавов</w:t>
            </w:r>
          </w:p>
        </w:tc>
        <w:tc>
          <w:tcPr>
            <w:tcW w:type="dxa" w:w="39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Комплектность по проекту; перекатка не реже 1 раза в год (п. 50 ППР)</w:t>
            </w:r>
          </w:p>
        </w:tc>
      </w:tr>
      <w:tr>
        <w:trPr>
          <w:cantSplit/>
        </w:trPr>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В3</w:t>
            </w:r>
          </w:p>
        </w:tc>
        <w:tc>
          <w:tcPr>
            <w:tcW w:type="dxa" w:w="4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Автоматический пуск насосов при открытии ПК, сигнал на пост и в СПС</w:t>
            </w:r>
          </w:p>
        </w:tc>
        <w:tc>
          <w:tcPr>
            <w:tcW w:type="dxa" w:w="39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Пуск и сигналы по проекту</w:t>
            </w:r>
          </w:p>
        </w:tc>
      </w:tr>
    </w:tbl>
    <w:p>
      <w:pPr>
        <w:spacing w:after="60"/>
      </w:pPr>
    </w:p>
    <w:p>
      <w:pPr>
        <w:pStyle w:val="Heading2"/>
        <w:keepNext/>
        <w:spacing w:after="80" w:before="160"/>
        <w:ind w:firstLine="709"/>
      </w:pPr>
      <w:r>
        <w:rPr>
          <w:rFonts w:ascii="Times New Roman" w:cs="Times New Roman" w:eastAsia="Times New Roman" w:hAnsi="Times New Roman"/>
          <w:b/>
          <w:bCs/>
          <w:sz w:val="32"/>
          <w:szCs w:val="32"/>
        </w:rPr>
        <w:t xml:space="preserve">11.2 Наружное противопожарное водоснабжение</w:t>
      </w:r>
    </w:p>
    <w:p>
      <w:pPr>
        <w:spacing w:after="60" w:line="276"/>
        <w:ind w:firstLine="709"/>
        <w:jc w:val="both"/>
      </w:pPr>
      <w:r>
        <w:rPr>
          <w:rFonts w:ascii="Times New Roman" w:cs="Times New Roman" w:eastAsia="Times New Roman" w:hAnsi="Times New Roman"/>
        </w:rPr>
        <w:t xml:space="preserve">Проверки выполняют с учётом п. 48 ППР и СП 8.13130.2020.</w:t>
      </w:r>
    </w:p>
    <w:p>
      <w:pPr>
        <w:keepNext/>
        <w:spacing w:after="60" w:before="120"/>
      </w:pPr>
      <w:r>
        <w:rPr>
          <w:rFonts w:ascii="Times New Roman" w:cs="Times New Roman" w:eastAsia="Times New Roman" w:hAnsi="Times New Roman"/>
        </w:rPr>
        <w:t xml:space="preserve">Таблица 10 – Испытания НПВ</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1000"/>
        <w:gridCol w:w="4400"/>
        <w:gridCol w:w="3954"/>
      </w:tblGrid>
      <w:tr>
        <w:trPr>
          <w:cantSplit/>
          <w:tblHeader/>
        </w:trPr>
        <w:tc>
          <w:tcPr>
            <w:tcW w:type="dxa" w:w="1000"/>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4"/>
                <w:szCs w:val="24"/>
              </w:rPr>
              <w:t xml:space="preserve">Код</w:t>
            </w:r>
          </w:p>
        </w:tc>
        <w:tc>
          <w:tcPr>
            <w:tcW w:type="dxa" w:w="4400"/>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4"/>
                <w:szCs w:val="24"/>
              </w:rPr>
              <w:t xml:space="preserve">Проверка</w:t>
            </w:r>
          </w:p>
        </w:tc>
        <w:tc>
          <w:tcPr>
            <w:tcW w:type="dxa" w:w="3954"/>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4"/>
                <w:szCs w:val="24"/>
              </w:rPr>
              <w:t xml:space="preserve">Критерий</w:t>
            </w:r>
          </w:p>
        </w:tc>
      </w:tr>
      <w:tr>
        <w:trPr>
          <w:cantSplit/>
        </w:trPr>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Н1</w:t>
            </w:r>
          </w:p>
        </w:tc>
        <w:tc>
          <w:tcPr>
            <w:tcW w:type="dxa" w:w="4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Осмотр пожарных гидрантов: доступность, подъезд, указатели, отсутствие воды и льда в колодце, работа гидранта</w:t>
            </w:r>
          </w:p>
        </w:tc>
        <w:tc>
          <w:tcPr>
            <w:tcW w:type="dxa" w:w="39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Гидранты исправны, указатели на месте, подъезд свободен</w:t>
            </w:r>
          </w:p>
        </w:tc>
      </w:tr>
      <w:tr>
        <w:trPr>
          <w:cantSplit/>
        </w:trPr>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Н2</w:t>
            </w:r>
          </w:p>
        </w:tc>
        <w:tc>
          <w:tcPr>
            <w:tcW w:type="dxa" w:w="4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Водоотдача сети: одновременный отбор воды из </w:t>
            </w:r>
            <w:r>
              <w:rPr>
                <w:rFonts w:ascii="Times New Roman" w:cs="Times New Roman" w:eastAsia="Times New Roman" w:hAnsi="Times New Roman"/>
                <w:b w:val="false"/>
                <w:bCs w:val="false"/>
                <w:sz w:val="24"/>
                <w:szCs w:val="24"/>
                <w:highlight w:val="yellow"/>
                <w:highlightCs w:val="yellow"/>
              </w:rPr>
              <w:t xml:space="preserve">[число – по расчётному числу одновременно используемых гидрантов проекта НПВ]</w:t>
            </w:r>
            <w:r>
              <w:rPr>
                <w:rFonts w:ascii="Times New Roman" w:cs="Times New Roman" w:eastAsia="Times New Roman" w:hAnsi="Times New Roman"/>
                <w:b w:val="false"/>
                <w:bCs w:val="false"/>
                <w:sz w:val="24"/>
                <w:szCs w:val="24"/>
              </w:rPr>
              <w:t xml:space="preserve"> гидрантов, ближайших к резервуарным паркам и диктующих по расположению, через колонку, рукавную линию и ствол с калиброванным насадком либо по расходомеру; давление в сети</w:t>
            </w:r>
          </w:p>
        </w:tc>
        <w:tc>
          <w:tcPr>
            <w:tcW w:type="dxa" w:w="39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Суммарный расход не менее расчётного расхода на наружное пожаротушение 40 л/с (0115.000-АПТ); свободный напор в сети низкого давления не менее 10 м на уровне земли (СП 8.13130.2020)</w:t>
            </w:r>
          </w:p>
        </w:tc>
      </w:tr>
      <w:tr>
        <w:trPr>
          <w:cantSplit/>
        </w:trPr>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Н3</w:t>
            </w:r>
          </w:p>
        </w:tc>
        <w:tc>
          <w:tcPr>
            <w:tcW w:type="dxa" w:w="4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Резервуары противопожарного запаса воды: объём, уровень, подъезды и площадки для установки ПА, указатели</w:t>
            </w:r>
          </w:p>
        </w:tc>
        <w:tc>
          <w:tcPr>
            <w:tcW w:type="dxa" w:w="39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Два резервуара по 468 м³ (0115.000-АПТ); уровень, подъезды и площадки по проекту</w:t>
            </w:r>
          </w:p>
        </w:tc>
      </w:tr>
      <w:tr>
        <w:trPr>
          <w:cantSplit/>
        </w:trPr>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Н4</w:t>
            </w:r>
          </w:p>
        </w:tc>
        <w:tc>
          <w:tcPr>
            <w:tcW w:type="dxa" w:w="4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Насосная станция пожаротушения (по 0115.000-АПТ – основной P9901 и резервный P9902 насосы Grundfos NKG300-250-500/445, жокей-насос CR 5-25): автоматический и дистанционный пуск, переключение на резервный насос, поддержание давления жокей-насосом, сигналы на пост</w:t>
            </w:r>
          </w:p>
        </w:tc>
        <w:tc>
          <w:tcPr>
            <w:tcW w:type="dxa" w:w="39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Пуск и переключение по проекту и ТД; подача не менее 132,8 л/с при напоре не менее 69,03 м (0115.000-АПТ, задание Зд1)</w:t>
            </w:r>
          </w:p>
        </w:tc>
      </w:tr>
    </w:tbl>
    <w:p>
      <w:pPr>
        <w:spacing w:after="60"/>
      </w:pPr>
    </w:p>
    <w:p>
      <w:pPr>
        <w:pStyle w:val="Heading1"/>
        <w:keepNext/>
        <w:spacing w:after="120" w:before="240"/>
        <w:ind w:firstLine="709"/>
      </w:pPr>
      <w:r>
        <w:rPr>
          <w:rFonts w:ascii="Times New Roman" w:cs="Times New Roman" w:eastAsia="Times New Roman" w:hAnsi="Times New Roman"/>
          <w:b/>
          <w:bCs/>
          <w:sz w:val="32"/>
          <w:szCs w:val="32"/>
        </w:rPr>
        <w:t xml:space="preserve">12 Методика испытаний противодымной вентиляции</w:t>
      </w:r>
    </w:p>
    <w:p>
      <w:pPr>
        <w:spacing w:after="60" w:line="276"/>
        <w:ind w:firstLine="709"/>
        <w:jc w:val="both"/>
      </w:pPr>
      <w:r>
        <w:rPr>
          <w:rFonts w:ascii="Times New Roman" w:cs="Times New Roman" w:eastAsia="Times New Roman" w:hAnsi="Times New Roman"/>
        </w:rPr>
        <w:t xml:space="preserve">По 0115.023-АОВ в насосной ГЖ проверяют команду «Пожар» через интерфейс RS-485, открытие люков дымоудаления и действие ворот, дистанционное управление люками с поста и С2000-БКИ, отображение состояний люков, ворот и общеобменной вентиляции, автоматическое отключение общеобменной вентиляции и обратные сигналы. Вентиляторов дымоудаления и подпора в насосной ГЖ нет: для неё проверка Д1 состоит в открытии люков 1ЛД–3ЛД и действии ворот, Д2 – в отключении вентиляторов В1, В2 и контроле положения клапанов ПЕ1–ПЕ6 по проекту. Для полного объёма составляют ведомость всех систем с проектными обозначениями, зонами, контрольными сечениями, расходами и давлениями; измерения проводят по ГОСТ Р 53300-2009; референсные значения принимают по проекту, выполненному по СП 7.13130.2013 с учётом СТУ (п. 3.21 СТУ).</w:t>
      </w:r>
    </w:p>
    <w:p>
      <w:pPr>
        <w:keepNext/>
        <w:spacing w:after="60" w:before="120"/>
      </w:pPr>
      <w:r>
        <w:rPr>
          <w:rFonts w:ascii="Times New Roman" w:cs="Times New Roman" w:eastAsia="Times New Roman" w:hAnsi="Times New Roman"/>
        </w:rPr>
        <w:t xml:space="preserve">Таблица 11 – Испытания противодымной вентиляции</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1000"/>
        <w:gridCol w:w="4400"/>
        <w:gridCol w:w="3954"/>
      </w:tblGrid>
      <w:tr>
        <w:trPr>
          <w:cantSplit/>
          <w:tblHeader/>
        </w:trPr>
        <w:tc>
          <w:tcPr>
            <w:tcW w:type="dxa" w:w="1000"/>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4"/>
                <w:szCs w:val="24"/>
              </w:rPr>
              <w:t xml:space="preserve">Код</w:t>
            </w:r>
          </w:p>
        </w:tc>
        <w:tc>
          <w:tcPr>
            <w:tcW w:type="dxa" w:w="4400"/>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4"/>
                <w:szCs w:val="24"/>
              </w:rPr>
              <w:t xml:space="preserve">Проверка</w:t>
            </w:r>
          </w:p>
        </w:tc>
        <w:tc>
          <w:tcPr>
            <w:tcW w:type="dxa" w:w="3954"/>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4"/>
                <w:szCs w:val="24"/>
              </w:rPr>
              <w:t xml:space="preserve">Критерий</w:t>
            </w:r>
          </w:p>
        </w:tc>
      </w:tr>
      <w:tr>
        <w:trPr>
          <w:cantSplit/>
        </w:trPr>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Д1</w:t>
            </w:r>
          </w:p>
        </w:tc>
        <w:tc>
          <w:tcPr>
            <w:tcW w:type="dxa" w:w="4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Инициировать «Пожар» в каждой управляющей зоне СПС; проверить адресную команду, открытие люков и клапанов, пуск вентиляторов и обратные сигналы</w:t>
            </w:r>
          </w:p>
        </w:tc>
        <w:tc>
          <w:tcPr>
            <w:tcW w:type="dxa" w:w="39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Действуют только устройства, указанные для зоны в проектной матрице; последовательность и время по проекту</w:t>
            </w:r>
          </w:p>
        </w:tc>
      </w:tr>
      <w:tr>
        <w:trPr>
          <w:cantSplit/>
        </w:trPr>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Д2</w:t>
            </w:r>
          </w:p>
        </w:tc>
        <w:tc>
          <w:tcPr>
            <w:tcW w:type="dxa" w:w="4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Проверить включение подпора воздуха, отключение общеобменной вентиляции, закрытие противопожарных клапанов</w:t>
            </w:r>
          </w:p>
        </w:tc>
        <w:tc>
          <w:tcPr>
            <w:tcW w:type="dxa" w:w="39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Соответствие проектному алгоритму; сигналы положения клапанов и состояния приводов</w:t>
            </w:r>
          </w:p>
        </w:tc>
      </w:tr>
      <w:tr>
        <w:trPr>
          <w:cantSplit/>
        </w:trPr>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Д3</w:t>
            </w:r>
          </w:p>
        </w:tc>
        <w:tc>
          <w:tcPr>
            <w:tcW w:type="dxa" w:w="4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Имитировать отказ вентилятора, клапана или питания отключением цепи питания или управления в шкафу управления</w:t>
            </w:r>
          </w:p>
        </w:tc>
        <w:tc>
          <w:tcPr>
            <w:tcW w:type="dxa" w:w="39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Сообщение о неисправности; отсутствие ложной отметки «работа»; восстановление дежурного режима с записью в журнале проверок</w:t>
            </w:r>
          </w:p>
        </w:tc>
      </w:tr>
      <w:tr>
        <w:trPr>
          <w:cantSplit/>
        </w:trPr>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Д4</w:t>
            </w:r>
          </w:p>
        </w:tc>
        <w:tc>
          <w:tcPr>
            <w:tcW w:type="dxa" w:w="4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Насосная ГЖ: ручная команда на люки с поста, команды через С2000-БКИ, подтверждение положения люков и ворот</w:t>
            </w:r>
          </w:p>
        </w:tc>
        <w:tc>
          <w:tcPr>
            <w:tcW w:type="dxa" w:w="39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Соответствие 0115.023-АОВ</w:t>
            </w:r>
          </w:p>
        </w:tc>
      </w:tr>
      <w:tr>
        <w:trPr>
          <w:cantSplit/>
        </w:trPr>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Д5</w:t>
            </w:r>
          </w:p>
        </w:tc>
        <w:tc>
          <w:tcPr>
            <w:tcW w:type="dxa" w:w="4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Производственный цех (п. 3.2 СТУ): аэродинамические испытания вытяжной противодымной вентиляции и компенсирующей подачи воздуха по ГОСТ Р 53300-2009</w:t>
            </w:r>
          </w:p>
        </w:tc>
        <w:tc>
          <w:tcPr>
            <w:tcW w:type="dxa" w:w="39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Система имеется и введена в работу; расходы и давления в пределах, установленных проектом и ГОСТ Р 53300-2009 </w:t>
            </w:r>
            <w:r>
              <w:rPr>
                <w:rFonts w:ascii="Times New Roman" w:cs="Times New Roman" w:eastAsia="Times New Roman" w:hAnsi="Times New Roman"/>
                <w:b w:val="false"/>
                <w:bCs w:val="false"/>
                <w:sz w:val="24"/>
                <w:szCs w:val="24"/>
                <w:highlight w:val="yellow"/>
                <w:highlightCs w:val="yellow"/>
              </w:rPr>
              <w:t xml:space="preserve">[значения и лист – по 0115.010-ОВ2]</w:t>
            </w:r>
          </w:p>
        </w:tc>
      </w:tr>
    </w:tbl>
    <w:p>
      <w:pPr>
        <w:spacing w:after="60"/>
      </w:pPr>
    </w:p>
    <w:p>
      <w:pPr>
        <w:pStyle w:val="Heading1"/>
        <w:keepNext/>
        <w:spacing w:after="120" w:before="240"/>
        <w:ind w:firstLine="709"/>
      </w:pPr>
      <w:r>
        <w:rPr>
          <w:rFonts w:ascii="Times New Roman" w:cs="Times New Roman" w:eastAsia="Times New Roman" w:hAnsi="Times New Roman"/>
          <w:b/>
          <w:bCs/>
          <w:sz w:val="32"/>
          <w:szCs w:val="32"/>
        </w:rPr>
        <w:t xml:space="preserve">13 Проверка компенсирующих мероприятий СТУ на резервуарных парках и эстакадах</w:t>
      </w:r>
    </w:p>
    <w:p>
      <w:pPr>
        <w:pStyle w:val="Heading2"/>
        <w:keepNext/>
        <w:spacing w:after="80" w:before="160"/>
        <w:ind w:firstLine="709"/>
      </w:pPr>
      <w:r>
        <w:rPr>
          <w:rFonts w:ascii="Times New Roman" w:cs="Times New Roman" w:eastAsia="Times New Roman" w:hAnsi="Times New Roman"/>
          <w:b/>
          <w:bCs/>
          <w:sz w:val="32"/>
          <w:szCs w:val="32"/>
        </w:rPr>
        <w:t xml:space="preserve">13.1 Порядок проверки</w:t>
      </w:r>
    </w:p>
    <w:p>
      <w:pPr>
        <w:spacing w:after="60" w:line="276"/>
        <w:ind w:firstLine="709"/>
        <w:jc w:val="both"/>
      </w:pPr>
      <w:r>
        <w:rPr>
          <w:rFonts w:ascii="Times New Roman" w:cs="Times New Roman" w:eastAsia="Times New Roman" w:hAnsi="Times New Roman"/>
        </w:rPr>
        <w:t xml:space="preserve">Проверки выполняют последовательно: сначала объёмно-планировочные параметры (пп. 3.11–3.14 СТУ), затем возможность охлаждения и тушения каждого резервуара передвижной пожарной техникой (п. 3.15), затем стационарные установки (пп. 3.16, 3.17) для резервуаров, признанных недоступными. Результаты заносят в ведомость резервуаров (приложение Б).</w:t>
      </w:r>
    </w:p>
    <w:p>
      <w:pPr>
        <w:spacing w:after="60" w:line="276"/>
        <w:ind w:firstLine="709"/>
        <w:jc w:val="both"/>
      </w:pPr>
      <w:r>
        <w:rPr>
          <w:rFonts w:ascii="Times New Roman" w:cs="Times New Roman" w:eastAsia="Times New Roman" w:hAnsi="Times New Roman"/>
        </w:rPr>
        <w:t xml:space="preserve">Положения п. 3.13 (абзацы первый и второй) и п. 3.14 СТУ являются разрешительными: несоответствием считается только фактическое расстояние меньше допущенного или меньшее число сторон с подъездами, чем допущено.</w:t>
      </w:r>
    </w:p>
    <w:p>
      <w:pPr>
        <w:pStyle w:val="Heading2"/>
        <w:keepNext/>
        <w:spacing w:after="80" w:before="160"/>
        <w:ind w:firstLine="709"/>
      </w:pPr>
      <w:r>
        <w:rPr>
          <w:rFonts w:ascii="Times New Roman" w:cs="Times New Roman" w:eastAsia="Times New Roman" w:hAnsi="Times New Roman"/>
          <w:b/>
          <w:bCs/>
          <w:sz w:val="32"/>
          <w:szCs w:val="32"/>
        </w:rPr>
        <w:t xml:space="preserve">13.2 Методика</w:t>
      </w:r>
    </w:p>
    <w:p>
      <w:pPr>
        <w:keepNext/>
        <w:spacing w:after="60" w:before="120"/>
      </w:pPr>
      <w:r>
        <w:rPr>
          <w:rFonts w:ascii="Times New Roman" w:cs="Times New Roman" w:eastAsia="Times New Roman" w:hAnsi="Times New Roman"/>
        </w:rPr>
        <w:t xml:space="preserve">Таблица 12 – Проверка резервуарных парков и эстакад</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1000"/>
        <w:gridCol w:w="4400"/>
        <w:gridCol w:w="3954"/>
      </w:tblGrid>
      <w:tr>
        <w:trPr>
          <w:cantSplit/>
          <w:tblHeader/>
        </w:trPr>
        <w:tc>
          <w:tcPr>
            <w:tcW w:type="dxa" w:w="1000"/>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4"/>
                <w:szCs w:val="24"/>
              </w:rPr>
              <w:t xml:space="preserve">Код</w:t>
            </w:r>
          </w:p>
        </w:tc>
        <w:tc>
          <w:tcPr>
            <w:tcW w:type="dxa" w:w="4400"/>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4"/>
                <w:szCs w:val="24"/>
              </w:rPr>
              <w:t xml:space="preserve">Действие и объём</w:t>
            </w:r>
          </w:p>
        </w:tc>
        <w:tc>
          <w:tcPr>
            <w:tcW w:type="dxa" w:w="3954"/>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4"/>
                <w:szCs w:val="24"/>
              </w:rPr>
              <w:t xml:space="preserve">Критерий</w:t>
            </w:r>
          </w:p>
        </w:tc>
      </w:tr>
      <w:tr>
        <w:trPr>
          <w:cantSplit/>
        </w:trPr>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Р1</w:t>
            </w:r>
          </w:p>
        </w:tc>
        <w:tc>
          <w:tcPr>
            <w:tcW w:type="dxa" w:w="4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Обмер каждой из двух сливо-наливных эстакад (присадок и базовых масел) по границе площадки слива-налива (п. 3.11 СТУ)</w:t>
            </w:r>
          </w:p>
        </w:tc>
        <w:tc>
          <w:tcPr>
            <w:tcW w:type="dxa" w:w="39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Площадь каждой эстакады не более 70 м²</w:t>
            </w:r>
          </w:p>
        </w:tc>
      </w:tr>
      <w:tr>
        <w:trPr>
          <w:cantSplit/>
        </w:trPr>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Р2</w:t>
            </w:r>
          </w:p>
        </w:tc>
        <w:tc>
          <w:tcPr>
            <w:tcW w:type="dxa" w:w="4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Планировка площадок эстакад: нивелирование уклонов, проверка бортиков, лотков, трапов; контрольный пролив воды из пожарного рукава у каждого поста налива</w:t>
            </w:r>
          </w:p>
        </w:tc>
        <w:tc>
          <w:tcPr>
            <w:tcW w:type="dxa" w:w="39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Пролив отводится в лотки и ёмкость проливов, не растекается к зданиям, резервуарам и оборудованию; объём ёмкости проливов не более 30 м³ (п. 3.4)</w:t>
            </w:r>
          </w:p>
        </w:tc>
      </w:tr>
      <w:tr>
        <w:trPr>
          <w:cantSplit/>
        </w:trPr>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Р3</w:t>
            </w:r>
          </w:p>
        </w:tc>
        <w:tc>
          <w:tcPr>
            <w:tcW w:type="dxa" w:w="4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Отвод ливневых и талых вод с площадок эстакад: проходимость лотков, колодцев, гидрозатворов</w:t>
            </w:r>
          </w:p>
        </w:tc>
        <w:tc>
          <w:tcPr>
            <w:tcW w:type="dxa" w:w="39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Отвод обеспечен по проекту</w:t>
            </w:r>
          </w:p>
        </w:tc>
      </w:tr>
      <w:tr>
        <w:trPr>
          <w:cantSplit/>
        </w:trPr>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Р4</w:t>
            </w:r>
          </w:p>
        </w:tc>
        <w:tc>
          <w:tcPr>
            <w:tcW w:type="dxa" w:w="4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Ограждение каждого резервуарного парка (п. 3.12 СТУ): замкнутость по периметру, высота и целостность обвалования (стен), переходы</w:t>
            </w:r>
          </w:p>
        </w:tc>
        <w:tc>
          <w:tcPr>
            <w:tcW w:type="dxa" w:w="39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Ограждение замкнутое, соответствует ГОСТ Р 53324-2009 и проекту</w:t>
            </w:r>
          </w:p>
        </w:tc>
      </w:tr>
      <w:tr>
        <w:trPr>
          <w:cantSplit/>
        </w:trPr>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Р5</w:t>
            </w:r>
          </w:p>
        </w:tc>
        <w:tc>
          <w:tcPr>
            <w:tcW w:type="dxa" w:w="4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Расстояния (п. 3.13 СТУ): между стенками соседних резервуаров в группе (все пары соседних); между ближайшими резервуарами групп масел и присадок; от стенок резервуаров до подошвы внутренних откосов обвалования или ограждающих стен</w:t>
            </w:r>
          </w:p>
        </w:tc>
        <w:tc>
          <w:tcPr>
            <w:tcW w:type="dxa" w:w="39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Внутри группы не менее 3,0 м; между группами не менее 6,8 м; до обвалования или стены не менее 3 м</w:t>
            </w:r>
          </w:p>
        </w:tc>
      </w:tr>
      <w:tr>
        <w:trPr>
          <w:cantSplit/>
        </w:trPr>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Р6</w:t>
            </w:r>
          </w:p>
        </w:tc>
        <w:tc>
          <w:tcPr>
            <w:tcW w:type="dxa" w:w="4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Подъезды (п. 3.14 СТУ): фактические стороны групп с подъездами; ширина проезжей части, покрытие, разворотные площадки; отсутствие препятствий (ограждений, складирования, стоянок, запертых шлагбаумов)</w:t>
            </w:r>
          </w:p>
        </w:tc>
        <w:tc>
          <w:tcPr>
            <w:tcW w:type="dxa" w:w="39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Масла – не менее одной продольной и двух торцевых сторон; присадки – продольная, торцевая и большая часть второй продольной стороны; параметры по проекту и разделу 8 СП 4.13130.2013</w:t>
            </w:r>
          </w:p>
        </w:tc>
      </w:tr>
      <w:tr>
        <w:trPr>
          <w:cantSplit/>
        </w:trPr>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Р7</w:t>
            </w:r>
          </w:p>
        </w:tc>
        <w:tc>
          <w:tcPr>
            <w:tcW w:type="dxa" w:w="4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Досягаемость резервуаров (п. 3.15 СТУ): по генплану для каждого резервуара определить ближайшие позиции ПА на подъездах, расстояние до наиболее удалённой точки стенки и возможность подачи струй по всей окружности с учётом ТТХ техники гарнизона </w:t>
            </w:r>
            <w:r>
              <w:rPr>
                <w:rFonts w:ascii="Times New Roman" w:cs="Times New Roman" w:eastAsia="Times New Roman" w:hAnsi="Times New Roman"/>
                <w:b w:val="false"/>
                <w:bCs w:val="false"/>
                <w:sz w:val="24"/>
                <w:szCs w:val="24"/>
                <w:highlight w:val="yellow"/>
                <w:highlightCs w:val="yellow"/>
              </w:rPr>
              <w:t xml:space="preserve">[ТТХ лафетных стволов и пеноподъёмников – по сведениям подразделения пожарной охраны, приложение И]</w:t>
            </w:r>
            <w:r>
              <w:rPr>
                <w:rFonts w:ascii="Times New Roman" w:cs="Times New Roman" w:eastAsia="Times New Roman" w:hAnsi="Times New Roman"/>
                <w:b w:val="false"/>
                <w:bCs w:val="false"/>
                <w:sz w:val="24"/>
                <w:szCs w:val="24"/>
              </w:rPr>
              <w:t xml:space="preserve">; для наиболее неблагоприятных резервуаров подтвердить на пожарно-тактическом учении с участием подразделения пожарной охраны, в район выезда которого входит объект</w:t>
            </w:r>
          </w:p>
        </w:tc>
        <w:tc>
          <w:tcPr>
            <w:tcW w:type="dxa" w:w="39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Для каждого резервуара в приложении Б заполнены графы «охлаждение передвижной техникой» и «тушение передвижной техникой» (да или нет) с обоснованием. Резервуары с отметкой «нет» проверяются по Р8 и (или) Р9</w:t>
            </w:r>
          </w:p>
        </w:tc>
      </w:tr>
      <w:tr>
        <w:trPr>
          <w:cantSplit/>
        </w:trPr>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Р8</w:t>
            </w:r>
          </w:p>
        </w:tc>
        <w:tc>
          <w:tcPr>
            <w:tcW w:type="dxa" w:w="4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Стационарная установка охлаждения (п. 3.16 СТУ) на каждом резервуаре с отметкой «охлаждение – нет»: наличие кольца орошения; сухие трубопроводы выведены за обвалование; головки </w:t>
            </w:r>
            <w:r>
              <w:rPr>
                <w:rFonts w:ascii="Times New Roman" w:cs="Times New Roman" w:eastAsia="Times New Roman" w:hAnsi="Times New Roman"/>
                <w:b w:val="false"/>
                <w:bCs w:val="false"/>
                <w:sz w:val="24"/>
                <w:szCs w:val="24"/>
                <w:highlight w:val="yellow"/>
                <w:highlightCs w:val="yellow"/>
              </w:rPr>
              <w:t xml:space="preserve">[тип, Ду – по проекту установки охлаждения]</w:t>
            </w:r>
            <w:r>
              <w:rPr>
                <w:rFonts w:ascii="Times New Roman" w:cs="Times New Roman" w:eastAsia="Times New Roman" w:hAnsi="Times New Roman"/>
                <w:b w:val="false"/>
                <w:bCs w:val="false"/>
                <w:sz w:val="24"/>
                <w:szCs w:val="24"/>
              </w:rPr>
              <w:t xml:space="preserve"> по ГОСТ Р 53279-2009, заглушки, маркировка номером резервуара; проверка расчёта расхода в проекте; опытная подача воды от ПА через сухой трубопровод при проектном давлении на вводе </w:t>
            </w:r>
            <w:r>
              <w:rPr>
                <w:rFonts w:ascii="Times New Roman" w:cs="Times New Roman" w:eastAsia="Times New Roman" w:hAnsi="Times New Roman"/>
                <w:b w:val="false"/>
                <w:bCs w:val="false"/>
                <w:sz w:val="24"/>
                <w:szCs w:val="24"/>
                <w:highlight w:val="yellow"/>
                <w:highlightCs w:val="yellow"/>
              </w:rPr>
              <w:t xml:space="preserve">[Р, МПа – по проекту установки охлаждения]</w:t>
            </w:r>
            <w:r>
              <w:rPr>
                <w:rFonts w:ascii="Times New Roman" w:cs="Times New Roman" w:eastAsia="Times New Roman" w:hAnsi="Times New Roman"/>
                <w:b w:val="false"/>
                <w:bCs w:val="false"/>
                <w:sz w:val="24"/>
                <w:szCs w:val="24"/>
              </w:rPr>
              <w:t xml:space="preserve"> с измерением расхода и осмотром орошения стенки; опорожнение после опыта</w:t>
            </w:r>
          </w:p>
        </w:tc>
        <w:tc>
          <w:tcPr>
            <w:tcW w:type="dxa" w:w="39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Установка имеется; расход на кольцо не менее 0,5 л/с на 1 м длины окружности стенки; орошается вся окружность без сухих участков; расчётный общий расход (горящий + 0,2 л/(с·м) на половину окружности соседних) обеспечен запасом воды на 6 ч; герметичность</w:t>
            </w:r>
          </w:p>
        </w:tc>
      </w:tr>
      <w:tr>
        <w:trPr>
          <w:cantSplit/>
        </w:trPr>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Р9</w:t>
            </w:r>
          </w:p>
        </w:tc>
        <w:tc>
          <w:tcPr>
            <w:tcW w:type="dxa" w:w="4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Стационарное пенотушение (п. 3.17 СТУ) на каждом резервуаре с отметкой «тушение – нет»: наличие ГПС или пеносливов; исправность герметизирующих устройств; сухие трубопроводы за обвалованием с головками и заглушками; проверка проходимости подачей воды с отсоединением генератора или через контрольный выпуск перед ним (без подачи в резервуар)</w:t>
            </w:r>
          </w:p>
        </w:tc>
        <w:tc>
          <w:tcPr>
            <w:tcW w:type="dxa" w:w="39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Устройства имеются и исправны; трубопровод проходим и герметичен; давление перед генератором не менее рабочего </w:t>
            </w:r>
            <w:r>
              <w:rPr>
                <w:rFonts w:ascii="Times New Roman" w:cs="Times New Roman" w:eastAsia="Times New Roman" w:hAnsi="Times New Roman"/>
                <w:b w:val="false"/>
                <w:bCs w:val="false"/>
                <w:sz w:val="24"/>
                <w:szCs w:val="24"/>
                <w:highlight w:val="yellow"/>
                <w:highlightCs w:val="yellow"/>
              </w:rPr>
              <w:t xml:space="preserve">[Р, МПа – по ТД генератора пены]</w:t>
            </w:r>
            <w:r>
              <w:rPr>
                <w:rFonts w:ascii="Times New Roman" w:cs="Times New Roman" w:eastAsia="Times New Roman" w:hAnsi="Times New Roman"/>
                <w:b w:val="false"/>
                <w:bCs w:val="false"/>
                <w:sz w:val="24"/>
                <w:szCs w:val="24"/>
              </w:rPr>
              <w:t xml:space="preserve">; интенсивность и время подачи раствора по проекту и СП 155.13130.2014 </w:t>
            </w:r>
            <w:r>
              <w:rPr>
                <w:rFonts w:ascii="Times New Roman" w:cs="Times New Roman" w:eastAsia="Times New Roman" w:hAnsi="Times New Roman"/>
                <w:b w:val="false"/>
                <w:bCs w:val="false"/>
                <w:sz w:val="24"/>
                <w:szCs w:val="24"/>
                <w:highlight w:val="yellow"/>
                <w:highlightCs w:val="yellow"/>
              </w:rPr>
              <w:t xml:space="preserve">[интенсивность, л/(с·м²), и время, мин – по проекту пенотушения]</w:t>
            </w:r>
          </w:p>
        </w:tc>
      </w:tr>
    </w:tbl>
    <w:p>
      <w:pPr>
        <w:spacing w:after="60"/>
      </w:pPr>
    </w:p>
    <w:p>
      <w:pPr>
        <w:spacing w:after="80"/>
        <w:ind w:firstLine="709"/>
        <w:jc w:val="both"/>
      </w:pPr>
      <w:r>
        <w:rPr>
          <w:rFonts w:ascii="Times New Roman" w:cs="Times New Roman" w:eastAsia="Times New Roman" w:hAnsi="Times New Roman"/>
          <w:sz w:val="24"/>
          <w:szCs w:val="24"/>
        </w:rPr>
        <w:t xml:space="preserve">Примечание – Расход по п. 3.16 СТУ определяют по диаметрам из паспортов резервуаров: для горящего резервуара Q = 0,5 × π × D, для каждого соседнего в группе Q = 0,2 × π × D / 2; общий расход равен их сумме, запас воды – общему расходу за 6 ч.</w:t>
      </w:r>
    </w:p>
    <w:p>
      <w:pPr>
        <w:pStyle w:val="Heading2"/>
        <w:keepNext/>
        <w:spacing w:after="80" w:before="160"/>
        <w:ind w:firstLine="709"/>
      </w:pPr>
      <w:r>
        <w:rPr>
          <w:rFonts w:ascii="Times New Roman" w:cs="Times New Roman" w:eastAsia="Times New Roman" w:hAnsi="Times New Roman"/>
          <w:b/>
          <w:bCs/>
          <w:sz w:val="32"/>
          <w:szCs w:val="32"/>
        </w:rPr>
        <w:t xml:space="preserve">13.3 Прочие компенсирующие мероприятия</w:t>
      </w:r>
    </w:p>
    <w:p>
      <w:pPr>
        <w:keepNext/>
        <w:spacing w:after="60" w:before="120"/>
      </w:pPr>
      <w:r>
        <w:rPr>
          <w:rFonts w:ascii="Times New Roman" w:cs="Times New Roman" w:eastAsia="Times New Roman" w:hAnsi="Times New Roman"/>
        </w:rPr>
        <w:t xml:space="preserve">Таблица 13 – Проверка конструктивных и иных мероприятий СТУ</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1000"/>
        <w:gridCol w:w="4400"/>
        <w:gridCol w:w="3954"/>
      </w:tblGrid>
      <w:tr>
        <w:trPr>
          <w:cantSplit/>
          <w:tblHeader/>
        </w:trPr>
        <w:tc>
          <w:tcPr>
            <w:tcW w:type="dxa" w:w="1000"/>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4"/>
                <w:szCs w:val="24"/>
              </w:rPr>
              <w:t xml:space="preserve">Код</w:t>
            </w:r>
          </w:p>
        </w:tc>
        <w:tc>
          <w:tcPr>
            <w:tcW w:type="dxa" w:w="4400"/>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4"/>
                <w:szCs w:val="24"/>
              </w:rPr>
              <w:t xml:space="preserve">Действие и объём</w:t>
            </w:r>
          </w:p>
        </w:tc>
        <w:tc>
          <w:tcPr>
            <w:tcW w:type="dxa" w:w="3954"/>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4"/>
                <w:szCs w:val="24"/>
              </w:rPr>
              <w:t xml:space="preserve">Критерий</w:t>
            </w:r>
          </w:p>
        </w:tc>
      </w:tr>
      <w:tr>
        <w:trPr>
          <w:cantSplit/>
        </w:trPr>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М1</w:t>
            </w:r>
          </w:p>
        </w:tc>
        <w:tc>
          <w:tcPr>
            <w:tcW w:type="dxa" w:w="4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Насосная ГЖ (пп. 3.3, 3.4 СТУ): документальная проверка степени огнестойкости и класса конструктивной пожарной опасности; осмотр стен в сторону резервуаров и эстакад, дверей</w:t>
            </w:r>
          </w:p>
        </w:tc>
        <w:tc>
          <w:tcPr>
            <w:tcW w:type="dxa" w:w="39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Не ниже II степени, С0; стены в сторону резервуаров глухие; в сторону эстакад и ёмкости проливов без окон; двери противопожарные 2-го типа с маркировкой, доводчиками, уплотнениями</w:t>
            </w:r>
          </w:p>
        </w:tc>
      </w:tr>
      <w:tr>
        <w:trPr>
          <w:cantSplit/>
        </w:trPr>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М2</w:t>
            </w:r>
          </w:p>
        </w:tc>
        <w:tc>
          <w:tcPr>
            <w:tcW w:type="dxa" w:w="4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Противопожарная стена 1-го типа между складом и цехом (п. 3.9 СТУ): документы, осмотр целостности, заполнения проёмов</w:t>
            </w:r>
          </w:p>
        </w:tc>
        <w:tc>
          <w:tcPr>
            <w:tcW w:type="dxa" w:w="39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Стена 1-го типа; проёмы заполнены по проекту; нет незаделанных проходок</w:t>
            </w:r>
          </w:p>
        </w:tc>
      </w:tr>
      <w:tr>
        <w:trPr>
          <w:cantSplit/>
        </w:trPr>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М3</w:t>
            </w:r>
          </w:p>
        </w:tc>
        <w:tc>
          <w:tcPr>
            <w:tcW w:type="dxa" w:w="4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Стена ПСК в сторону эстакады (п. 3.10 СТУ): документы, осмотр</w:t>
            </w:r>
          </w:p>
        </w:tc>
        <w:tc>
          <w:tcPr>
            <w:tcW w:type="dxa" w:w="39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Предел огнестойкости не менее EI 45; заполнения проёмов противопожарные 2-го типа</w:t>
            </w:r>
          </w:p>
        </w:tc>
      </w:tr>
      <w:tr>
        <w:trPr>
          <w:cantSplit/>
        </w:trPr>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М4</w:t>
            </w:r>
          </w:p>
        </w:tc>
        <w:tc>
          <w:tcPr>
            <w:tcW w:type="dxa" w:w="4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Участок зарядки аккумуляторов погрузчиков (п. 3.7 СТУ): тип аккумуляторов, запуск аварийной вентиляции, расчёт категории помещения</w:t>
            </w:r>
          </w:p>
        </w:tc>
        <w:tc>
          <w:tcPr>
            <w:tcW w:type="dxa" w:w="39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Аккумуляторы гелевые; аварийная вентиляция включается по проекту; категория не опаснее В1</w:t>
            </w:r>
          </w:p>
        </w:tc>
      </w:tr>
    </w:tbl>
    <w:p>
      <w:pPr>
        <w:spacing w:after="60"/>
      </w:pPr>
    </w:p>
    <w:p>
      <w:pPr>
        <w:pStyle w:val="Heading1"/>
        <w:keepNext/>
        <w:spacing w:after="120" w:before="240"/>
        <w:ind w:firstLine="709"/>
      </w:pPr>
      <w:r>
        <w:rPr>
          <w:rFonts w:ascii="Times New Roman" w:cs="Times New Roman" w:eastAsia="Times New Roman" w:hAnsi="Times New Roman"/>
          <w:b/>
          <w:bCs/>
          <w:sz w:val="32"/>
          <w:szCs w:val="32"/>
        </w:rPr>
        <w:t xml:space="preserve">14 Комплексные сценарии</w:t>
      </w:r>
    </w:p>
    <w:p>
      <w:pPr>
        <w:keepNext/>
        <w:spacing w:after="60" w:before="120"/>
      </w:pPr>
      <w:r>
        <w:rPr>
          <w:rFonts w:ascii="Times New Roman" w:cs="Times New Roman" w:eastAsia="Times New Roman" w:hAnsi="Times New Roman"/>
        </w:rPr>
        <w:t xml:space="preserve">Таблица 14 – Комплексные сценарии</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1900"/>
        <w:gridCol w:w="3000"/>
        <w:gridCol w:w="4454"/>
      </w:tblGrid>
      <w:tr>
        <w:trPr>
          <w:cantSplit/>
          <w:tblHeader/>
        </w:trPr>
        <w:tc>
          <w:tcPr>
            <w:tcW w:type="dxa" w:w="1900"/>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4"/>
                <w:szCs w:val="24"/>
              </w:rPr>
              <w:t xml:space="preserve">Сценарий</w:t>
            </w:r>
          </w:p>
        </w:tc>
        <w:tc>
          <w:tcPr>
            <w:tcW w:type="dxa" w:w="3000"/>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4"/>
                <w:szCs w:val="24"/>
              </w:rPr>
              <w:t xml:space="preserve">Исходное событие</w:t>
            </w:r>
          </w:p>
        </w:tc>
        <w:tc>
          <w:tcPr>
            <w:tcW w:type="dxa" w:w="4454"/>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4"/>
                <w:szCs w:val="24"/>
              </w:rPr>
              <w:t xml:space="preserve">Проверяемая цепочка</w:t>
            </w:r>
          </w:p>
        </w:tc>
      </w:tr>
      <w:tr>
        <w:trPr>
          <w:cantSplit/>
        </w:trPr>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К1 ПСК</w:t>
            </w:r>
          </w:p>
        </w:tc>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Автоматический ИП в каждой ЗКСПС; затем ручной ИП</w:t>
            </w:r>
          </w:p>
        </w:tc>
        <w:tc>
          <w:tcPr>
            <w:tcW w:type="dxa" w:w="44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СПС; индикация; запуск СОУЭ; отключение общеобменной вентиляции и закрытие клапанов; дымоудаление и подпор по зоне; передача извещения (С8)</w:t>
            </w:r>
          </w:p>
        </w:tc>
      </w:tr>
      <w:tr>
        <w:trPr>
          <w:cantSplit/>
        </w:trPr>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К2 Насосная ГЖ</w:t>
            </w:r>
          </w:p>
        </w:tc>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Дымовой, линейный дымовой и ручной ИП по 0115.023-АПС</w:t>
            </w:r>
          </w:p>
        </w:tc>
        <w:tc>
          <w:tcPr>
            <w:tcW w:type="dxa" w:w="44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СПС; пост наблюдения; люки дымоудаления и ворота по 0115.023-АОВ; отключение общеобменной вентиляции; обратные сигналы; АУП по матрице</w:t>
            </w:r>
          </w:p>
        </w:tc>
      </w:tr>
      <w:tr>
        <w:trPr>
          <w:cantSplit/>
        </w:trPr>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К3 Склад базовых масел (0943)</w:t>
            </w:r>
          </w:p>
        </w:tc>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Первый, затем второй автоматический ИП; отдельно ручной ИП и дистанционный пуск</w:t>
            </w:r>
          </w:p>
        </w:tc>
        <w:tc>
          <w:tcPr>
            <w:tcW w:type="dxa" w:w="44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С2000-БКИ и С2000-СП2; оповещатель; ШУПН или имитатор; обратный сигнал</w:t>
            </w:r>
          </w:p>
        </w:tc>
      </w:tr>
      <w:tr>
        <w:trPr>
          <w:cantSplit/>
        </w:trPr>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К4 Каждая водяная и пенная секция</w:t>
            </w:r>
          </w:p>
        </w:tc>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Срабатывание контрольного крана узла управления</w:t>
            </w:r>
          </w:p>
        </w:tc>
        <w:tc>
          <w:tcPr>
            <w:tcW w:type="dxa" w:w="44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Узел управления и датчик давления; насосная станция и СПС; диспетчеризация; восстановление</w:t>
            </w:r>
          </w:p>
        </w:tc>
      </w:tr>
      <w:tr>
        <w:trPr>
          <w:cantSplit/>
        </w:trPr>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К5 Помещения № 216, 140, 141</w:t>
            </w:r>
          </w:p>
        </w:tc>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Один и два дымовых ИП, в том числе за подвесным потолком; дистанционный (ручной) пуск от ИПР-Кск, в том числе при открытой двери; открытая дверь (в № 140 – каждая из двух)</w:t>
            </w:r>
          </w:p>
        </w:tc>
        <w:tc>
          <w:tcPr>
            <w:tcW w:type="dxa" w:w="44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С2000-АСПТ; С2000М и С2000-ПТ на КПП; табло и звуковой сигнал; закрытие огнезадерживающих клапанов до пуска; задержка 30 с; отмена кнопкой СБРОС; имитатор пуска; сигнализатор давления СДУ-М</w:t>
            </w:r>
          </w:p>
        </w:tc>
      </w:tr>
      <w:tr>
        <w:trPr>
          <w:cantSplit/>
        </w:trPr>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К6 Дизель-генераторный зал</w:t>
            </w:r>
          </w:p>
        </w:tc>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Автоматический ИП зоны; дистанционный и ручной пуск </w:t>
            </w:r>
            <w:r>
              <w:rPr>
                <w:rFonts w:ascii="Times New Roman" w:cs="Times New Roman" w:eastAsia="Times New Roman" w:hAnsi="Times New Roman"/>
                <w:b w:val="false"/>
                <w:bCs w:val="false"/>
                <w:sz w:val="24"/>
                <w:szCs w:val="24"/>
                <w:highlight w:val="yellow"/>
                <w:highlightCs w:val="yellow"/>
              </w:rPr>
              <w:t xml:space="preserve">[последовательность – по проекту порошковой установки]</w:t>
            </w:r>
          </w:p>
        </w:tc>
        <w:tc>
          <w:tcPr>
            <w:tcW w:type="dxa" w:w="44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Предпусковое оповещение; проектная задержка; имитатор пуска; индикация</w:t>
            </w:r>
          </w:p>
        </w:tc>
      </w:tr>
      <w:tr>
        <w:trPr>
          <w:cantSplit/>
        </w:trPr>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К7 Резервуарный парк</w:t>
            </w:r>
          </w:p>
        </w:tc>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Ручной ИП периметра парка (С7)</w:t>
            </w:r>
          </w:p>
        </w:tc>
        <w:tc>
          <w:tcPr>
            <w:tcW w:type="dxa" w:w="44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СПС; «Пожар» на посту; передача извещения в пожарную охрану; пуск насосов НПВ (если предусмотрен проектом НПВ); подключение ПА к сухим трубопроводам установок охлаждения (Р8) на учении</w:t>
            </w:r>
          </w:p>
        </w:tc>
      </w:tr>
      <w:tr>
        <w:trPr>
          <w:cantSplit/>
        </w:trPr>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К8 Отказ и резерв</w:t>
            </w:r>
          </w:p>
        </w:tc>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Потеря связи или питания; работа от резервного источника</w:t>
            </w:r>
          </w:p>
        </w:tc>
        <w:tc>
          <w:tcPr>
            <w:tcW w:type="dxa" w:w="44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Неисправность; индикация; резервирование; восстановление</w:t>
            </w:r>
          </w:p>
        </w:tc>
      </w:tr>
    </w:tbl>
    <w:p>
      <w:pPr>
        <w:spacing w:after="60"/>
      </w:pPr>
    </w:p>
    <w:p>
      <w:pPr>
        <w:pStyle w:val="Heading1"/>
        <w:keepNext/>
        <w:spacing w:after="120" w:before="240"/>
        <w:ind w:firstLine="709"/>
      </w:pPr>
      <w:r>
        <w:rPr>
          <w:rFonts w:ascii="Times New Roman" w:cs="Times New Roman" w:eastAsia="Times New Roman" w:hAnsi="Times New Roman"/>
          <w:b/>
          <w:bCs/>
          <w:sz w:val="32"/>
          <w:szCs w:val="32"/>
        </w:rPr>
        <w:t xml:space="preserve">15 Проверка огнезащиты</w:t>
      </w:r>
    </w:p>
    <w:p>
      <w:pPr>
        <w:spacing w:after="60" w:line="276"/>
        <w:ind w:firstLine="709"/>
        <w:jc w:val="both"/>
      </w:pPr>
      <w:r>
        <w:rPr>
          <w:rFonts w:ascii="Times New Roman" w:cs="Times New Roman" w:eastAsia="Times New Roman" w:hAnsi="Times New Roman"/>
        </w:rPr>
        <w:t xml:space="preserve">Проверку проводят для строительных конструкций и инженерного оборудования, требуемый предел огнестойкости которых обеспечен нанесённым или смонтированным средством огнезащиты. Объём проверки определяют по проекту огнезащиты и исполнительной документации с учётом МОПБ: для несущих элементов зданий II степени огнестойкости требуется предел R 90, зданий III степени огнестойкости – R 45; для настилов бесчердачных покрытий – RE 15, для ферм, балок и прогонов – R 15 (таблица 21 Федерального закона № 123-ФЗ). Конструкции, узлы опирания и крепления, обеспечивающие устойчивость противопожарных стен, должны иметь предел огнестойкости не ниже требуемого предела огнестойкости преграды. Проверку выполняют по п. 13 ППР, ГОСТ Р 59637-2021, СП 432.1325800.2019, для стальных конструкций также по СП 433.1325800.2019, ГОСТ Р 53295-2009, проекту и ТД изготовителя.</w:t>
      </w:r>
    </w:p>
    <w:p>
      <w:pPr>
        <w:keepNext/>
        <w:spacing w:after="60" w:before="120"/>
      </w:pPr>
      <w:r>
        <w:rPr>
          <w:rFonts w:ascii="Times New Roman" w:cs="Times New Roman" w:eastAsia="Times New Roman" w:hAnsi="Times New Roman"/>
        </w:rPr>
        <w:t xml:space="preserve">Таблица 15 – Проверка огнезащиты</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1000"/>
        <w:gridCol w:w="4400"/>
        <w:gridCol w:w="3954"/>
      </w:tblGrid>
      <w:tr>
        <w:trPr>
          <w:cantSplit/>
          <w:tblHeader/>
        </w:trPr>
        <w:tc>
          <w:tcPr>
            <w:tcW w:type="dxa" w:w="1000"/>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4"/>
                <w:szCs w:val="24"/>
              </w:rPr>
              <w:t xml:space="preserve">Код</w:t>
            </w:r>
          </w:p>
        </w:tc>
        <w:tc>
          <w:tcPr>
            <w:tcW w:type="dxa" w:w="4400"/>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4"/>
                <w:szCs w:val="24"/>
              </w:rPr>
              <w:t xml:space="preserve">Проверка</w:t>
            </w:r>
          </w:p>
        </w:tc>
        <w:tc>
          <w:tcPr>
            <w:tcW w:type="dxa" w:w="3954"/>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4"/>
                <w:szCs w:val="24"/>
              </w:rPr>
              <w:t xml:space="preserve">Критерий</w:t>
            </w:r>
          </w:p>
        </w:tc>
      </w:tr>
      <w:tr>
        <w:trPr>
          <w:cantSplit/>
        </w:trPr>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ОЗ1</w:t>
            </w:r>
          </w:p>
        </w:tc>
        <w:tc>
          <w:tcPr>
            <w:tcW w:type="dxa" w:w="4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Составить ведомость огнезащиты по зданиям, осям и маркам конструкций: требуемый предел огнестойкости, тип и марка средства огнезащиты, приведённая толщина металла, проектная толщина слоя, грунт и покрывной слой, условия и срок эксплуатации</w:t>
            </w:r>
          </w:p>
        </w:tc>
        <w:tc>
          <w:tcPr>
            <w:tcW w:type="dxa" w:w="39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Каждая защищённая конструкция однозначно связана с проектом огнезащиты, исполнительной схемой и документами на применённую систему</w:t>
            </w:r>
          </w:p>
        </w:tc>
      </w:tr>
      <w:tr>
        <w:trPr>
          <w:cantSplit/>
        </w:trPr>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ОЗ2</w:t>
            </w:r>
          </w:p>
        </w:tc>
        <w:tc>
          <w:tcPr>
            <w:tcW w:type="dxa" w:w="4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Проверить проект огнезащиты, согласованные изменения, акты скрытых работ, журналы производства работ, сертификаты или декларации, паспорта на партии материалов, протоколы контроля толщины и предыдущих проверок</w:t>
            </w:r>
          </w:p>
        </w:tc>
        <w:tc>
          <w:tcPr>
            <w:tcW w:type="dxa" w:w="39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Материалы и все слои идентифицированы; совместимость, область применения, срок службы и соответствие требуемому пределу огнестойкости подтверждены документами</w:t>
            </w:r>
          </w:p>
        </w:tc>
      </w:tr>
      <w:tr>
        <w:trPr>
          <w:cantSplit/>
        </w:trPr>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ОЗ3</w:t>
            </w:r>
          </w:p>
        </w:tc>
        <w:tc>
          <w:tcPr>
            <w:tcW w:type="dxa" w:w="4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Осмотреть доступные поверхности колонн, балок, ферм, прогонов, связей, узлов, опор и крепежа, включая участки над подвесными потолками и в местах прокладки инженерных сетей; зафиксировать трещины, отслоения, вздутия, сколы, оголение основания, коррозию, следы увлажнения, перегрева, химического или механического воздействия</w:t>
            </w:r>
          </w:p>
        </w:tc>
        <w:tc>
          <w:tcPr>
            <w:tcW w:type="dxa" w:w="39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Огнезащита сплошная и сохранная на всём предусмотренном проектом участке; каждый дефект нанесён на схему и сфотографирован</w:t>
            </w:r>
          </w:p>
        </w:tc>
      </w:tr>
      <w:tr>
        <w:trPr>
          <w:cantSplit/>
        </w:trPr>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ОЗ4</w:t>
            </w:r>
          </w:p>
        </w:tc>
        <w:tc>
          <w:tcPr>
            <w:tcW w:type="dxa" w:w="4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Для окрасочной, обмазочной или штукатурной огнезащиты измерить сухую толщину в точках, назначенных проектом и ТД; отдельно учитывать грунт и покрывной слой; записать место, минимальное, максимальное и среднее значения</w:t>
            </w:r>
          </w:p>
        </w:tc>
        <w:tc>
          <w:tcPr>
            <w:tcW w:type="dxa" w:w="39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Результаты в каждой контрольной зоне соответствуют проектной толщине для марки конструкции, приведённой толщины металла и требуемого предела огнестойкости</w:t>
            </w:r>
          </w:p>
        </w:tc>
      </w:tr>
      <w:tr>
        <w:trPr>
          <w:cantSplit/>
        </w:trPr>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ОЗ4а</w:t>
            </w:r>
          </w:p>
        </w:tc>
        <w:tc>
          <w:tcPr>
            <w:tcW w:type="dxa" w:w="4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Назначить и нанести на исполнительную схему точки измерения толщины огнезащиты: в ПСК и АБК отдельно в зонах склада готовой продукции (оси 1-23/А-Л), производственного цеха (оси 1-23/Л-Э), склада пустой тары (оси 3-15/Э-Я), расходного склада (оси 22-23/Л-У), административно-бытовой встройки (оси 1-3/Р-Я) и инженерного блока (оси 15-23/Э-Я); в насосной расходного склада ГЖ, насосной станции пожаротушения, котельной, участке подготовки масла и трансформаторной подстанции – на каждой предусмотренной проектом группе защищённых колонн, балок, ферм, прогонов, связей и узлов. На каждом выбранном элементе выполнить измерения не менее чем в пяти точках: у нижнего участка, в средней части, у верхнего участка или опорного узла, у стыка или крепления и на визуально наиболее тонком либо повреждённом участке. Для балок, ферм и прогонов точки располагать у обеих опор и в пролёте; для колонн – по высоте и на доступных гранях. Количество элементов и замеров принимать не ниже требований проекта огнезащиты и ТД применённого состава</w:t>
            </w:r>
          </w:p>
        </w:tc>
        <w:tc>
          <w:tcPr>
            <w:tcW w:type="dxa" w:w="39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Каждая точка имеет уникальный номер и привязку к зданию, осям, отметке, марке и поверхности конструкции. В протоколе приведены отдельные показания, минимальное и среднее значения; схема охватывает все типы огнезащиты и все здания, где она предусмотрена проектом</w:t>
            </w:r>
          </w:p>
        </w:tc>
      </w:tr>
      <w:tr>
        <w:trPr>
          <w:cantSplit/>
        </w:trPr>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ОЗ5</w:t>
            </w:r>
          </w:p>
        </w:tc>
        <w:tc>
          <w:tcPr>
            <w:tcW w:type="dxa" w:w="4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Для конструктивной, плитной и рулонной огнезащиты проверить толщину и число слоёв, перекрытие стыков, крепёж, каркас, заполнение швов, примыкания, непрерывность в узлах; недоступные места – по актам скрытых работ или контрольным вскрытиям с восстановлением</w:t>
            </w:r>
          </w:p>
        </w:tc>
        <w:tc>
          <w:tcPr>
            <w:tcW w:type="dxa" w:w="39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Исполнение соответствует проекту и ТД испытанной системы; нет раскрытых стыков, пустот, смещений и повреждений креплений</w:t>
            </w:r>
          </w:p>
        </w:tc>
      </w:tr>
      <w:tr>
        <w:trPr>
          <w:cantSplit/>
        </w:trPr>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ОЗ6</w:t>
            </w:r>
          </w:p>
        </w:tc>
        <w:tc>
          <w:tcPr>
            <w:tcW w:type="dxa" w:w="4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Для огнезащиты воздуховодов, кабелей и другого инженерного оборудования проверить толщину и непрерывность покрытия, бандажи и крепления, защиту опор и подвесов, стыки и пересечения противопожарных преград</w:t>
            </w:r>
          </w:p>
        </w:tc>
        <w:tc>
          <w:tcPr>
            <w:tcW w:type="dxa" w:w="39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Применено проектное решение с требуемым пределом огнестойкости; проходки и примыкания без разрывов и незаделанных зазоров</w:t>
            </w:r>
          </w:p>
        </w:tc>
      </w:tr>
      <w:tr>
        <w:trPr>
          <w:cantSplit/>
        </w:trPr>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ОЗ7</w:t>
            </w:r>
          </w:p>
        </w:tc>
        <w:tc>
          <w:tcPr>
            <w:tcW w:type="dxa" w:w="4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Контроль адгезии, идентификацию материала, отбор образцов и иные разрушающие проверки выполнять только по проекту или ТД либо для установления причины дефекта; места контроля восстановить по технологии изготовителя</w:t>
            </w:r>
          </w:p>
        </w:tc>
        <w:tc>
          <w:tcPr>
            <w:tcW w:type="dxa" w:w="39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Показатели соответствуют проекту и ТД; имеется протокол метода; нарушенная огнезащита восстановлена</w:t>
            </w:r>
          </w:p>
        </w:tc>
      </w:tr>
    </w:tbl>
    <w:p>
      <w:pPr>
        <w:spacing w:after="60"/>
      </w:pPr>
    </w:p>
    <w:p>
      <w:pPr>
        <w:spacing w:after="60" w:line="276"/>
        <w:ind w:firstLine="709"/>
        <w:jc w:val="both"/>
      </w:pPr>
      <w:r>
        <w:rPr>
          <w:rFonts w:ascii="Times New Roman" w:cs="Times New Roman" w:eastAsia="Times New Roman" w:hAnsi="Times New Roman"/>
        </w:rPr>
        <w:t xml:space="preserve">Результат «соответствует» устанавливают только при подтверждении состава и объёма огнезащиты, её целостности и контролируемых параметров. При отсутствии проекта огнезащиты либо невозможности связать применённое средство и толщину слоя с требуемым пределом огнестойкости положительное заключение до получения недостающего обоснования не оформляют. Огневые испытания строительных конструкций настоящей Программой не предусмотрены. Результаты оформляют актом контроля состояния огнезащищенных материалов и конструкций по приложению Б ГОСТ Р 59637-2021 (образец – приложение Ж, форма Ж.8) с указанием мест и характера повреждений и рекомендуемых сроков их устранения (п. 13 ППР).</w:t>
      </w:r>
    </w:p>
    <w:p>
      <w:pPr>
        <w:pStyle w:val="Heading1"/>
        <w:keepNext/>
        <w:spacing w:after="120" w:before="240"/>
        <w:ind w:firstLine="709"/>
      </w:pPr>
      <w:r>
        <w:rPr>
          <w:rFonts w:ascii="Times New Roman" w:cs="Times New Roman" w:eastAsia="Times New Roman" w:hAnsi="Times New Roman"/>
          <w:b/>
          <w:bCs/>
          <w:sz w:val="32"/>
          <w:szCs w:val="32"/>
        </w:rPr>
        <w:t xml:space="preserve">16 Проверка объёмно-планировочных решений</w:t>
      </w:r>
    </w:p>
    <w:p>
      <w:pPr>
        <w:spacing w:after="60" w:line="276"/>
        <w:ind w:firstLine="709"/>
        <w:jc w:val="both"/>
      </w:pPr>
      <w:r>
        <w:rPr>
          <w:rFonts w:ascii="Times New Roman" w:cs="Times New Roman" w:eastAsia="Times New Roman" w:hAnsi="Times New Roman"/>
        </w:rPr>
        <w:t xml:space="preserve">Проверку выполняют визуально и инструментально по исполнительной документации и разделам 5.2, 9.2–9.4 МОПБ. Фактические размеры, расположение помещений и противопожарных преград, заполнение проёмов и узлы примыканий сопоставляют с утверждёнными проектными решениями. Недоступные места подтверждают исполнительными схемами и актами скрытых работ. Каждое выявленное отклонение заносят в лист замечаний (приложение Е).</w:t>
      </w:r>
    </w:p>
    <w:p>
      <w:pPr>
        <w:keepNext/>
        <w:spacing w:after="60" w:before="120"/>
      </w:pPr>
      <w:r>
        <w:rPr>
          <w:rFonts w:ascii="Times New Roman" w:cs="Times New Roman" w:eastAsia="Times New Roman" w:hAnsi="Times New Roman"/>
        </w:rPr>
        <w:t xml:space="preserve">Таблица 16 – Проверка объёмно-планировочных решений</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1000"/>
        <w:gridCol w:w="4400"/>
        <w:gridCol w:w="3954"/>
      </w:tblGrid>
      <w:tr>
        <w:trPr>
          <w:cantSplit/>
          <w:tblHeader/>
        </w:trPr>
        <w:tc>
          <w:tcPr>
            <w:tcW w:type="dxa" w:w="1000"/>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4"/>
                <w:szCs w:val="24"/>
              </w:rPr>
              <w:t xml:space="preserve">Код</w:t>
            </w:r>
          </w:p>
        </w:tc>
        <w:tc>
          <w:tcPr>
            <w:tcW w:type="dxa" w:w="4400"/>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4"/>
                <w:szCs w:val="24"/>
              </w:rPr>
              <w:t xml:space="preserve">Проверка</w:t>
            </w:r>
          </w:p>
        </w:tc>
        <w:tc>
          <w:tcPr>
            <w:tcW w:type="dxa" w:w="3954"/>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4"/>
                <w:szCs w:val="24"/>
              </w:rPr>
              <w:t xml:space="preserve">Критерий</w:t>
            </w:r>
          </w:p>
        </w:tc>
      </w:tr>
      <w:tr>
        <w:trPr>
          <w:cantSplit/>
        </w:trPr>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ОП1</w:t>
            </w:r>
          </w:p>
        </w:tc>
        <w:tc>
          <w:tcPr>
            <w:tcW w:type="dxa" w:w="4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Сверить размещение, габариты и этажность зданий и встроек с разделом 5.2 МОПБ, включая ПСК, АБК и функциональные зоны в установленных осях</w:t>
            </w:r>
          </w:p>
        </w:tc>
        <w:tc>
          <w:tcPr>
            <w:tcW w:type="dxa" w:w="39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Фактические границы и назначение зон соответствуют исполнительным планам и МОПБ; неучтённые перепланировки отсутствуют</w:t>
            </w:r>
          </w:p>
        </w:tc>
      </w:tr>
      <w:tr>
        <w:trPr>
          <w:cantSplit/>
        </w:trPr>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ОП2</w:t>
            </w:r>
          </w:p>
        </w:tc>
        <w:tc>
          <w:tcPr>
            <w:tcW w:type="dxa" w:w="4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Проверить деление зданий на пожарные отсеки и площади отсеков: каждое здание принято одним пожарным отсеком; площадь ПСК и АБК – не более 18 040 м² (п. 1.11 СТУ), насосной расходного склада ГЖ – не более 1 400 м², остальных зданий – не более 360 м²</w:t>
            </w:r>
          </w:p>
        </w:tc>
        <w:tc>
          <w:tcPr>
            <w:tcW w:type="dxa" w:w="39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Количество и площадь пожарных отсеков соответствуют разделу 9.2 МОПБ и исполнительной документации</w:t>
            </w:r>
          </w:p>
        </w:tc>
      </w:tr>
      <w:tr>
        <w:trPr>
          <w:cantSplit/>
        </w:trPr>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ОП3</w:t>
            </w:r>
          </w:p>
        </w:tc>
        <w:tc>
          <w:tcPr>
            <w:tcW w:type="dxa" w:w="4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Проверить противопожарные стены, перегородки и перекрытия, отделяющие складские помещения, помещения разных категорий, административно-бытовую встройку и инженерный блок; осмотреть непрерывность преград по всей высоте, в том числе над подвесными потолками и под фальшполами</w:t>
            </w:r>
          </w:p>
        </w:tc>
        <w:tc>
          <w:tcPr>
            <w:tcW w:type="dxa" w:w="39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Типы и пределы огнестойкости преград соответствуют проекту; отсутствуют разрывы, незаделанные зазоры и не предусмотренные проектом проёмы</w:t>
            </w:r>
          </w:p>
        </w:tc>
      </w:tr>
      <w:tr>
        <w:trPr>
          <w:cantSplit/>
        </w:trPr>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ОП4</w:t>
            </w:r>
          </w:p>
        </w:tc>
        <w:tc>
          <w:tcPr>
            <w:tcW w:type="dxa" w:w="4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Проверить противопожарные двери, ворота, люки, окна и клапаны: тип заполнения, маркировку, самозакрывание и автоматическое закрывание изделий, эксплуатируемых в открытом положении; определить долю проёмов в каждой противопожарной преграде</w:t>
            </w:r>
          </w:p>
        </w:tc>
        <w:tc>
          <w:tcPr>
            <w:tcW w:type="dxa" w:w="39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Заполнения соответствуют проектным типам; устройства закрывания работоспособны; общая площадь проёмов не превышает 25 % площади преграды (ст. 88 Федерального закона № 123-ФЗ)</w:t>
            </w:r>
          </w:p>
        </w:tc>
      </w:tr>
      <w:tr>
        <w:trPr>
          <w:cantSplit/>
        </w:trPr>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ОП5</w:t>
            </w:r>
          </w:p>
        </w:tc>
        <w:tc>
          <w:tcPr>
            <w:tcW w:type="dxa" w:w="4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Осмотреть узлы сопряжения противопожарных преград с покрытием, наружными стенами и другими конструкциями, проходки инженерных коммуникаций; проверить отсутствие зазоров и наличие проектной огнезаделки</w:t>
            </w:r>
          </w:p>
        </w:tc>
        <w:tc>
          <w:tcPr>
            <w:tcW w:type="dxa" w:w="39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Сопряжения и проходки выполнены непрерывно и имеют требуемый проектом предел огнестойкости; открытые отверстия и горючие заполнения отсутствуют</w:t>
            </w:r>
          </w:p>
        </w:tc>
      </w:tr>
      <w:tr>
        <w:trPr>
          <w:cantSplit/>
        </w:trPr>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ОП6</w:t>
            </w:r>
          </w:p>
        </w:tc>
        <w:tc>
          <w:tcPr>
            <w:tcW w:type="dxa" w:w="4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Проверить специальные решения МОПБ и СТУ: противопожарные стены склада готовой продукции (п. 3.9 СТУ); стены насосной расходного склада ГЖ со стороны парка присадок и сливо-наливных эстакад (п. 3.4 СТУ); стену ПСК и АБК со стороны автомобильной эстакады (п. 3.10 СТУ); двухметровые зоны покрытия группы НГ вокруг зенитных фонарей</w:t>
            </w:r>
          </w:p>
        </w:tc>
        <w:tc>
          <w:tcPr>
            <w:tcW w:type="dxa" w:w="39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Расположение, отсутствие или тип проёмов, пределы огнестойкости и материалы соответствуют пп. 9.3.5 и 9.4 МОПБ и СТУ; результаты в части СТУ переносятся в М1–М3 и приложение А</w:t>
            </w:r>
          </w:p>
        </w:tc>
      </w:tr>
      <w:tr>
        <w:trPr>
          <w:cantSplit/>
        </w:trPr>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ОП7</w:t>
            </w:r>
          </w:p>
        </w:tc>
        <w:tc>
          <w:tcPr>
            <w:tcW w:type="dxa" w:w="4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Зафиксировать результаты на поэтажных планах и схемах с привязкой каждого отклонения к зданию, помещению, осям и отметке; приложить фотографии, обмеры и ссылки на исполнительные документы</w:t>
            </w:r>
          </w:p>
        </w:tc>
        <w:tc>
          <w:tcPr>
            <w:tcW w:type="dxa" w:w="39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По каждому проверенному решению имеется однозначная запись в журнале проверок и, при отклонении, в листе замечаний. Результат «соответствует» устанавливается только при отсутствии отклонений либо после их устранения и повторной проверки</w:t>
            </w:r>
          </w:p>
        </w:tc>
      </w:tr>
    </w:tbl>
    <w:p>
      <w:pPr>
        <w:spacing w:after="60"/>
      </w:pPr>
    </w:p>
    <w:p>
      <w:pPr>
        <w:pStyle w:val="Heading1"/>
        <w:keepNext/>
        <w:spacing w:after="120" w:before="240"/>
        <w:ind w:firstLine="709"/>
      </w:pPr>
      <w:r>
        <w:rPr>
          <w:rFonts w:ascii="Times New Roman" w:cs="Times New Roman" w:eastAsia="Times New Roman" w:hAnsi="Times New Roman"/>
          <w:b/>
          <w:bCs/>
          <w:sz w:val="32"/>
          <w:szCs w:val="32"/>
        </w:rPr>
        <w:t xml:space="preserve">17 Оформление результатов</w:t>
      </w:r>
    </w:p>
    <w:p>
      <w:pPr>
        <w:spacing w:after="60" w:line="276"/>
        <w:ind w:firstLine="709"/>
        <w:jc w:val="both"/>
      </w:pPr>
      <w:r>
        <w:rPr>
          <w:rFonts w:ascii="Times New Roman" w:cs="Times New Roman" w:eastAsia="Times New Roman" w:hAnsi="Times New Roman"/>
        </w:rPr>
        <w:t xml:space="preserve">На каждое действие делают запись в журнале проверок (приложение В): дата, система, проектное обозначение, зона или адрес, способ воздействия, требование (нормативный документ, проект или пункт СТУ), референсное значение, фактическое значение, время реакции, СИ, исполнитель и свидетель. Фотографии, распечатки журнала событий, логи, схемы контрольных точек прилагают к актам.</w:t>
      </w:r>
    </w:p>
    <w:p>
      <w:pPr>
        <w:keepNext/>
        <w:spacing w:after="60" w:line="276"/>
        <w:ind w:firstLine="709"/>
        <w:jc w:val="both"/>
      </w:pPr>
      <w:r>
        <w:rPr>
          <w:rFonts w:ascii="Times New Roman" w:cs="Times New Roman" w:eastAsia="Times New Roman" w:hAnsi="Times New Roman"/>
        </w:rPr>
        <w:t xml:space="preserve">По результатам оформляют:</w:t>
      </w:r>
    </w:p>
    <w:p>
      <w:pPr>
        <w:pStyle w:val="ListParagraph"/>
        <w:numPr>
          <w:ilvl w:val="0"/>
          <w:numId w:val="2"/>
        </w:numPr>
        <w:spacing w:after="40" w:line="276"/>
        <w:jc w:val="both"/>
      </w:pPr>
      <w:r>
        <w:rPr>
          <w:rFonts w:ascii="Times New Roman" w:cs="Times New Roman" w:eastAsia="Times New Roman" w:hAnsi="Times New Roman"/>
        </w:rPr>
        <w:t xml:space="preserve">акт комплексных испытаний СПЗ (приложение Г) с перечнем выполненных и невыполненных сценариев, отклонений, сроков устранения и сведений о восстановлении всех отключённых цепей, арматуры и режимов автоматики;</w:t>
      </w:r>
    </w:p>
    <w:p>
      <w:pPr>
        <w:pStyle w:val="ListParagraph"/>
        <w:numPr>
          <w:ilvl w:val="0"/>
          <w:numId w:val="2"/>
        </w:numPr>
        <w:spacing w:after="40" w:line="276"/>
        <w:jc w:val="both"/>
      </w:pPr>
      <w:r>
        <w:rPr>
          <w:rFonts w:ascii="Times New Roman" w:cs="Times New Roman" w:eastAsia="Times New Roman" w:hAnsi="Times New Roman"/>
        </w:rPr>
        <w:t xml:space="preserve">заполненную матрицу компенсирующих мероприятий СТУ (приложение А), ведомость резервуаров (приложение Б) и таблицу алгоритмов взаимодействия систем с отметками о проверке (приложение К);</w:t>
      </w:r>
    </w:p>
    <w:p>
      <w:pPr>
        <w:pStyle w:val="ListParagraph"/>
        <w:numPr>
          <w:ilvl w:val="0"/>
          <w:numId w:val="2"/>
        </w:numPr>
        <w:spacing w:after="40" w:line="276"/>
        <w:jc w:val="both"/>
      </w:pPr>
      <w:r>
        <w:rPr>
          <w:rFonts w:ascii="Times New Roman" w:cs="Times New Roman" w:eastAsia="Times New Roman" w:hAnsi="Times New Roman"/>
        </w:rPr>
        <w:t xml:space="preserve">акт комплексных испытаний на работоспособность СПС, который должен быть оформлен по форме приложения В ГОСТ Р 59638-2021 (образец – приложение Ж, форма Ж.1);</w:t>
      </w:r>
    </w:p>
    <w:p>
      <w:pPr>
        <w:pStyle w:val="ListParagraph"/>
        <w:numPr>
          <w:ilvl w:val="0"/>
          <w:numId w:val="2"/>
        </w:numPr>
        <w:spacing w:after="40" w:line="276"/>
        <w:jc w:val="both"/>
      </w:pPr>
      <w:r>
        <w:rPr>
          <w:rFonts w:ascii="Times New Roman" w:cs="Times New Roman" w:eastAsia="Times New Roman" w:hAnsi="Times New Roman"/>
        </w:rPr>
        <w:t xml:space="preserve">заключение о соответствии объекта требованиям СТУ (приложение Д) с выводом по каждому пункту СТУ;</w:t>
      </w:r>
    </w:p>
    <w:p>
      <w:pPr>
        <w:pStyle w:val="ListParagraph"/>
        <w:numPr>
          <w:ilvl w:val="0"/>
          <w:numId w:val="2"/>
        </w:numPr>
        <w:spacing w:after="40" w:line="276"/>
        <w:jc w:val="both"/>
      </w:pPr>
      <w:r>
        <w:rPr>
          <w:rFonts w:ascii="Times New Roman" w:cs="Times New Roman" w:eastAsia="Times New Roman" w:hAnsi="Times New Roman"/>
        </w:rPr>
        <w:t xml:space="preserve">акты и протоколы по остальным системам по образцам приложения Ж: СОУЭ (форма Ж.2), АУП (Ж.3), ВПВ (Ж.4), противодымная вентиляция (Ж.5), НПВ (Ж.6), стационарные установки охлаждения и пенотушения резервуаров (Ж.7), огнезащита (Ж.8);</w:t>
      </w:r>
    </w:p>
    <w:p>
      <w:pPr>
        <w:pStyle w:val="ListParagraph"/>
        <w:numPr>
          <w:ilvl w:val="0"/>
          <w:numId w:val="2"/>
        </w:numPr>
        <w:spacing w:after="40" w:line="276"/>
        <w:jc w:val="both"/>
      </w:pPr>
      <w:r>
        <w:rPr>
          <w:rFonts w:ascii="Times New Roman" w:cs="Times New Roman" w:eastAsia="Times New Roman" w:hAnsi="Times New Roman"/>
        </w:rPr>
        <w:t xml:space="preserve">ведомость дефектов с указанием пункта СТУ или проекта, требуемого и фактического значения, ответственного и срока устранения.</w:t>
      </w:r>
    </w:p>
    <w:p>
      <w:pPr>
        <w:spacing w:after="60" w:line="276"/>
        <w:ind w:firstLine="709"/>
        <w:jc w:val="both"/>
      </w:pPr>
      <w:r>
        <w:rPr>
          <w:rFonts w:ascii="Times New Roman" w:cs="Times New Roman" w:eastAsia="Times New Roman" w:hAnsi="Times New Roman"/>
        </w:rPr>
        <w:t xml:space="preserve">Комиссия принимает только фактически проверенный объём. Каждое отклонение вносят в лист замечаний (приложение Е). Повторные проверки оформляют отдельной записью. Сведения о проведённых проверках вносят в журнал эксплуатации систем противопожарной защиты.</w:t>
      </w:r>
    </w:p>
    <w:p>
      <w:pPr>
        <w:sectPr>
          <w:footerReference w:type="default" r:id="rId7"/>
          <w:pgSz w:w="11906" w:h="16838" w:orient="portrait"/>
          <w:pgMar w:top="1134" w:right="850" w:bottom="1134" w:left="1701" w:header="708" w:footer="708" w:gutter="0"/>
          <w:pgNumType w:start="2"/>
          <w:docGrid w:linePitch="360"/>
        </w:sectPr>
      </w:pPr>
    </w:p>
    <w:p>
      <w:pPr>
        <w:pStyle w:val="Heading1"/>
        <w:pageBreakBefore/>
        <w:spacing w:after="0"/>
        <w:jc w:val="center"/>
      </w:pPr>
      <w:r>
        <w:rPr>
          <w:rFonts w:ascii="Times New Roman" w:cs="Times New Roman" w:eastAsia="Times New Roman" w:hAnsi="Times New Roman"/>
          <w:b/>
          <w:bCs/>
          <w:sz w:val="32"/>
          <w:szCs w:val="32"/>
        </w:rPr>
        <w:t xml:space="preserve">Приложение А</w:t>
      </w:r>
    </w:p>
    <w:p>
      <w:pPr>
        <w:keepNext/>
        <w:spacing w:after="0" w:before="0"/>
        <w:jc w:val="center"/>
      </w:pPr>
      <w:r>
        <w:rPr>
          <w:rFonts w:ascii="Times New Roman" w:cs="Times New Roman" w:eastAsia="Times New Roman" w:hAnsi="Times New Roman"/>
          <w:sz w:val="28"/>
          <w:szCs w:val="28"/>
        </w:rPr>
        <w:t xml:space="preserve">(обязательное)</w:t>
      </w:r>
    </w:p>
    <w:p>
      <w:pPr>
        <w:keepNext/>
        <w:spacing w:after="160" w:before="60"/>
        <w:jc w:val="center"/>
      </w:pPr>
      <w:r>
        <w:rPr>
          <w:rFonts w:ascii="Times New Roman" w:cs="Times New Roman" w:eastAsia="Times New Roman" w:hAnsi="Times New Roman"/>
          <w:b/>
          <w:bCs/>
          <w:sz w:val="32"/>
          <w:szCs w:val="32"/>
        </w:rPr>
        <w:t xml:space="preserve">Матрица компенсирующих мероприятий СТУ и проверок</w:t>
      </w:r>
    </w:p>
    <w:tbl>
      <w:tblPr>
        <w:tblW w:type="dxa" w:w="14287"/>
        <w:tblBorders>
          <w:top w:val="single" w:color="auto" w:sz="4"/>
          <w:left w:val="single" w:color="auto" w:sz="4"/>
          <w:bottom w:val="single" w:color="auto" w:sz="4"/>
          <w:right w:val="single" w:color="auto" w:sz="4"/>
          <w:insideH w:val="single" w:color="auto" w:sz="4"/>
          <w:insideV w:val="single" w:color="auto" w:sz="4"/>
        </w:tblBorders>
      </w:tblPr>
      <w:tblGrid>
        <w:gridCol w:w="1300"/>
        <w:gridCol w:w="4000"/>
        <w:gridCol w:w="1300"/>
        <w:gridCol w:w="2000"/>
        <w:gridCol w:w="2900"/>
        <w:gridCol w:w="1500"/>
        <w:gridCol w:w="1287"/>
      </w:tblGrid>
      <w:tr>
        <w:trPr>
          <w:cantSplit/>
          <w:tblHeader/>
        </w:trPr>
        <w:tc>
          <w:tcPr>
            <w:tcW w:type="dxa" w:w="1300"/>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4"/>
                <w:szCs w:val="24"/>
              </w:rPr>
              <w:t xml:space="preserve">Пункт СТУ</w:t>
            </w:r>
          </w:p>
        </w:tc>
        <w:tc>
          <w:tcPr>
            <w:tcW w:type="dxa" w:w="4000"/>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4"/>
                <w:szCs w:val="24"/>
              </w:rPr>
              <w:t xml:space="preserve">Требование</w:t>
            </w:r>
          </w:p>
        </w:tc>
        <w:tc>
          <w:tcPr>
            <w:tcW w:type="dxa" w:w="1300"/>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4"/>
                <w:szCs w:val="24"/>
              </w:rPr>
              <w:t xml:space="preserve">Код проверки</w:t>
            </w:r>
          </w:p>
        </w:tc>
        <w:tc>
          <w:tcPr>
            <w:tcW w:type="dxa" w:w="2000"/>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4"/>
                <w:szCs w:val="24"/>
              </w:rPr>
              <w:t xml:space="preserve">Метод</w:t>
            </w:r>
          </w:p>
        </w:tc>
        <w:tc>
          <w:tcPr>
            <w:tcW w:type="dxa" w:w="2900"/>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4"/>
                <w:szCs w:val="24"/>
              </w:rPr>
              <w:t xml:space="preserve">Референсное значение (критерий)</w:t>
            </w:r>
          </w:p>
        </w:tc>
        <w:tc>
          <w:tcPr>
            <w:tcW w:type="dxa" w:w="1500"/>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4"/>
                <w:szCs w:val="24"/>
              </w:rPr>
              <w:t xml:space="preserve">Фак­ти­чес­кое значение</w:t>
            </w:r>
          </w:p>
        </w:tc>
        <w:tc>
          <w:tcPr>
            <w:tcW w:type="dxa" w:w="1287"/>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4"/>
                <w:szCs w:val="24"/>
              </w:rPr>
              <w:t xml:space="preserve">Со­от­ветс­твие</w:t>
            </w:r>
          </w:p>
        </w:tc>
      </w:tr>
      <w:tr>
        <w:trPr>
          <w:cantSplit/>
        </w:trPr>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2.1.3, 3.23</w:t>
            </w:r>
          </w:p>
        </w:tc>
        <w:tc>
          <w:tcPr>
            <w:tcW w:type="dxa" w:w="4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Прибытие первых подразделений пожарной охраны не более 20 мин</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О5</w:t>
            </w:r>
          </w:p>
        </w:tc>
        <w:tc>
          <w:tcPr>
            <w:tcW w:type="dxa" w:w="2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Расчёт или письмо гарнизона</w:t>
            </w:r>
          </w:p>
        </w:tc>
        <w:tc>
          <w:tcPr>
            <w:tcW w:type="dxa" w:w="29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Не более 20 мин</w:t>
            </w: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28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r>
      <w:tr>
        <w:trPr>
          <w:cantSplit/>
        </w:trPr>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2.1.4</w:t>
            </w:r>
          </w:p>
        </w:tc>
        <w:tc>
          <w:tcPr>
            <w:tcW w:type="dxa" w:w="4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Сертификаты (декларации) на материалы и оборудование</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О2</w:t>
            </w:r>
          </w:p>
        </w:tc>
        <w:tc>
          <w:tcPr>
            <w:tcW w:type="dxa" w:w="2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Документальная</w:t>
            </w:r>
          </w:p>
        </w:tc>
        <w:tc>
          <w:tcPr>
            <w:tcW w:type="dxa" w:w="29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Документы имеются</w:t>
            </w: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28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r>
      <w:tr>
        <w:trPr>
          <w:cantSplit/>
        </w:trPr>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2.2.1</w:t>
            </w:r>
          </w:p>
        </w:tc>
        <w:tc>
          <w:tcPr>
            <w:tcW w:type="dxa" w:w="4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АУП пенная под покрытием</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П6, П4</w:t>
            </w:r>
          </w:p>
        </w:tc>
        <w:tc>
          <w:tcPr>
            <w:tcW w:type="dxa" w:w="2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Расчёт, испытание</w:t>
            </w:r>
          </w:p>
        </w:tc>
        <w:tc>
          <w:tcPr>
            <w:tcW w:type="dxa" w:w="29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0,22 л/(с·м²); 180 м²; 25 мин</w:t>
            </w: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28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r>
      <w:tr>
        <w:trPr>
          <w:cantSplit/>
        </w:trPr>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2.2.2</w:t>
            </w:r>
          </w:p>
        </w:tc>
        <w:tc>
          <w:tcPr>
            <w:tcW w:type="dxa" w:w="4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Внутристеллажная АУП</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П7</w:t>
            </w:r>
          </w:p>
        </w:tc>
        <w:tc>
          <w:tcPr>
            <w:tcW w:type="dxa" w:w="2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Замеры</w:t>
            </w:r>
          </w:p>
        </w:tc>
        <w:tc>
          <w:tcPr>
            <w:tcW w:type="dxa" w:w="29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Уровни ≤ 5 м; оросители ≤ 3 м; экраны</w:t>
            </w: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28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r>
      <w:tr>
        <w:trPr>
          <w:cantSplit/>
        </w:trPr>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2.2.3</w:t>
            </w:r>
          </w:p>
        </w:tc>
        <w:tc>
          <w:tcPr>
            <w:tcW w:type="dxa" w:w="4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Пена низкой кратности 3 %</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П9</w:t>
            </w:r>
          </w:p>
        </w:tc>
        <w:tc>
          <w:tcPr>
            <w:tcW w:type="dxa" w:w="2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Рефрактометр</w:t>
            </w:r>
          </w:p>
        </w:tc>
        <w:tc>
          <w:tcPr>
            <w:tcW w:type="dxa" w:w="29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3 %</w:t>
            </w: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28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r>
      <w:tr>
        <w:trPr>
          <w:cantSplit/>
        </w:trPr>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2.2.4</w:t>
            </w:r>
          </w:p>
        </w:tc>
        <w:tc>
          <w:tcPr>
            <w:tcW w:type="dxa" w:w="4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Высота склада и хранения</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П8</w:t>
            </w:r>
          </w:p>
        </w:tc>
        <w:tc>
          <w:tcPr>
            <w:tcW w:type="dxa" w:w="2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Лазерный дальномер</w:t>
            </w:r>
          </w:p>
        </w:tc>
        <w:tc>
          <w:tcPr>
            <w:tcW w:type="dxa" w:w="29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 13,7 м; ≤ 10,0 м</w:t>
            </w: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28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r>
      <w:tr>
        <w:trPr>
          <w:cantSplit/>
        </w:trPr>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2.2.6, 3.18</w:t>
            </w:r>
          </w:p>
        </w:tc>
        <w:tc>
          <w:tcPr>
            <w:tcW w:type="dxa" w:w="4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ВПВ, совмещённый с АУП; расход ВПВ склада</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В1</w:t>
            </w:r>
          </w:p>
        </w:tc>
        <w:tc>
          <w:tcPr>
            <w:tcW w:type="dxa" w:w="2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Испытание</w:t>
            </w:r>
          </w:p>
        </w:tc>
        <w:tc>
          <w:tcPr>
            <w:tcW w:type="dxa" w:w="29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По проекту</w:t>
            </w: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28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r>
      <w:tr>
        <w:trPr>
          <w:cantSplit/>
        </w:trPr>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2.2.7</w:t>
            </w:r>
          </w:p>
        </w:tc>
        <w:tc>
          <w:tcPr>
            <w:tcW w:type="dxa" w:w="4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Линейные дымовые ИП</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С6</w:t>
            </w:r>
          </w:p>
        </w:tc>
        <w:tc>
          <w:tcPr>
            <w:tcW w:type="dxa" w:w="2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Замер, активация</w:t>
            </w:r>
          </w:p>
        </w:tc>
        <w:tc>
          <w:tcPr>
            <w:tcW w:type="dxa" w:w="29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0,1–0,6 м от перекрытия; 2 яруса при H &gt; 12 м</w:t>
            </w: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28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r>
      <w:tr>
        <w:trPr>
          <w:cantSplit/>
        </w:trPr>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2.2.8</w:t>
            </w:r>
          </w:p>
        </w:tc>
        <w:tc>
          <w:tcPr>
            <w:tcW w:type="dxa" w:w="4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Вывод сигнала в пожарную охрану</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С8</w:t>
            </w:r>
          </w:p>
        </w:tc>
        <w:tc>
          <w:tcPr>
            <w:tcW w:type="dxa" w:w="2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Испытание</w:t>
            </w:r>
          </w:p>
        </w:tc>
        <w:tc>
          <w:tcPr>
            <w:tcW w:type="dxa" w:w="29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Приём подтверждён</w:t>
            </w: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28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r>
      <w:tr>
        <w:trPr>
          <w:cantSplit/>
        </w:trPr>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3.2</w:t>
            </w:r>
          </w:p>
        </w:tc>
        <w:tc>
          <w:tcPr>
            <w:tcW w:type="dxa" w:w="4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Дымоудаление производственного цеха</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Д5</w:t>
            </w:r>
          </w:p>
        </w:tc>
        <w:tc>
          <w:tcPr>
            <w:tcW w:type="dxa" w:w="2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ГОСТ Р 53300-2009</w:t>
            </w:r>
          </w:p>
        </w:tc>
        <w:tc>
          <w:tcPr>
            <w:tcW w:type="dxa" w:w="29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По проекту</w:t>
            </w: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28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r>
      <w:tr>
        <w:trPr>
          <w:cantSplit/>
        </w:trPr>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3.3, 3.4</w:t>
            </w:r>
          </w:p>
        </w:tc>
        <w:tc>
          <w:tcPr>
            <w:tcW w:type="dxa" w:w="4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Насосная ГЖ: II, С0; глухие стены; двери 2-го типа; ёмкость проливов ≤ 30 м³</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М1, Р2, ОП6</w:t>
            </w:r>
          </w:p>
        </w:tc>
        <w:tc>
          <w:tcPr>
            <w:tcW w:type="dxa" w:w="2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Документы, осмотр</w:t>
            </w:r>
          </w:p>
        </w:tc>
        <w:tc>
          <w:tcPr>
            <w:tcW w:type="dxa" w:w="29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По СТУ</w:t>
            </w: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28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r>
      <w:tr>
        <w:trPr>
          <w:cantSplit/>
        </w:trPr>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3.5</w:t>
            </w:r>
          </w:p>
        </w:tc>
        <w:tc>
          <w:tcPr>
            <w:tcW w:type="dxa" w:w="4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Трубопровод подключения ПА к АУП</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П10</w:t>
            </w:r>
          </w:p>
        </w:tc>
        <w:tc>
          <w:tcPr>
            <w:tcW w:type="dxa" w:w="2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Осмотр, подача от ПА</w:t>
            </w:r>
          </w:p>
        </w:tc>
        <w:tc>
          <w:tcPr>
            <w:tcW w:type="dxa" w:w="29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Наибольший расход секции</w:t>
            </w: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28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r>
      <w:tr>
        <w:trPr>
          <w:cantSplit/>
        </w:trPr>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3.6</w:t>
            </w:r>
          </w:p>
        </w:tc>
        <w:tc>
          <w:tcPr>
            <w:tcW w:type="dxa" w:w="4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ИПР по периметру парков</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С7</w:t>
            </w:r>
          </w:p>
        </w:tc>
        <w:tc>
          <w:tcPr>
            <w:tcW w:type="dxa" w:w="2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Замер, активация</w:t>
            </w:r>
          </w:p>
        </w:tc>
        <w:tc>
          <w:tcPr>
            <w:tcW w:type="dxa" w:w="29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 100 м; ≥ 2; ≤ 5 м от обвалования</w:t>
            </w: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28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r>
      <w:tr>
        <w:trPr>
          <w:cantSplit/>
        </w:trPr>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3.7, 3.8</w:t>
            </w:r>
          </w:p>
        </w:tc>
        <w:tc>
          <w:tcPr>
            <w:tcW w:type="dxa" w:w="4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Зарядка аккумуляторов погрузчиков</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М4</w:t>
            </w:r>
          </w:p>
        </w:tc>
        <w:tc>
          <w:tcPr>
            <w:tcW w:type="dxa" w:w="2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Документы, испытание</w:t>
            </w:r>
          </w:p>
        </w:tc>
        <w:tc>
          <w:tcPr>
            <w:tcW w:type="dxa" w:w="29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Гелевые АКБ; авар. вентиляция; ≤ В1</w:t>
            </w: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28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r>
      <w:tr>
        <w:trPr>
          <w:cantSplit/>
        </w:trPr>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3.9</w:t>
            </w:r>
          </w:p>
        </w:tc>
        <w:tc>
          <w:tcPr>
            <w:tcW w:type="dxa" w:w="4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Противопожарная стена 1-го типа склад/цех</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М2, ОП6</w:t>
            </w:r>
          </w:p>
        </w:tc>
        <w:tc>
          <w:tcPr>
            <w:tcW w:type="dxa" w:w="2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Документы, осмотр</w:t>
            </w:r>
          </w:p>
        </w:tc>
        <w:tc>
          <w:tcPr>
            <w:tcW w:type="dxa" w:w="29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1-й тип</w:t>
            </w: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28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r>
      <w:tr>
        <w:trPr>
          <w:cantSplit/>
        </w:trPr>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3.10</w:t>
            </w:r>
          </w:p>
        </w:tc>
        <w:tc>
          <w:tcPr>
            <w:tcW w:type="dxa" w:w="4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Стена ПСК к эстакаде</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М3, ОП6</w:t>
            </w:r>
          </w:p>
        </w:tc>
        <w:tc>
          <w:tcPr>
            <w:tcW w:type="dxa" w:w="2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Документы, осмотр</w:t>
            </w:r>
          </w:p>
        </w:tc>
        <w:tc>
          <w:tcPr>
            <w:tcW w:type="dxa" w:w="29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EI 45; заполнения 2-го типа</w:t>
            </w: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28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r>
      <w:tr>
        <w:trPr>
          <w:cantSplit/>
        </w:trPr>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3.11</w:t>
            </w:r>
          </w:p>
        </w:tc>
        <w:tc>
          <w:tcPr>
            <w:tcW w:type="dxa" w:w="4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Площадь эстакад; планировка; отвод вод</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Р1–Р3</w:t>
            </w:r>
          </w:p>
        </w:tc>
        <w:tc>
          <w:tcPr>
            <w:tcW w:type="dxa" w:w="2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Обмер, пролив</w:t>
            </w:r>
          </w:p>
        </w:tc>
        <w:tc>
          <w:tcPr>
            <w:tcW w:type="dxa" w:w="29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 70 м² каждой</w:t>
            </w: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28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r>
      <w:tr>
        <w:trPr>
          <w:cantSplit/>
        </w:trPr>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3.12</w:t>
            </w:r>
          </w:p>
        </w:tc>
        <w:tc>
          <w:tcPr>
            <w:tcW w:type="dxa" w:w="4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Замкнутое ограждение парков</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Р4</w:t>
            </w:r>
          </w:p>
        </w:tc>
        <w:tc>
          <w:tcPr>
            <w:tcW w:type="dxa" w:w="2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Осмотр</w:t>
            </w:r>
          </w:p>
        </w:tc>
        <w:tc>
          <w:tcPr>
            <w:tcW w:type="dxa" w:w="29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ГОСТ Р 53324-2009</w:t>
            </w: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28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r>
      <w:tr>
        <w:trPr>
          <w:cantSplit/>
        </w:trPr>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3.13</w:t>
            </w:r>
          </w:p>
        </w:tc>
        <w:tc>
          <w:tcPr>
            <w:tcW w:type="dxa" w:w="4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Расстояния между резервуарами и до обвалования</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Р5</w:t>
            </w:r>
          </w:p>
        </w:tc>
        <w:tc>
          <w:tcPr>
            <w:tcW w:type="dxa" w:w="2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Замер</w:t>
            </w:r>
          </w:p>
        </w:tc>
        <w:tc>
          <w:tcPr>
            <w:tcW w:type="dxa" w:w="29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 3,0 м; ≥ 6,8 м; ≥ 3 м</w:t>
            </w: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28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r>
      <w:tr>
        <w:trPr>
          <w:cantSplit/>
        </w:trPr>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3.14</w:t>
            </w:r>
          </w:p>
        </w:tc>
        <w:tc>
          <w:tcPr>
            <w:tcW w:type="dxa" w:w="4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Подъезды к группам</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Р6</w:t>
            </w:r>
          </w:p>
        </w:tc>
        <w:tc>
          <w:tcPr>
            <w:tcW w:type="dxa" w:w="2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Осмотр, замер</w:t>
            </w:r>
          </w:p>
        </w:tc>
        <w:tc>
          <w:tcPr>
            <w:tcW w:type="dxa" w:w="29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Стороны по СТУ</w:t>
            </w: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28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r>
      <w:tr>
        <w:trPr>
          <w:cantSplit/>
        </w:trPr>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3.15</w:t>
            </w:r>
          </w:p>
        </w:tc>
        <w:tc>
          <w:tcPr>
            <w:tcW w:type="dxa" w:w="4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Охлаждение и тушение каждого резервуара передвижной техникой</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Р7</w:t>
            </w:r>
          </w:p>
        </w:tc>
        <w:tc>
          <w:tcPr>
            <w:tcW w:type="dxa" w:w="2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Генплан, учение</w:t>
            </w:r>
          </w:p>
        </w:tc>
        <w:tc>
          <w:tcPr>
            <w:tcW w:type="dxa" w:w="29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Приложение Б</w:t>
            </w: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28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r>
      <w:tr>
        <w:trPr>
          <w:cantSplit/>
        </w:trPr>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3.16</w:t>
            </w:r>
          </w:p>
        </w:tc>
        <w:tc>
          <w:tcPr>
            <w:tcW w:type="dxa" w:w="4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Стационарное охлаждение недоступных резервуаров</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Р8</w:t>
            </w:r>
          </w:p>
        </w:tc>
        <w:tc>
          <w:tcPr>
            <w:tcW w:type="dxa" w:w="2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Подача от ПА</w:t>
            </w:r>
          </w:p>
        </w:tc>
        <w:tc>
          <w:tcPr>
            <w:tcW w:type="dxa" w:w="29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0,5 / 0,2 л/(с·м); 6 ч</w:t>
            </w: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28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r>
      <w:tr>
        <w:trPr>
          <w:cantSplit/>
        </w:trPr>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3.17</w:t>
            </w:r>
          </w:p>
        </w:tc>
        <w:tc>
          <w:tcPr>
            <w:tcW w:type="dxa" w:w="4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Стационарное пенотушение недоступных резервуаров</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Р9</w:t>
            </w:r>
          </w:p>
        </w:tc>
        <w:tc>
          <w:tcPr>
            <w:tcW w:type="dxa" w:w="2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Проходимость, осмотр</w:t>
            </w:r>
          </w:p>
        </w:tc>
        <w:tc>
          <w:tcPr>
            <w:tcW w:type="dxa" w:w="29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По проекту</w:t>
            </w: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28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r>
      <w:tr>
        <w:trPr>
          <w:cantSplit/>
        </w:trPr>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3.19</w:t>
            </w:r>
          </w:p>
        </w:tc>
        <w:tc>
          <w:tcPr>
            <w:tcW w:type="dxa" w:w="4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СОУЭ 2-го типа в ПСК</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Э1–Э4</w:t>
            </w:r>
          </w:p>
        </w:tc>
        <w:tc>
          <w:tcPr>
            <w:tcW w:type="dxa" w:w="2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ГОСТ Р 59639-2021</w:t>
            </w:r>
          </w:p>
        </w:tc>
        <w:tc>
          <w:tcPr>
            <w:tcW w:type="dxa" w:w="29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По СТУ и проекту</w:t>
            </w: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28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r>
      <w:tr>
        <w:trPr>
          <w:cantSplit/>
        </w:trPr>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3.22</w:t>
            </w:r>
          </w:p>
        </w:tc>
        <w:tc>
          <w:tcPr>
            <w:tcW w:type="dxa" w:w="4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ВПВ и НПВ</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В1–В3, Н1–Н4</w:t>
            </w:r>
          </w:p>
        </w:tc>
        <w:tc>
          <w:tcPr>
            <w:tcW w:type="dxa" w:w="2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Испытание</w:t>
            </w:r>
          </w:p>
        </w:tc>
        <w:tc>
          <w:tcPr>
            <w:tcW w:type="dxa" w:w="29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По проекту</w:t>
            </w: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28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r>
    </w:tbl>
    <w:p>
      <w:pPr>
        <w:spacing w:after="60"/>
      </w:pPr>
    </w:p>
    <w:p>
      <w:pPr>
        <w:pStyle w:val="Heading1"/>
        <w:pageBreakBefore/>
        <w:spacing w:after="0"/>
        <w:jc w:val="center"/>
      </w:pPr>
      <w:r>
        <w:rPr>
          <w:rFonts w:ascii="Times New Roman" w:cs="Times New Roman" w:eastAsia="Times New Roman" w:hAnsi="Times New Roman"/>
          <w:b/>
          <w:bCs/>
          <w:sz w:val="32"/>
          <w:szCs w:val="32"/>
        </w:rPr>
        <w:t xml:space="preserve">Приложение Б</w:t>
      </w:r>
    </w:p>
    <w:p>
      <w:pPr>
        <w:keepNext/>
        <w:spacing w:after="0" w:before="0"/>
        <w:jc w:val="center"/>
      </w:pPr>
      <w:r>
        <w:rPr>
          <w:rFonts w:ascii="Times New Roman" w:cs="Times New Roman" w:eastAsia="Times New Roman" w:hAnsi="Times New Roman"/>
          <w:sz w:val="28"/>
          <w:szCs w:val="28"/>
        </w:rPr>
        <w:t xml:space="preserve">(обязательное)</w:t>
      </w:r>
    </w:p>
    <w:p>
      <w:pPr>
        <w:keepNext/>
        <w:spacing w:after="160" w:before="60"/>
        <w:jc w:val="center"/>
      </w:pPr>
      <w:r>
        <w:rPr>
          <w:rFonts w:ascii="Times New Roman" w:cs="Times New Roman" w:eastAsia="Times New Roman" w:hAnsi="Times New Roman"/>
          <w:b/>
          <w:bCs/>
          <w:sz w:val="32"/>
          <w:szCs w:val="32"/>
        </w:rPr>
        <w:t xml:space="preserve">Ведомость резервуаров (пп. 3.13–3.17 СТУ)</w:t>
      </w:r>
    </w:p>
    <w:tbl>
      <w:tblPr>
        <w:tblW w:type="dxa" w:w="14287"/>
        <w:tblBorders>
          <w:top w:val="single" w:color="auto" w:sz="4"/>
          <w:left w:val="single" w:color="auto" w:sz="4"/>
          <w:bottom w:val="single" w:color="auto" w:sz="4"/>
          <w:right w:val="single" w:color="auto" w:sz="4"/>
          <w:insideH w:val="single" w:color="auto" w:sz="4"/>
          <w:insideV w:val="single" w:color="auto" w:sz="4"/>
        </w:tblBorders>
      </w:tblPr>
      <w:tblGrid>
        <w:gridCol w:w="700"/>
        <w:gridCol w:w="1300"/>
        <w:gridCol w:w="1000"/>
        <w:gridCol w:w="1000"/>
        <w:gridCol w:w="2000"/>
        <w:gridCol w:w="1500"/>
        <w:gridCol w:w="1500"/>
        <w:gridCol w:w="1500"/>
        <w:gridCol w:w="1800"/>
        <w:gridCol w:w="1987"/>
      </w:tblGrid>
      <w:tr>
        <w:trPr>
          <w:cantSplit/>
          <w:tblHeader/>
        </w:trPr>
        <w:tc>
          <w:tcPr>
            <w:tcW w:type="dxa" w:w="700"/>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4"/>
                <w:szCs w:val="24"/>
              </w:rPr>
              <w:t xml:space="preserve">№ п/п</w:t>
            </w:r>
          </w:p>
        </w:tc>
        <w:tc>
          <w:tcPr>
            <w:tcW w:type="dxa" w:w="1300"/>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4"/>
                <w:szCs w:val="24"/>
              </w:rPr>
              <w:t xml:space="preserve">Номер по ТХ</w:t>
            </w:r>
          </w:p>
        </w:tc>
        <w:tc>
          <w:tcPr>
            <w:tcW w:type="dxa" w:w="1000"/>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4"/>
                <w:szCs w:val="24"/>
              </w:rPr>
              <w:t xml:space="preserve">Объём, м³</w:t>
            </w:r>
          </w:p>
        </w:tc>
        <w:tc>
          <w:tcPr>
            <w:tcW w:type="dxa" w:w="1000"/>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4"/>
                <w:szCs w:val="24"/>
              </w:rPr>
              <w:t xml:space="preserve">D, м</w:t>
            </w:r>
          </w:p>
        </w:tc>
        <w:tc>
          <w:tcPr>
            <w:tcW w:type="dxa" w:w="2000"/>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4"/>
                <w:szCs w:val="24"/>
              </w:rPr>
              <w:t xml:space="preserve">Позиция ПА, расстояние до дальней точки стенки, м</w:t>
            </w:r>
          </w:p>
        </w:tc>
        <w:tc>
          <w:tcPr>
            <w:tcW w:type="dxa" w:w="1500"/>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4"/>
                <w:szCs w:val="24"/>
              </w:rPr>
              <w:t xml:space="preserve">Ох­лаж­де­ние пе­ред­виж­ной техникой (да/нет)</w:t>
            </w:r>
          </w:p>
        </w:tc>
        <w:tc>
          <w:tcPr>
            <w:tcW w:type="dxa" w:w="1500"/>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4"/>
                <w:szCs w:val="24"/>
              </w:rPr>
              <w:t xml:space="preserve">Тушение пе­ред­виж­ной техникой (да/нет)</w:t>
            </w:r>
          </w:p>
        </w:tc>
        <w:tc>
          <w:tcPr>
            <w:tcW w:type="dxa" w:w="1500"/>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4"/>
                <w:szCs w:val="24"/>
              </w:rPr>
              <w:t xml:space="preserve">Мин. рас­сто­яние до соседнего / до об­ва­ло­ва­ния, м</w:t>
            </w:r>
          </w:p>
        </w:tc>
        <w:tc>
          <w:tcPr>
            <w:tcW w:type="dxa" w:w="1800"/>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4"/>
                <w:szCs w:val="24"/>
              </w:rPr>
              <w:t xml:space="preserve">Стационарное охлаждение: есть/нет, Q факт, л/с</w:t>
            </w:r>
          </w:p>
        </w:tc>
        <w:tc>
          <w:tcPr>
            <w:tcW w:type="dxa" w:w="1987"/>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4"/>
                <w:szCs w:val="24"/>
              </w:rPr>
              <w:t xml:space="preserve">Стационарное пенотушение: есть/нет; вывод</w:t>
            </w:r>
          </w:p>
        </w:tc>
      </w:tr>
      <w:tr>
        <w:trPr>
          <w:cantSplit/>
        </w:trPr>
        <w:tc>
          <w:tcPr>
            <w:tcW w:type="dxa" w:w="14287"/>
            <w:gridSpan w:val="10"/>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4"/>
                <w:szCs w:val="24"/>
              </w:rPr>
              <w:t xml:space="preserve">Резервуарный склад базовых масел и готовой продукции (33 резервуара, 7800 м³)</w:t>
            </w:r>
          </w:p>
        </w:tc>
      </w:tr>
      <w:tr>
        <w:trPr>
          <w:cantSplit/>
        </w:trPr>
        <w:tc>
          <w:tcPr>
            <w:tcW w:type="dxa" w:w="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1</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highlight w:val="yellow"/>
                <w:highlightCs w:val="yellow"/>
              </w:rPr>
              <w:t xml:space="preserve">[ ]</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500</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highlight w:val="yellow"/>
                <w:highlightCs w:val="yellow"/>
              </w:rPr>
              <w:t xml:space="preserve">[ ]</w:t>
            </w:r>
          </w:p>
        </w:tc>
        <w:tc>
          <w:tcPr>
            <w:tcW w:type="dxa" w:w="2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98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r>
      <w:tr>
        <w:trPr>
          <w:cantSplit/>
        </w:trPr>
        <w:tc>
          <w:tcPr>
            <w:tcW w:type="dxa" w:w="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2</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highlight w:val="yellow"/>
                <w:highlightCs w:val="yellow"/>
              </w:rPr>
              <w:t xml:space="preserve">[ ]</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500</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highlight w:val="yellow"/>
                <w:highlightCs w:val="yellow"/>
              </w:rPr>
              <w:t xml:space="preserve">[ ]</w:t>
            </w:r>
          </w:p>
        </w:tc>
        <w:tc>
          <w:tcPr>
            <w:tcW w:type="dxa" w:w="2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98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r>
      <w:tr>
        <w:trPr>
          <w:cantSplit/>
        </w:trPr>
        <w:tc>
          <w:tcPr>
            <w:tcW w:type="dxa" w:w="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3</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highlight w:val="yellow"/>
                <w:highlightCs w:val="yellow"/>
              </w:rPr>
              <w:t xml:space="preserve">[ ]</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500</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highlight w:val="yellow"/>
                <w:highlightCs w:val="yellow"/>
              </w:rPr>
              <w:t xml:space="preserve">[ ]</w:t>
            </w:r>
          </w:p>
        </w:tc>
        <w:tc>
          <w:tcPr>
            <w:tcW w:type="dxa" w:w="2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98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r>
      <w:tr>
        <w:trPr>
          <w:cantSplit/>
        </w:trPr>
        <w:tc>
          <w:tcPr>
            <w:tcW w:type="dxa" w:w="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4</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highlight w:val="yellow"/>
                <w:highlightCs w:val="yellow"/>
              </w:rPr>
              <w:t xml:space="preserve">[ ]</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500</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highlight w:val="yellow"/>
                <w:highlightCs w:val="yellow"/>
              </w:rPr>
              <w:t xml:space="preserve">[ ]</w:t>
            </w:r>
          </w:p>
        </w:tc>
        <w:tc>
          <w:tcPr>
            <w:tcW w:type="dxa" w:w="2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98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r>
      <w:tr>
        <w:trPr>
          <w:cantSplit/>
        </w:trPr>
        <w:tc>
          <w:tcPr>
            <w:tcW w:type="dxa" w:w="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5</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highlight w:val="yellow"/>
                <w:highlightCs w:val="yellow"/>
              </w:rPr>
              <w:t xml:space="preserve">[ ]</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200</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highlight w:val="yellow"/>
                <w:highlightCs w:val="yellow"/>
              </w:rPr>
              <w:t xml:space="preserve">[ ]</w:t>
            </w:r>
          </w:p>
        </w:tc>
        <w:tc>
          <w:tcPr>
            <w:tcW w:type="dxa" w:w="2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98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r>
      <w:tr>
        <w:trPr>
          <w:cantSplit/>
        </w:trPr>
        <w:tc>
          <w:tcPr>
            <w:tcW w:type="dxa" w:w="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6</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highlight w:val="yellow"/>
                <w:highlightCs w:val="yellow"/>
              </w:rPr>
              <w:t xml:space="preserve">[ ]</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200</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highlight w:val="yellow"/>
                <w:highlightCs w:val="yellow"/>
              </w:rPr>
              <w:t xml:space="preserve">[ ]</w:t>
            </w:r>
          </w:p>
        </w:tc>
        <w:tc>
          <w:tcPr>
            <w:tcW w:type="dxa" w:w="2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98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r>
      <w:tr>
        <w:trPr>
          <w:cantSplit/>
        </w:trPr>
        <w:tc>
          <w:tcPr>
            <w:tcW w:type="dxa" w:w="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7</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highlight w:val="yellow"/>
                <w:highlightCs w:val="yellow"/>
              </w:rPr>
              <w:t xml:space="preserve">[ ]</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200</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highlight w:val="yellow"/>
                <w:highlightCs w:val="yellow"/>
              </w:rPr>
              <w:t xml:space="preserve">[ ]</w:t>
            </w:r>
          </w:p>
        </w:tc>
        <w:tc>
          <w:tcPr>
            <w:tcW w:type="dxa" w:w="2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98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r>
      <w:tr>
        <w:trPr>
          <w:cantSplit/>
        </w:trPr>
        <w:tc>
          <w:tcPr>
            <w:tcW w:type="dxa" w:w="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8</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highlight w:val="yellow"/>
                <w:highlightCs w:val="yellow"/>
              </w:rPr>
              <w:t xml:space="preserve">[ ]</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200</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highlight w:val="yellow"/>
                <w:highlightCs w:val="yellow"/>
              </w:rPr>
              <w:t xml:space="preserve">[ ]</w:t>
            </w:r>
          </w:p>
        </w:tc>
        <w:tc>
          <w:tcPr>
            <w:tcW w:type="dxa" w:w="2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98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r>
      <w:tr>
        <w:trPr>
          <w:cantSplit/>
        </w:trPr>
        <w:tc>
          <w:tcPr>
            <w:tcW w:type="dxa" w:w="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9</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highlight w:val="yellow"/>
                <w:highlightCs w:val="yellow"/>
              </w:rPr>
              <w:t xml:space="preserve">[ ]</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200</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highlight w:val="yellow"/>
                <w:highlightCs w:val="yellow"/>
              </w:rPr>
              <w:t xml:space="preserve">[ ]</w:t>
            </w:r>
          </w:p>
        </w:tc>
        <w:tc>
          <w:tcPr>
            <w:tcW w:type="dxa" w:w="2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98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r>
      <w:tr>
        <w:trPr>
          <w:cantSplit/>
        </w:trPr>
        <w:tc>
          <w:tcPr>
            <w:tcW w:type="dxa" w:w="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10</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highlight w:val="yellow"/>
                <w:highlightCs w:val="yellow"/>
              </w:rPr>
              <w:t xml:space="preserve">[ ]</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200</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highlight w:val="yellow"/>
                <w:highlightCs w:val="yellow"/>
              </w:rPr>
              <w:t xml:space="preserve">[ ]</w:t>
            </w:r>
          </w:p>
        </w:tc>
        <w:tc>
          <w:tcPr>
            <w:tcW w:type="dxa" w:w="2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98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r>
      <w:tr>
        <w:trPr>
          <w:cantSplit/>
        </w:trPr>
        <w:tc>
          <w:tcPr>
            <w:tcW w:type="dxa" w:w="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11</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highlight w:val="yellow"/>
                <w:highlightCs w:val="yellow"/>
              </w:rPr>
              <w:t xml:space="preserve">[ ]</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200</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highlight w:val="yellow"/>
                <w:highlightCs w:val="yellow"/>
              </w:rPr>
              <w:t xml:space="preserve">[ ]</w:t>
            </w:r>
          </w:p>
        </w:tc>
        <w:tc>
          <w:tcPr>
            <w:tcW w:type="dxa" w:w="2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98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r>
      <w:tr>
        <w:trPr>
          <w:cantSplit/>
        </w:trPr>
        <w:tc>
          <w:tcPr>
            <w:tcW w:type="dxa" w:w="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12</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highlight w:val="yellow"/>
                <w:highlightCs w:val="yellow"/>
              </w:rPr>
              <w:t xml:space="preserve">[ ]</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200</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highlight w:val="yellow"/>
                <w:highlightCs w:val="yellow"/>
              </w:rPr>
              <w:t xml:space="preserve">[ ]</w:t>
            </w:r>
          </w:p>
        </w:tc>
        <w:tc>
          <w:tcPr>
            <w:tcW w:type="dxa" w:w="2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98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r>
      <w:tr>
        <w:trPr>
          <w:cantSplit/>
        </w:trPr>
        <w:tc>
          <w:tcPr>
            <w:tcW w:type="dxa" w:w="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13</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highlight w:val="yellow"/>
                <w:highlightCs w:val="yellow"/>
              </w:rPr>
              <w:t xml:space="preserve">[ ]</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200</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highlight w:val="yellow"/>
                <w:highlightCs w:val="yellow"/>
              </w:rPr>
              <w:t xml:space="preserve">[ ]</w:t>
            </w:r>
          </w:p>
        </w:tc>
        <w:tc>
          <w:tcPr>
            <w:tcW w:type="dxa" w:w="2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98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r>
      <w:tr>
        <w:trPr>
          <w:cantSplit/>
        </w:trPr>
        <w:tc>
          <w:tcPr>
            <w:tcW w:type="dxa" w:w="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14</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highlight w:val="yellow"/>
                <w:highlightCs w:val="yellow"/>
              </w:rPr>
              <w:t xml:space="preserve">[ ]</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200</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highlight w:val="yellow"/>
                <w:highlightCs w:val="yellow"/>
              </w:rPr>
              <w:t xml:space="preserve">[ ]</w:t>
            </w:r>
          </w:p>
        </w:tc>
        <w:tc>
          <w:tcPr>
            <w:tcW w:type="dxa" w:w="2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98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r>
      <w:tr>
        <w:trPr>
          <w:cantSplit/>
        </w:trPr>
        <w:tc>
          <w:tcPr>
            <w:tcW w:type="dxa" w:w="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15</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highlight w:val="yellow"/>
                <w:highlightCs w:val="yellow"/>
              </w:rPr>
              <w:t xml:space="preserve">[ ]</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200</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highlight w:val="yellow"/>
                <w:highlightCs w:val="yellow"/>
              </w:rPr>
              <w:t xml:space="preserve">[ ]</w:t>
            </w:r>
          </w:p>
        </w:tc>
        <w:tc>
          <w:tcPr>
            <w:tcW w:type="dxa" w:w="2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98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r>
      <w:tr>
        <w:trPr>
          <w:cantSplit/>
        </w:trPr>
        <w:tc>
          <w:tcPr>
            <w:tcW w:type="dxa" w:w="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16</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highlight w:val="yellow"/>
                <w:highlightCs w:val="yellow"/>
              </w:rPr>
              <w:t xml:space="preserve">[ ]</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200</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highlight w:val="yellow"/>
                <w:highlightCs w:val="yellow"/>
              </w:rPr>
              <w:t xml:space="preserve">[ ]</w:t>
            </w:r>
          </w:p>
        </w:tc>
        <w:tc>
          <w:tcPr>
            <w:tcW w:type="dxa" w:w="2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98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r>
      <w:tr>
        <w:trPr>
          <w:cantSplit/>
        </w:trPr>
        <w:tc>
          <w:tcPr>
            <w:tcW w:type="dxa" w:w="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17</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highlight w:val="yellow"/>
                <w:highlightCs w:val="yellow"/>
              </w:rPr>
              <w:t xml:space="preserve">[ ]</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200</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highlight w:val="yellow"/>
                <w:highlightCs w:val="yellow"/>
              </w:rPr>
              <w:t xml:space="preserve">[ ]</w:t>
            </w:r>
          </w:p>
        </w:tc>
        <w:tc>
          <w:tcPr>
            <w:tcW w:type="dxa" w:w="2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98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r>
      <w:tr>
        <w:trPr>
          <w:cantSplit/>
        </w:trPr>
        <w:tc>
          <w:tcPr>
            <w:tcW w:type="dxa" w:w="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18</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highlight w:val="yellow"/>
                <w:highlightCs w:val="yellow"/>
              </w:rPr>
              <w:t xml:space="preserve">[ ]</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200</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highlight w:val="yellow"/>
                <w:highlightCs w:val="yellow"/>
              </w:rPr>
              <w:t xml:space="preserve">[ ]</w:t>
            </w:r>
          </w:p>
        </w:tc>
        <w:tc>
          <w:tcPr>
            <w:tcW w:type="dxa" w:w="2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98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r>
      <w:tr>
        <w:trPr>
          <w:cantSplit/>
        </w:trPr>
        <w:tc>
          <w:tcPr>
            <w:tcW w:type="dxa" w:w="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19</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highlight w:val="yellow"/>
                <w:highlightCs w:val="yellow"/>
              </w:rPr>
              <w:t xml:space="preserve">[ ]</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200</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highlight w:val="yellow"/>
                <w:highlightCs w:val="yellow"/>
              </w:rPr>
              <w:t xml:space="preserve">[ ]</w:t>
            </w:r>
          </w:p>
        </w:tc>
        <w:tc>
          <w:tcPr>
            <w:tcW w:type="dxa" w:w="2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98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r>
      <w:tr>
        <w:trPr>
          <w:cantSplit/>
        </w:trPr>
        <w:tc>
          <w:tcPr>
            <w:tcW w:type="dxa" w:w="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20</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highlight w:val="yellow"/>
                <w:highlightCs w:val="yellow"/>
              </w:rPr>
              <w:t xml:space="preserve">[ ]</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200</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highlight w:val="yellow"/>
                <w:highlightCs w:val="yellow"/>
              </w:rPr>
              <w:t xml:space="preserve">[ ]</w:t>
            </w:r>
          </w:p>
        </w:tc>
        <w:tc>
          <w:tcPr>
            <w:tcW w:type="dxa" w:w="2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98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r>
      <w:tr>
        <w:trPr>
          <w:cantSplit/>
        </w:trPr>
        <w:tc>
          <w:tcPr>
            <w:tcW w:type="dxa" w:w="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21</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highlight w:val="yellow"/>
                <w:highlightCs w:val="yellow"/>
              </w:rPr>
              <w:t xml:space="preserve">[ ]</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200</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highlight w:val="yellow"/>
                <w:highlightCs w:val="yellow"/>
              </w:rPr>
              <w:t xml:space="preserve">[ ]</w:t>
            </w:r>
          </w:p>
        </w:tc>
        <w:tc>
          <w:tcPr>
            <w:tcW w:type="dxa" w:w="2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98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r>
      <w:tr>
        <w:trPr>
          <w:cantSplit/>
        </w:trPr>
        <w:tc>
          <w:tcPr>
            <w:tcW w:type="dxa" w:w="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22</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highlight w:val="yellow"/>
                <w:highlightCs w:val="yellow"/>
              </w:rPr>
              <w:t xml:space="preserve">[ ]</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200</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highlight w:val="yellow"/>
                <w:highlightCs w:val="yellow"/>
              </w:rPr>
              <w:t xml:space="preserve">[ ]</w:t>
            </w:r>
          </w:p>
        </w:tc>
        <w:tc>
          <w:tcPr>
            <w:tcW w:type="dxa" w:w="2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98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r>
      <w:tr>
        <w:trPr>
          <w:cantSplit/>
        </w:trPr>
        <w:tc>
          <w:tcPr>
            <w:tcW w:type="dxa" w:w="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23</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highlight w:val="yellow"/>
                <w:highlightCs w:val="yellow"/>
              </w:rPr>
              <w:t xml:space="preserve">[ ]</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200</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highlight w:val="yellow"/>
                <w:highlightCs w:val="yellow"/>
              </w:rPr>
              <w:t xml:space="preserve">[ ]</w:t>
            </w:r>
          </w:p>
        </w:tc>
        <w:tc>
          <w:tcPr>
            <w:tcW w:type="dxa" w:w="2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98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r>
      <w:tr>
        <w:trPr>
          <w:cantSplit/>
        </w:trPr>
        <w:tc>
          <w:tcPr>
            <w:tcW w:type="dxa" w:w="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24</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highlight w:val="yellow"/>
                <w:highlightCs w:val="yellow"/>
              </w:rPr>
              <w:t xml:space="preserve">[ ]</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200</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highlight w:val="yellow"/>
                <w:highlightCs w:val="yellow"/>
              </w:rPr>
              <w:t xml:space="preserve">[ ]</w:t>
            </w:r>
          </w:p>
        </w:tc>
        <w:tc>
          <w:tcPr>
            <w:tcW w:type="dxa" w:w="2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98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r>
      <w:tr>
        <w:trPr>
          <w:cantSplit/>
        </w:trPr>
        <w:tc>
          <w:tcPr>
            <w:tcW w:type="dxa" w:w="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25</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highlight w:val="yellow"/>
                <w:highlightCs w:val="yellow"/>
              </w:rPr>
              <w:t xml:space="preserve">[ ]</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200</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highlight w:val="yellow"/>
                <w:highlightCs w:val="yellow"/>
              </w:rPr>
              <w:t xml:space="preserve">[ ]</w:t>
            </w:r>
          </w:p>
        </w:tc>
        <w:tc>
          <w:tcPr>
            <w:tcW w:type="dxa" w:w="2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98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r>
      <w:tr>
        <w:trPr>
          <w:cantSplit/>
        </w:trPr>
        <w:tc>
          <w:tcPr>
            <w:tcW w:type="dxa" w:w="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26</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highlight w:val="yellow"/>
                <w:highlightCs w:val="yellow"/>
              </w:rPr>
              <w:t xml:space="preserve">[ ]</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200</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highlight w:val="yellow"/>
                <w:highlightCs w:val="yellow"/>
              </w:rPr>
              <w:t xml:space="preserve">[ ]</w:t>
            </w:r>
          </w:p>
        </w:tc>
        <w:tc>
          <w:tcPr>
            <w:tcW w:type="dxa" w:w="2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98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r>
      <w:tr>
        <w:trPr>
          <w:cantSplit/>
        </w:trPr>
        <w:tc>
          <w:tcPr>
            <w:tcW w:type="dxa" w:w="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27</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highlight w:val="yellow"/>
                <w:highlightCs w:val="yellow"/>
              </w:rPr>
              <w:t xml:space="preserve">[ ]</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200</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highlight w:val="yellow"/>
                <w:highlightCs w:val="yellow"/>
              </w:rPr>
              <w:t xml:space="preserve">[ ]</w:t>
            </w:r>
          </w:p>
        </w:tc>
        <w:tc>
          <w:tcPr>
            <w:tcW w:type="dxa" w:w="2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98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r>
      <w:tr>
        <w:trPr>
          <w:cantSplit/>
        </w:trPr>
        <w:tc>
          <w:tcPr>
            <w:tcW w:type="dxa" w:w="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28</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highlight w:val="yellow"/>
                <w:highlightCs w:val="yellow"/>
              </w:rPr>
              <w:t xml:space="preserve">[ ]</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200</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highlight w:val="yellow"/>
                <w:highlightCs w:val="yellow"/>
              </w:rPr>
              <w:t xml:space="preserve">[ ]</w:t>
            </w:r>
          </w:p>
        </w:tc>
        <w:tc>
          <w:tcPr>
            <w:tcW w:type="dxa" w:w="2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98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r>
      <w:tr>
        <w:trPr>
          <w:cantSplit/>
        </w:trPr>
        <w:tc>
          <w:tcPr>
            <w:tcW w:type="dxa" w:w="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29</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highlight w:val="yellow"/>
                <w:highlightCs w:val="yellow"/>
              </w:rPr>
              <w:t xml:space="preserve">[ ]</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200</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highlight w:val="yellow"/>
                <w:highlightCs w:val="yellow"/>
              </w:rPr>
              <w:t xml:space="preserve">[ ]</w:t>
            </w:r>
          </w:p>
        </w:tc>
        <w:tc>
          <w:tcPr>
            <w:tcW w:type="dxa" w:w="2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98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r>
      <w:tr>
        <w:trPr>
          <w:cantSplit/>
        </w:trPr>
        <w:tc>
          <w:tcPr>
            <w:tcW w:type="dxa" w:w="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30</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highlight w:val="yellow"/>
                <w:highlightCs w:val="yellow"/>
              </w:rPr>
              <w:t xml:space="preserve">[ ]</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200</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highlight w:val="yellow"/>
                <w:highlightCs w:val="yellow"/>
              </w:rPr>
              <w:t xml:space="preserve">[ ]</w:t>
            </w:r>
          </w:p>
        </w:tc>
        <w:tc>
          <w:tcPr>
            <w:tcW w:type="dxa" w:w="2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98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r>
      <w:tr>
        <w:trPr>
          <w:cantSplit/>
        </w:trPr>
        <w:tc>
          <w:tcPr>
            <w:tcW w:type="dxa" w:w="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31</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highlight w:val="yellow"/>
                <w:highlightCs w:val="yellow"/>
              </w:rPr>
              <w:t xml:space="preserve">[ ]</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200</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highlight w:val="yellow"/>
                <w:highlightCs w:val="yellow"/>
              </w:rPr>
              <w:t xml:space="preserve">[ ]</w:t>
            </w:r>
          </w:p>
        </w:tc>
        <w:tc>
          <w:tcPr>
            <w:tcW w:type="dxa" w:w="2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98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r>
      <w:tr>
        <w:trPr>
          <w:cantSplit/>
        </w:trPr>
        <w:tc>
          <w:tcPr>
            <w:tcW w:type="dxa" w:w="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32</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highlight w:val="yellow"/>
                <w:highlightCs w:val="yellow"/>
              </w:rPr>
              <w:t xml:space="preserve">[ ]</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200</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highlight w:val="yellow"/>
                <w:highlightCs w:val="yellow"/>
              </w:rPr>
              <w:t xml:space="preserve">[ ]</w:t>
            </w:r>
          </w:p>
        </w:tc>
        <w:tc>
          <w:tcPr>
            <w:tcW w:type="dxa" w:w="2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98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r>
      <w:tr>
        <w:trPr>
          <w:cantSplit/>
        </w:trPr>
        <w:tc>
          <w:tcPr>
            <w:tcW w:type="dxa" w:w="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33</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highlight w:val="yellow"/>
                <w:highlightCs w:val="yellow"/>
              </w:rPr>
              <w:t xml:space="preserve">[ ]</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200</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highlight w:val="yellow"/>
                <w:highlightCs w:val="yellow"/>
              </w:rPr>
              <w:t xml:space="preserve">[ ]</w:t>
            </w:r>
          </w:p>
        </w:tc>
        <w:tc>
          <w:tcPr>
            <w:tcW w:type="dxa" w:w="2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98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r>
      <w:tr>
        <w:trPr>
          <w:cantSplit/>
        </w:trPr>
        <w:tc>
          <w:tcPr>
            <w:tcW w:type="dxa" w:w="14287"/>
            <w:gridSpan w:val="10"/>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4"/>
                <w:szCs w:val="24"/>
              </w:rPr>
              <w:t xml:space="preserve">Резервуарный склад присадок (12 резервуаров, 780 м³)</w:t>
            </w:r>
          </w:p>
        </w:tc>
      </w:tr>
      <w:tr>
        <w:trPr>
          <w:cantSplit/>
        </w:trPr>
        <w:tc>
          <w:tcPr>
            <w:tcW w:type="dxa" w:w="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34</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highlight w:val="yellow"/>
                <w:highlightCs w:val="yellow"/>
              </w:rPr>
              <w:t xml:space="preserve">[ ]</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90</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highlight w:val="yellow"/>
                <w:highlightCs w:val="yellow"/>
              </w:rPr>
              <w:t xml:space="preserve">[ ]</w:t>
            </w:r>
          </w:p>
        </w:tc>
        <w:tc>
          <w:tcPr>
            <w:tcW w:type="dxa" w:w="2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98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r>
      <w:tr>
        <w:trPr>
          <w:cantSplit/>
        </w:trPr>
        <w:tc>
          <w:tcPr>
            <w:tcW w:type="dxa" w:w="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35</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highlight w:val="yellow"/>
                <w:highlightCs w:val="yellow"/>
              </w:rPr>
              <w:t xml:space="preserve">[ ]</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90</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highlight w:val="yellow"/>
                <w:highlightCs w:val="yellow"/>
              </w:rPr>
              <w:t xml:space="preserve">[ ]</w:t>
            </w:r>
          </w:p>
        </w:tc>
        <w:tc>
          <w:tcPr>
            <w:tcW w:type="dxa" w:w="2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98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r>
      <w:tr>
        <w:trPr>
          <w:cantSplit/>
        </w:trPr>
        <w:tc>
          <w:tcPr>
            <w:tcW w:type="dxa" w:w="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36</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highlight w:val="yellow"/>
                <w:highlightCs w:val="yellow"/>
              </w:rPr>
              <w:t xml:space="preserve">[ ]</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60</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highlight w:val="yellow"/>
                <w:highlightCs w:val="yellow"/>
              </w:rPr>
              <w:t xml:space="preserve">[ ]</w:t>
            </w:r>
          </w:p>
        </w:tc>
        <w:tc>
          <w:tcPr>
            <w:tcW w:type="dxa" w:w="2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98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r>
      <w:tr>
        <w:trPr>
          <w:cantSplit/>
        </w:trPr>
        <w:tc>
          <w:tcPr>
            <w:tcW w:type="dxa" w:w="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37</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highlight w:val="yellow"/>
                <w:highlightCs w:val="yellow"/>
              </w:rPr>
              <w:t xml:space="preserve">[ ]</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60</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highlight w:val="yellow"/>
                <w:highlightCs w:val="yellow"/>
              </w:rPr>
              <w:t xml:space="preserve">[ ]</w:t>
            </w:r>
          </w:p>
        </w:tc>
        <w:tc>
          <w:tcPr>
            <w:tcW w:type="dxa" w:w="2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98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r>
      <w:tr>
        <w:trPr>
          <w:cantSplit/>
        </w:trPr>
        <w:tc>
          <w:tcPr>
            <w:tcW w:type="dxa" w:w="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38</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highlight w:val="yellow"/>
                <w:highlightCs w:val="yellow"/>
              </w:rPr>
              <w:t xml:space="preserve">[ ]</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60</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highlight w:val="yellow"/>
                <w:highlightCs w:val="yellow"/>
              </w:rPr>
              <w:t xml:space="preserve">[ ]</w:t>
            </w:r>
          </w:p>
        </w:tc>
        <w:tc>
          <w:tcPr>
            <w:tcW w:type="dxa" w:w="2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98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r>
      <w:tr>
        <w:trPr>
          <w:cantSplit/>
        </w:trPr>
        <w:tc>
          <w:tcPr>
            <w:tcW w:type="dxa" w:w="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39</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highlight w:val="yellow"/>
                <w:highlightCs w:val="yellow"/>
              </w:rPr>
              <w:t xml:space="preserve">[ ]</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60</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highlight w:val="yellow"/>
                <w:highlightCs w:val="yellow"/>
              </w:rPr>
              <w:t xml:space="preserve">[ ]</w:t>
            </w:r>
          </w:p>
        </w:tc>
        <w:tc>
          <w:tcPr>
            <w:tcW w:type="dxa" w:w="2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98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r>
      <w:tr>
        <w:trPr>
          <w:cantSplit/>
        </w:trPr>
        <w:tc>
          <w:tcPr>
            <w:tcW w:type="dxa" w:w="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40</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highlight w:val="yellow"/>
                <w:highlightCs w:val="yellow"/>
              </w:rPr>
              <w:t xml:space="preserve">[ ]</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60</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highlight w:val="yellow"/>
                <w:highlightCs w:val="yellow"/>
              </w:rPr>
              <w:t xml:space="preserve">[ ]</w:t>
            </w:r>
          </w:p>
        </w:tc>
        <w:tc>
          <w:tcPr>
            <w:tcW w:type="dxa" w:w="2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98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r>
      <w:tr>
        <w:trPr>
          <w:cantSplit/>
        </w:trPr>
        <w:tc>
          <w:tcPr>
            <w:tcW w:type="dxa" w:w="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41</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highlight w:val="yellow"/>
                <w:highlightCs w:val="yellow"/>
              </w:rPr>
              <w:t xml:space="preserve">[ ]</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60</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highlight w:val="yellow"/>
                <w:highlightCs w:val="yellow"/>
              </w:rPr>
              <w:t xml:space="preserve">[ ]</w:t>
            </w:r>
          </w:p>
        </w:tc>
        <w:tc>
          <w:tcPr>
            <w:tcW w:type="dxa" w:w="2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98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r>
      <w:tr>
        <w:trPr>
          <w:cantSplit/>
        </w:trPr>
        <w:tc>
          <w:tcPr>
            <w:tcW w:type="dxa" w:w="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42</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highlight w:val="yellow"/>
                <w:highlightCs w:val="yellow"/>
              </w:rPr>
              <w:t xml:space="preserve">[ ]</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60</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highlight w:val="yellow"/>
                <w:highlightCs w:val="yellow"/>
              </w:rPr>
              <w:t xml:space="preserve">[ ]</w:t>
            </w:r>
          </w:p>
        </w:tc>
        <w:tc>
          <w:tcPr>
            <w:tcW w:type="dxa" w:w="2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98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r>
      <w:tr>
        <w:trPr>
          <w:cantSplit/>
        </w:trPr>
        <w:tc>
          <w:tcPr>
            <w:tcW w:type="dxa" w:w="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43</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highlight w:val="yellow"/>
                <w:highlightCs w:val="yellow"/>
              </w:rPr>
              <w:t xml:space="preserve">[ ]</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60</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highlight w:val="yellow"/>
                <w:highlightCs w:val="yellow"/>
              </w:rPr>
              <w:t xml:space="preserve">[ ]</w:t>
            </w:r>
          </w:p>
        </w:tc>
        <w:tc>
          <w:tcPr>
            <w:tcW w:type="dxa" w:w="2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98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r>
      <w:tr>
        <w:trPr>
          <w:cantSplit/>
        </w:trPr>
        <w:tc>
          <w:tcPr>
            <w:tcW w:type="dxa" w:w="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44</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highlight w:val="yellow"/>
                <w:highlightCs w:val="yellow"/>
              </w:rPr>
              <w:t xml:space="preserve">[ ]</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60</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highlight w:val="yellow"/>
                <w:highlightCs w:val="yellow"/>
              </w:rPr>
              <w:t xml:space="preserve">[ ]</w:t>
            </w:r>
          </w:p>
        </w:tc>
        <w:tc>
          <w:tcPr>
            <w:tcW w:type="dxa" w:w="2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98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r>
      <w:tr>
        <w:trPr>
          <w:cantSplit/>
        </w:trPr>
        <w:tc>
          <w:tcPr>
            <w:tcW w:type="dxa" w:w="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45</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highlight w:val="yellow"/>
                <w:highlightCs w:val="yellow"/>
              </w:rPr>
              <w:t xml:space="preserve">[ ]</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60</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highlight w:val="yellow"/>
                <w:highlightCs w:val="yellow"/>
              </w:rPr>
              <w:t xml:space="preserve">[ ]</w:t>
            </w:r>
          </w:p>
        </w:tc>
        <w:tc>
          <w:tcPr>
            <w:tcW w:type="dxa" w:w="2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98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r>
    </w:tbl>
    <w:p>
      <w:pPr>
        <w:spacing w:after="60"/>
      </w:pPr>
    </w:p>
    <w:p>
      <w:pPr>
        <w:pStyle w:val="Heading1"/>
        <w:pageBreakBefore/>
        <w:spacing w:after="0"/>
        <w:jc w:val="center"/>
      </w:pPr>
      <w:r>
        <w:rPr>
          <w:rFonts w:ascii="Times New Roman" w:cs="Times New Roman" w:eastAsia="Times New Roman" w:hAnsi="Times New Roman"/>
          <w:b/>
          <w:bCs/>
          <w:sz w:val="32"/>
          <w:szCs w:val="32"/>
        </w:rPr>
        <w:t xml:space="preserve">Приложение В</w:t>
      </w:r>
    </w:p>
    <w:p>
      <w:pPr>
        <w:keepNext/>
        <w:spacing w:after="0" w:before="0"/>
        <w:jc w:val="center"/>
      </w:pPr>
      <w:r>
        <w:rPr>
          <w:rFonts w:ascii="Times New Roman" w:cs="Times New Roman" w:eastAsia="Times New Roman" w:hAnsi="Times New Roman"/>
          <w:sz w:val="28"/>
          <w:szCs w:val="28"/>
        </w:rPr>
        <w:t xml:space="preserve">(рекомендуемое)</w:t>
      </w:r>
    </w:p>
    <w:p>
      <w:pPr>
        <w:keepNext/>
        <w:spacing w:after="160" w:before="60"/>
        <w:jc w:val="center"/>
      </w:pPr>
      <w:r>
        <w:rPr>
          <w:rFonts w:ascii="Times New Roman" w:cs="Times New Roman" w:eastAsia="Times New Roman" w:hAnsi="Times New Roman"/>
          <w:b/>
          <w:bCs/>
          <w:sz w:val="32"/>
          <w:szCs w:val="32"/>
        </w:rPr>
        <w:t xml:space="preserve">Форма журнала проверок</w:t>
      </w:r>
    </w:p>
    <w:tbl>
      <w:tblPr>
        <w:tblW w:type="dxa" w:w="14287"/>
        <w:tblBorders>
          <w:top w:val="single" w:color="auto" w:sz="4"/>
          <w:left w:val="single" w:color="auto" w:sz="4"/>
          <w:bottom w:val="single" w:color="auto" w:sz="4"/>
          <w:right w:val="single" w:color="auto" w:sz="4"/>
          <w:insideH w:val="single" w:color="auto" w:sz="4"/>
          <w:insideV w:val="single" w:color="auto" w:sz="4"/>
        </w:tblBorders>
      </w:tblPr>
      <w:tblGrid>
        <w:gridCol w:w="1000"/>
        <w:gridCol w:w="800"/>
        <w:gridCol w:w="1900"/>
        <w:gridCol w:w="1500"/>
        <w:gridCol w:w="2100"/>
        <w:gridCol w:w="1500"/>
        <w:gridCol w:w="1700"/>
        <w:gridCol w:w="1200"/>
        <w:gridCol w:w="1000"/>
        <w:gridCol w:w="1587"/>
      </w:tblGrid>
      <w:tr>
        <w:trPr>
          <w:cantSplit/>
          <w:tblHeader/>
        </w:trPr>
        <w:tc>
          <w:tcPr>
            <w:tcW w:type="dxa" w:w="1000"/>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4"/>
                <w:szCs w:val="24"/>
              </w:rPr>
              <w:t xml:space="preserve">Дата, время</w:t>
            </w:r>
          </w:p>
        </w:tc>
        <w:tc>
          <w:tcPr>
            <w:tcW w:type="dxa" w:w="800"/>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4"/>
                <w:szCs w:val="24"/>
              </w:rPr>
              <w:t xml:space="preserve">Код про­вер­ки</w:t>
            </w:r>
          </w:p>
        </w:tc>
        <w:tc>
          <w:tcPr>
            <w:tcW w:type="dxa" w:w="1900"/>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4"/>
                <w:szCs w:val="24"/>
              </w:rPr>
              <w:t xml:space="preserve">Система, здание, зона / адрес, проектное обозначение</w:t>
            </w:r>
          </w:p>
        </w:tc>
        <w:tc>
          <w:tcPr>
            <w:tcW w:type="dxa" w:w="1500"/>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4"/>
                <w:szCs w:val="24"/>
              </w:rPr>
              <w:t xml:space="preserve">Способ воз­дей­ствия, меры бе­зо­пас­нос­ти</w:t>
            </w:r>
          </w:p>
        </w:tc>
        <w:tc>
          <w:tcPr>
            <w:tcW w:type="dxa" w:w="2100"/>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4"/>
                <w:szCs w:val="24"/>
              </w:rPr>
              <w:t xml:space="preserve">Требование: нормативный документ, проект, пункт СТУ</w:t>
            </w:r>
          </w:p>
        </w:tc>
        <w:tc>
          <w:tcPr>
            <w:tcW w:type="dxa" w:w="1500"/>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4"/>
                <w:szCs w:val="24"/>
              </w:rPr>
              <w:t xml:space="preserve">Ре­фе­рен­сное значение</w:t>
            </w:r>
          </w:p>
        </w:tc>
        <w:tc>
          <w:tcPr>
            <w:tcW w:type="dxa" w:w="1700"/>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4"/>
                <w:szCs w:val="24"/>
              </w:rPr>
              <w:t xml:space="preserve">Фактическое значение, время реакции</w:t>
            </w:r>
          </w:p>
        </w:tc>
        <w:tc>
          <w:tcPr>
            <w:tcW w:type="dxa" w:w="1200"/>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4"/>
                <w:szCs w:val="24"/>
              </w:rPr>
              <w:t xml:space="preserve">СИ (зав. №, поверка)</w:t>
            </w:r>
          </w:p>
        </w:tc>
        <w:tc>
          <w:tcPr>
            <w:tcW w:type="dxa" w:w="1000"/>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4"/>
                <w:szCs w:val="24"/>
              </w:rPr>
              <w:t xml:space="preserve">Со­от­вет-ствие (да / нет)</w:t>
            </w:r>
          </w:p>
        </w:tc>
        <w:tc>
          <w:tcPr>
            <w:tcW w:type="dxa" w:w="1587"/>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4"/>
                <w:szCs w:val="24"/>
              </w:rPr>
              <w:t xml:space="preserve">Ис­пол­ни­тель / свидетель; вос­ста­нов­ле­ние</w:t>
            </w:r>
          </w:p>
        </w:tc>
      </w:tr>
      <w:tr>
        <w:trPr>
          <w:cantSplit/>
        </w:trPr>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2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2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8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r>
      <w:tr>
        <w:trPr>
          <w:cantSplit/>
        </w:trPr>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2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2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8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r>
      <w:tr>
        <w:trPr>
          <w:cantSplit/>
        </w:trPr>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2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2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8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r>
      <w:tr>
        <w:trPr>
          <w:cantSplit/>
        </w:trPr>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2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2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8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r>
      <w:tr>
        <w:trPr>
          <w:cantSplit/>
        </w:trPr>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2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2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8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r>
      <w:tr>
        <w:trPr>
          <w:cantSplit/>
        </w:trPr>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2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2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8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r>
      <w:tr>
        <w:trPr>
          <w:cantSplit/>
        </w:trPr>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2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2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8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r>
      <w:tr>
        <w:trPr>
          <w:cantSplit/>
        </w:trPr>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2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2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8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r>
    </w:tbl>
    <w:p>
      <w:pPr>
        <w:spacing w:after="60"/>
      </w:pPr>
    </w:p>
    <w:p>
      <w:pPr>
        <w:spacing w:after="80"/>
        <w:ind w:firstLine="709"/>
        <w:jc w:val="both"/>
      </w:pPr>
      <w:r>
        <w:rPr>
          <w:rFonts w:ascii="Times New Roman" w:cs="Times New Roman" w:eastAsia="Times New Roman" w:hAnsi="Times New Roman"/>
          <w:sz w:val="24"/>
          <w:szCs w:val="24"/>
        </w:rPr>
        <w:t xml:space="preserve">Примечание – Графы «Требование» и «Референсное значение» заполняют до начала испытаний по таблицам разделов 8–16 и приложению А; графу «Соответствие» – только по сопоставлению фактического значения с референсным.</w:t>
      </w:r>
    </w:p>
    <w:p>
      <w:pPr>
        <w:sectPr>
          <w:footerReference w:type="default" r:id="rId8"/>
          <w:pgSz w:w="16838" w:h="11906" w:orient="landscape"/>
          <w:pgMar w:top="1701" w:right="1134" w:bottom="850" w:left="1134" w:header="708" w:footer="708" w:gutter="0"/>
          <w:pgNumType/>
          <w:docGrid w:linePitch="360"/>
        </w:sectPr>
      </w:pPr>
    </w:p>
    <w:p>
      <w:pPr>
        <w:pStyle w:val="Heading1"/>
        <w:pageBreakBefore/>
        <w:spacing w:after="0"/>
        <w:jc w:val="center"/>
      </w:pPr>
      <w:r>
        <w:rPr>
          <w:rFonts w:ascii="Times New Roman" w:cs="Times New Roman" w:eastAsia="Times New Roman" w:hAnsi="Times New Roman"/>
          <w:b/>
          <w:bCs/>
          <w:sz w:val="32"/>
          <w:szCs w:val="32"/>
        </w:rPr>
        <w:t xml:space="preserve">Приложение Г</w:t>
      </w:r>
    </w:p>
    <w:p>
      <w:pPr>
        <w:keepNext/>
        <w:spacing w:after="0" w:before="0"/>
        <w:jc w:val="center"/>
      </w:pPr>
      <w:r>
        <w:rPr>
          <w:rFonts w:ascii="Times New Roman" w:cs="Times New Roman" w:eastAsia="Times New Roman" w:hAnsi="Times New Roman"/>
          <w:sz w:val="28"/>
          <w:szCs w:val="28"/>
        </w:rPr>
        <w:t xml:space="preserve">(рекомендуемое)</w:t>
      </w:r>
    </w:p>
    <w:p>
      <w:pPr>
        <w:keepNext/>
        <w:spacing w:after="160" w:before="60"/>
        <w:jc w:val="center"/>
      </w:pPr>
      <w:r>
        <w:rPr>
          <w:rFonts w:ascii="Times New Roman" w:cs="Times New Roman" w:eastAsia="Times New Roman" w:hAnsi="Times New Roman"/>
          <w:b/>
          <w:bCs/>
          <w:sz w:val="32"/>
          <w:szCs w:val="32"/>
        </w:rPr>
        <w:t xml:space="preserve">Форма акта комплексных испытаний систем противопожарной защиты</w:t>
      </w:r>
    </w:p>
    <w:p>
      <w:pPr>
        <w:spacing w:after="60" w:line="276"/>
        <w:ind w:firstLine="709"/>
        <w:jc w:val="both"/>
      </w:pPr>
      <w:r>
        <w:rPr>
          <w:rFonts w:ascii="Times New Roman" w:cs="Times New Roman" w:eastAsia="Times New Roman" w:hAnsi="Times New Roman"/>
        </w:rPr>
        <w:t xml:space="preserve">Комиссия в составе: председатель ________________; члены комиссии ________________ (должность, организация, Ф. И. О.)</w:t>
      </w:r>
    </w:p>
    <w:p>
      <w:pPr>
        <w:spacing w:after="60" w:line="276"/>
        <w:ind w:firstLine="709"/>
        <w:jc w:val="both"/>
      </w:pPr>
      <w:r>
        <w:rPr>
          <w:rFonts w:ascii="Times New Roman" w:cs="Times New Roman" w:eastAsia="Times New Roman" w:hAnsi="Times New Roman"/>
        </w:rPr>
        <w:t xml:space="preserve">провела в период с «___» __________ 2026 г. по «___» __________ 2026 г. комплексные испытания систем и средств противопожарной защиты на объекте «Завод по производству, хранению, отгрузке смазочных материалов» филиала ООО «ЛЛК-Интернешнл» в с. Ворсино по адресу: ________________ в соответствии с Программой </w:t>
      </w:r>
      <w:r>
        <w:rPr>
          <w:rFonts w:ascii="Times New Roman" w:cs="Times New Roman" w:eastAsia="Times New Roman" w:hAnsi="Times New Roman"/>
          <w:highlight w:val="yellow"/>
          <w:highlightCs w:val="yellow"/>
        </w:rPr>
        <w:t xml:space="preserve">[обозначение Программы]</w:t>
      </w:r>
      <w:r>
        <w:rPr>
          <w:rFonts w:ascii="Times New Roman" w:cs="Times New Roman" w:eastAsia="Times New Roman" w:hAnsi="Times New Roman"/>
        </w:rPr>
        <w:t xml:space="preserve"> и проектной документацией (шифры): ________________.</w:t>
      </w:r>
    </w:p>
    <w:p>
      <w:pPr>
        <w:spacing w:after="60" w:line="276"/>
        <w:ind w:firstLine="709"/>
        <w:jc w:val="both"/>
      </w:pPr>
      <w:r>
        <w:rPr>
          <w:rFonts w:ascii="Times New Roman" w:cs="Times New Roman" w:eastAsia="Times New Roman" w:hAnsi="Times New Roman"/>
        </w:rPr>
        <w:t xml:space="preserve">1 Испытания проведены в объёме: ________________ (перечень выполненных разделов и сценариев; невыполненные – с указанием причины).</w:t>
      </w:r>
    </w:p>
    <w:p>
      <w:pPr>
        <w:spacing w:after="60" w:line="276"/>
        <w:ind w:firstLine="709"/>
        <w:jc w:val="both"/>
      </w:pPr>
      <w:r>
        <w:rPr>
          <w:rFonts w:ascii="Times New Roman" w:cs="Times New Roman" w:eastAsia="Times New Roman" w:hAnsi="Times New Roman"/>
        </w:rPr>
        <w:t xml:space="preserve">2 Состав объекта соответствует (не соответствует) п. 1.11 СТУ: ________________.</w:t>
      </w:r>
    </w:p>
    <w:p>
      <w:pPr>
        <w:spacing w:after="60" w:line="276"/>
        <w:ind w:firstLine="709"/>
        <w:jc w:val="both"/>
      </w:pPr>
      <w:r>
        <w:rPr>
          <w:rFonts w:ascii="Times New Roman" w:cs="Times New Roman" w:eastAsia="Times New Roman" w:hAnsi="Times New Roman"/>
        </w:rPr>
        <w:t xml:space="preserve">3 Результаты по системам (работоспособна / неработоспособна): СПС ______; СОУЭ ______; АУП ______; газовое пожаротушение ______; ВПВ ______; НПВ ______; противодымная вентиляция ______.</w:t>
      </w:r>
    </w:p>
    <w:p>
      <w:pPr>
        <w:spacing w:after="60" w:line="276"/>
        <w:ind w:firstLine="709"/>
        <w:jc w:val="both"/>
      </w:pPr>
      <w:r>
        <w:rPr>
          <w:rFonts w:ascii="Times New Roman" w:cs="Times New Roman" w:eastAsia="Times New Roman" w:hAnsi="Times New Roman"/>
        </w:rPr>
        <w:t xml:space="preserve">4 Компенсирующие мероприятия СТУ: выполнены / выполнены не в полном объёме (перечень пунктов СТУ с несоответствиями – по приложению А): ________________.</w:t>
      </w:r>
    </w:p>
    <w:p>
      <w:pPr>
        <w:spacing w:after="60" w:line="276"/>
        <w:ind w:firstLine="709"/>
        <w:jc w:val="both"/>
      </w:pPr>
      <w:r>
        <w:rPr>
          <w:rFonts w:ascii="Times New Roman" w:cs="Times New Roman" w:eastAsia="Times New Roman" w:hAnsi="Times New Roman"/>
        </w:rPr>
        <w:t xml:space="preserve">5 Выявленные дефекты и сроки устранения – по ведомости дефектов № ___.</w:t>
      </w:r>
    </w:p>
    <w:p>
      <w:pPr>
        <w:spacing w:after="60" w:line="276"/>
        <w:ind w:firstLine="709"/>
        <w:jc w:val="both"/>
      </w:pPr>
      <w:r>
        <w:rPr>
          <w:rFonts w:ascii="Times New Roman" w:cs="Times New Roman" w:eastAsia="Times New Roman" w:hAnsi="Times New Roman"/>
        </w:rPr>
        <w:t xml:space="preserve">6 Отключённые цепи, арматура и режимы автоматики восстановлены, системы переведены в дежурный режим: «___» ______ 2026 г. ___ ч ___ мин.</w:t>
      </w:r>
    </w:p>
    <w:p>
      <w:pPr>
        <w:spacing w:after="60" w:line="276"/>
        <w:ind w:firstLine="709"/>
        <w:jc w:val="both"/>
      </w:pPr>
      <w:r>
        <w:rPr>
          <w:rFonts w:ascii="Times New Roman" w:cs="Times New Roman" w:eastAsia="Times New Roman" w:hAnsi="Times New Roman"/>
        </w:rPr>
        <w:t xml:space="preserve">7 Приложения: матрица СТУ (приложение А), таблица алгоритмов взаимодействия систем (приложение К), заключение о соответствии требованиям СТУ (приложение Д), листы замечаний (приложение Е), акты и протоколы по системам (приложение Ж), ведомость резервуаров (приложение Б), журнал проверок, протоколы, фотоматериалы.</w:t>
      </w:r>
    </w:p>
    <w:p>
      <w:pPr>
        <w:spacing w:after="60" w:line="276"/>
        <w:ind w:firstLine="709"/>
        <w:jc w:val="both"/>
      </w:pPr>
      <w:r>
        <w:rPr>
          <w:rFonts w:ascii="Times New Roman" w:cs="Times New Roman" w:eastAsia="Times New Roman" w:hAnsi="Times New Roman"/>
        </w:rPr>
        <w:t xml:space="preserve">Заключение комиссии: ________________________________________________.</w:t>
      </w:r>
    </w:p>
    <w:p>
      <w:pPr>
        <w:spacing w:after="60" w:line="276"/>
        <w:ind w:firstLine="709"/>
        <w:jc w:val="both"/>
      </w:pPr>
      <w:r>
        <w:rPr>
          <w:rFonts w:ascii="Times New Roman" w:cs="Times New Roman" w:eastAsia="Times New Roman" w:hAnsi="Times New Roman"/>
        </w:rPr>
        <w:t xml:space="preserve">Председатель комиссии: ________________ / ________________ /</w:t>
      </w:r>
    </w:p>
    <w:p>
      <w:pPr>
        <w:spacing w:after="60" w:line="276"/>
        <w:ind w:firstLine="709"/>
        <w:jc w:val="both"/>
      </w:pPr>
      <w:r>
        <w:rPr>
          <w:rFonts w:ascii="Times New Roman" w:cs="Times New Roman" w:eastAsia="Times New Roman" w:hAnsi="Times New Roman"/>
        </w:rPr>
        <w:t xml:space="preserve">Члены комиссии: ________________ / ________________ /</w:t>
      </w:r>
    </w:p>
    <w:p>
      <w:pPr>
        <w:pStyle w:val="Heading1"/>
        <w:pageBreakBefore/>
        <w:spacing w:after="0"/>
        <w:jc w:val="center"/>
      </w:pPr>
      <w:r>
        <w:rPr>
          <w:rFonts w:ascii="Times New Roman" w:cs="Times New Roman" w:eastAsia="Times New Roman" w:hAnsi="Times New Roman"/>
          <w:b/>
          <w:bCs/>
          <w:sz w:val="32"/>
          <w:szCs w:val="32"/>
        </w:rPr>
        <w:t xml:space="preserve">Приложение Д</w:t>
      </w:r>
    </w:p>
    <w:p>
      <w:pPr>
        <w:keepNext/>
        <w:spacing w:after="0" w:before="0"/>
        <w:jc w:val="center"/>
      </w:pPr>
      <w:r>
        <w:rPr>
          <w:rFonts w:ascii="Times New Roman" w:cs="Times New Roman" w:eastAsia="Times New Roman" w:hAnsi="Times New Roman"/>
          <w:sz w:val="28"/>
          <w:szCs w:val="28"/>
        </w:rPr>
        <w:t xml:space="preserve">(обязательное)</w:t>
      </w:r>
    </w:p>
    <w:p>
      <w:pPr>
        <w:keepNext/>
        <w:spacing w:after="160" w:before="60"/>
        <w:jc w:val="center"/>
      </w:pPr>
      <w:r>
        <w:rPr>
          <w:rFonts w:ascii="Times New Roman" w:cs="Times New Roman" w:eastAsia="Times New Roman" w:hAnsi="Times New Roman"/>
          <w:b/>
          <w:bCs/>
          <w:sz w:val="32"/>
          <w:szCs w:val="32"/>
        </w:rPr>
        <w:t xml:space="preserve">Форма заключения о соответствии объекта требованиям СТУ</w:t>
      </w:r>
    </w:p>
    <w:p>
      <w:pPr>
        <w:spacing w:after="60" w:line="276"/>
        <w:ind w:firstLine="709"/>
        <w:jc w:val="both"/>
      </w:pPr>
      <w:r>
        <w:rPr>
          <w:rFonts w:ascii="Times New Roman" w:cs="Times New Roman" w:eastAsia="Times New Roman" w:hAnsi="Times New Roman"/>
        </w:rPr>
        <w:t xml:space="preserve">Объект: «Завод по производству, хранению, отгрузке смазочных материалов» филиала ООО «ЛЛК-Интернешнл» в с. Ворсино. Основание: акт комплексных испытаний систем противопожарной защиты от «___» __________ 2026 г.</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1100"/>
        <w:gridCol w:w="3200"/>
        <w:gridCol w:w="3000"/>
        <w:gridCol w:w="2054"/>
      </w:tblGrid>
      <w:tr>
        <w:trPr>
          <w:cantSplit/>
          <w:tblHeader/>
        </w:trPr>
        <w:tc>
          <w:tcPr>
            <w:tcW w:type="dxa" w:w="1100"/>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4"/>
                <w:szCs w:val="24"/>
              </w:rPr>
              <w:t xml:space="preserve">Пункт СТУ</w:t>
            </w:r>
          </w:p>
        </w:tc>
        <w:tc>
          <w:tcPr>
            <w:tcW w:type="dxa" w:w="3200"/>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4"/>
                <w:szCs w:val="24"/>
              </w:rPr>
              <w:t xml:space="preserve">Требование</w:t>
            </w:r>
          </w:p>
        </w:tc>
        <w:tc>
          <w:tcPr>
            <w:tcW w:type="dxa" w:w="3000"/>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4"/>
                <w:szCs w:val="24"/>
              </w:rPr>
              <w:t xml:space="preserve">Фактическое состояние (ссылка на запись журнала, протокол, замер)</w:t>
            </w:r>
          </w:p>
        </w:tc>
        <w:tc>
          <w:tcPr>
            <w:tcW w:type="dxa" w:w="2054"/>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4"/>
                <w:szCs w:val="24"/>
              </w:rPr>
              <w:t xml:space="preserve">Вывод: выполнено / не выполнено / не оценено</w:t>
            </w:r>
          </w:p>
        </w:tc>
      </w:tr>
      <w:tr>
        <w:trPr>
          <w:cantSplit/>
        </w:trPr>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2.1.3, 3.23</w:t>
            </w:r>
          </w:p>
        </w:tc>
        <w:tc>
          <w:tcPr>
            <w:tcW w:type="dxa" w:w="32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Прибытие первых подразделений пожарной охраны не более 20 мин</w:t>
            </w:r>
          </w:p>
        </w:tc>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20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r>
      <w:tr>
        <w:trPr>
          <w:cantSplit/>
        </w:trPr>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2.1.4</w:t>
            </w:r>
          </w:p>
        </w:tc>
        <w:tc>
          <w:tcPr>
            <w:tcW w:type="dxa" w:w="32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Сертификаты (декларации) на материалы и оборудование</w:t>
            </w:r>
          </w:p>
        </w:tc>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20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r>
      <w:tr>
        <w:trPr>
          <w:cantSplit/>
        </w:trPr>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2.2.1</w:t>
            </w:r>
          </w:p>
        </w:tc>
        <w:tc>
          <w:tcPr>
            <w:tcW w:type="dxa" w:w="32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АУП пенная под покрытием</w:t>
            </w:r>
          </w:p>
        </w:tc>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20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r>
      <w:tr>
        <w:trPr>
          <w:cantSplit/>
        </w:trPr>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2.2.2</w:t>
            </w:r>
          </w:p>
        </w:tc>
        <w:tc>
          <w:tcPr>
            <w:tcW w:type="dxa" w:w="32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Внутристеллажная АУП</w:t>
            </w:r>
          </w:p>
        </w:tc>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20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r>
      <w:tr>
        <w:trPr>
          <w:cantSplit/>
        </w:trPr>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2.2.3</w:t>
            </w:r>
          </w:p>
        </w:tc>
        <w:tc>
          <w:tcPr>
            <w:tcW w:type="dxa" w:w="32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Пена низкой кратности 3 %</w:t>
            </w:r>
          </w:p>
        </w:tc>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20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r>
      <w:tr>
        <w:trPr>
          <w:cantSplit/>
        </w:trPr>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2.2.4</w:t>
            </w:r>
          </w:p>
        </w:tc>
        <w:tc>
          <w:tcPr>
            <w:tcW w:type="dxa" w:w="32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Высота склада и хранения</w:t>
            </w:r>
          </w:p>
        </w:tc>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20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r>
      <w:tr>
        <w:trPr>
          <w:cantSplit/>
        </w:trPr>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2.2.6, 3.18</w:t>
            </w:r>
          </w:p>
        </w:tc>
        <w:tc>
          <w:tcPr>
            <w:tcW w:type="dxa" w:w="32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ВПВ, совмещённый с АУП; расход ВПВ склада</w:t>
            </w:r>
          </w:p>
        </w:tc>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20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r>
      <w:tr>
        <w:trPr>
          <w:cantSplit/>
        </w:trPr>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2.2.7</w:t>
            </w:r>
          </w:p>
        </w:tc>
        <w:tc>
          <w:tcPr>
            <w:tcW w:type="dxa" w:w="32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Линейные дымовые ИП</w:t>
            </w:r>
          </w:p>
        </w:tc>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20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r>
      <w:tr>
        <w:trPr>
          <w:cantSplit/>
        </w:trPr>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2.2.8</w:t>
            </w:r>
          </w:p>
        </w:tc>
        <w:tc>
          <w:tcPr>
            <w:tcW w:type="dxa" w:w="32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Вывод сигнала в пожарную охрану</w:t>
            </w:r>
          </w:p>
        </w:tc>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20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r>
      <w:tr>
        <w:trPr>
          <w:cantSplit/>
        </w:trPr>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3.2</w:t>
            </w:r>
          </w:p>
        </w:tc>
        <w:tc>
          <w:tcPr>
            <w:tcW w:type="dxa" w:w="32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Дымоудаление производственного цеха</w:t>
            </w:r>
          </w:p>
        </w:tc>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20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r>
      <w:tr>
        <w:trPr>
          <w:cantSplit/>
        </w:trPr>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3.3, 3.4</w:t>
            </w:r>
          </w:p>
        </w:tc>
        <w:tc>
          <w:tcPr>
            <w:tcW w:type="dxa" w:w="32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Насосная ГЖ: II, С0; глухие стены; двери 2-го типа; ёмкость проливов ≤ 30 м³</w:t>
            </w:r>
          </w:p>
        </w:tc>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20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r>
      <w:tr>
        <w:trPr>
          <w:cantSplit/>
        </w:trPr>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3.5</w:t>
            </w:r>
          </w:p>
        </w:tc>
        <w:tc>
          <w:tcPr>
            <w:tcW w:type="dxa" w:w="32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Трубопровод подключения ПА к АУП</w:t>
            </w:r>
          </w:p>
        </w:tc>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20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r>
      <w:tr>
        <w:trPr>
          <w:cantSplit/>
        </w:trPr>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3.6</w:t>
            </w:r>
          </w:p>
        </w:tc>
        <w:tc>
          <w:tcPr>
            <w:tcW w:type="dxa" w:w="32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ИПР по периметру парков</w:t>
            </w:r>
          </w:p>
        </w:tc>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20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r>
      <w:tr>
        <w:trPr>
          <w:cantSplit/>
        </w:trPr>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3.7, 3.8</w:t>
            </w:r>
          </w:p>
        </w:tc>
        <w:tc>
          <w:tcPr>
            <w:tcW w:type="dxa" w:w="32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Зарядка аккумуляторов погрузчиков</w:t>
            </w:r>
          </w:p>
        </w:tc>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20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r>
      <w:tr>
        <w:trPr>
          <w:cantSplit/>
        </w:trPr>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3.9</w:t>
            </w:r>
          </w:p>
        </w:tc>
        <w:tc>
          <w:tcPr>
            <w:tcW w:type="dxa" w:w="32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Противопожарная стена 1-го типа склад/цех</w:t>
            </w:r>
          </w:p>
        </w:tc>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20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r>
      <w:tr>
        <w:trPr>
          <w:cantSplit/>
        </w:trPr>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3.10</w:t>
            </w:r>
          </w:p>
        </w:tc>
        <w:tc>
          <w:tcPr>
            <w:tcW w:type="dxa" w:w="32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Стена ПСК к эстакаде</w:t>
            </w:r>
          </w:p>
        </w:tc>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20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r>
      <w:tr>
        <w:trPr>
          <w:cantSplit/>
        </w:trPr>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3.11</w:t>
            </w:r>
          </w:p>
        </w:tc>
        <w:tc>
          <w:tcPr>
            <w:tcW w:type="dxa" w:w="32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Площадь эстакад; планировка; отвод вод</w:t>
            </w:r>
          </w:p>
        </w:tc>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20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r>
      <w:tr>
        <w:trPr>
          <w:cantSplit/>
        </w:trPr>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3.12</w:t>
            </w:r>
          </w:p>
        </w:tc>
        <w:tc>
          <w:tcPr>
            <w:tcW w:type="dxa" w:w="32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Замкнутое ограждение парков</w:t>
            </w:r>
          </w:p>
        </w:tc>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20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r>
      <w:tr>
        <w:trPr>
          <w:cantSplit/>
        </w:trPr>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3.13</w:t>
            </w:r>
          </w:p>
        </w:tc>
        <w:tc>
          <w:tcPr>
            <w:tcW w:type="dxa" w:w="32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Расстояния между резервуарами и до обвалования</w:t>
            </w:r>
          </w:p>
        </w:tc>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20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r>
      <w:tr>
        <w:trPr>
          <w:cantSplit/>
        </w:trPr>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3.14</w:t>
            </w:r>
          </w:p>
        </w:tc>
        <w:tc>
          <w:tcPr>
            <w:tcW w:type="dxa" w:w="32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Подъезды к группам</w:t>
            </w:r>
          </w:p>
        </w:tc>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20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r>
      <w:tr>
        <w:trPr>
          <w:cantSplit/>
        </w:trPr>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3.15</w:t>
            </w:r>
          </w:p>
        </w:tc>
        <w:tc>
          <w:tcPr>
            <w:tcW w:type="dxa" w:w="32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Охлаждение и тушение каждого резервуара передвижной техникой</w:t>
            </w:r>
          </w:p>
        </w:tc>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20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r>
      <w:tr>
        <w:trPr>
          <w:cantSplit/>
        </w:trPr>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3.16</w:t>
            </w:r>
          </w:p>
        </w:tc>
        <w:tc>
          <w:tcPr>
            <w:tcW w:type="dxa" w:w="32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Стационарное охлаждение недоступных резервуаров</w:t>
            </w:r>
          </w:p>
        </w:tc>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20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r>
      <w:tr>
        <w:trPr>
          <w:cantSplit/>
        </w:trPr>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3.17</w:t>
            </w:r>
          </w:p>
        </w:tc>
        <w:tc>
          <w:tcPr>
            <w:tcW w:type="dxa" w:w="32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Стационарное пенотушение недоступных резервуаров</w:t>
            </w:r>
          </w:p>
        </w:tc>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20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r>
      <w:tr>
        <w:trPr>
          <w:cantSplit/>
        </w:trPr>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3.19</w:t>
            </w:r>
          </w:p>
        </w:tc>
        <w:tc>
          <w:tcPr>
            <w:tcW w:type="dxa" w:w="32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СОУЭ 2-го типа в ПСК</w:t>
            </w:r>
          </w:p>
        </w:tc>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20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r>
      <w:tr>
        <w:trPr>
          <w:cantSplit/>
        </w:trPr>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3.22</w:t>
            </w:r>
          </w:p>
        </w:tc>
        <w:tc>
          <w:tcPr>
            <w:tcW w:type="dxa" w:w="32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ВПВ и НПВ</w:t>
            </w:r>
          </w:p>
        </w:tc>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20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r>
    </w:tbl>
    <w:p>
      <w:pPr>
        <w:spacing w:after="60"/>
      </w:pPr>
    </w:p>
    <w:p>
      <w:pPr>
        <w:spacing w:after="60" w:line="276"/>
        <w:ind w:firstLine="709"/>
        <w:jc w:val="both"/>
      </w:pPr>
      <w:r>
        <w:rPr>
          <w:rFonts w:ascii="Times New Roman" w:cs="Times New Roman" w:eastAsia="Times New Roman" w:hAnsi="Times New Roman"/>
        </w:rPr>
        <w:t xml:space="preserve">Заключение: требования СТУ выполнены в полном объёме / выполнены, за исключением пунктов ________________ (нужное подчеркнуть). Несоответствия и сроки их устранения – по ведомости дефектов № ___. Пункты с выводом «не оценено» и недостающие для оценки документы: ________________.</w:t>
      </w:r>
    </w:p>
    <w:p>
      <w:pPr>
        <w:spacing w:after="60" w:line="276"/>
        <w:ind w:firstLine="709"/>
        <w:jc w:val="both"/>
      </w:pPr>
      <w:r>
        <w:rPr>
          <w:rFonts w:ascii="Times New Roman" w:cs="Times New Roman" w:eastAsia="Times New Roman" w:hAnsi="Times New Roman"/>
        </w:rPr>
        <w:t xml:space="preserve">Председатель комиссии: ________________ / ________________ /</w:t>
      </w:r>
    </w:p>
    <w:p>
      <w:pPr>
        <w:spacing w:after="60" w:line="276"/>
        <w:ind w:firstLine="709"/>
        <w:jc w:val="both"/>
      </w:pPr>
      <w:r>
        <w:rPr>
          <w:rFonts w:ascii="Times New Roman" w:cs="Times New Roman" w:eastAsia="Times New Roman" w:hAnsi="Times New Roman"/>
        </w:rPr>
        <w:t xml:space="preserve">Члены комиссии: ________________ / ________________ /</w:t>
      </w:r>
    </w:p>
    <w:p>
      <w:pPr>
        <w:pStyle w:val="Heading1"/>
        <w:pageBreakBefore/>
        <w:spacing w:after="0"/>
        <w:jc w:val="center"/>
      </w:pPr>
      <w:r>
        <w:rPr>
          <w:rFonts w:ascii="Times New Roman" w:cs="Times New Roman" w:eastAsia="Times New Roman" w:hAnsi="Times New Roman"/>
          <w:b/>
          <w:bCs/>
          <w:sz w:val="32"/>
          <w:szCs w:val="32"/>
        </w:rPr>
        <w:t xml:space="preserve">Приложение Е</w:t>
      </w:r>
    </w:p>
    <w:p>
      <w:pPr>
        <w:keepNext/>
        <w:spacing w:after="0" w:before="0"/>
        <w:jc w:val="center"/>
      </w:pPr>
      <w:r>
        <w:rPr>
          <w:rFonts w:ascii="Times New Roman" w:cs="Times New Roman" w:eastAsia="Times New Roman" w:hAnsi="Times New Roman"/>
          <w:sz w:val="28"/>
          <w:szCs w:val="28"/>
        </w:rPr>
        <w:t xml:space="preserve">(обязательное)</w:t>
      </w:r>
    </w:p>
    <w:p>
      <w:pPr>
        <w:keepNext/>
        <w:spacing w:after="160" w:before="60"/>
        <w:jc w:val="center"/>
      </w:pPr>
      <w:r>
        <w:rPr>
          <w:rFonts w:ascii="Times New Roman" w:cs="Times New Roman" w:eastAsia="Times New Roman" w:hAnsi="Times New Roman"/>
          <w:b/>
          <w:bCs/>
          <w:sz w:val="32"/>
          <w:szCs w:val="32"/>
        </w:rPr>
        <w:t xml:space="preserve">Форма листа замечаний</w:t>
      </w:r>
    </w:p>
    <w:p>
      <w:pPr>
        <w:spacing w:after="80"/>
        <w:ind w:firstLine="709"/>
        <w:jc w:val="both"/>
      </w:pPr>
      <w:r>
        <w:rPr>
          <w:rFonts w:ascii="Times New Roman" w:cs="Times New Roman" w:eastAsia="Times New Roman" w:hAnsi="Times New Roman"/>
          <w:sz w:val="24"/>
          <w:szCs w:val="24"/>
        </w:rPr>
        <w:t xml:space="preserve">Лист замечаний оформляется на листах формата А4 по каждой системе или разделу проверки (в том числе по объёмно-планировочным решениям, раздел 16) и прикладывается к акту комплексных испытаний.</w:t>
      </w:r>
    </w:p>
    <w:p>
      <w:pPr>
        <w:spacing w:after="60" w:line="276"/>
        <w:jc w:val="both"/>
      </w:pPr>
      <w:r>
        <w:rPr>
          <w:rFonts w:ascii="Times New Roman" w:cs="Times New Roman" w:eastAsia="Times New Roman" w:hAnsi="Times New Roman"/>
        </w:rPr>
        <w:t xml:space="preserve">Объект: «Завод по производству, хранению, отгрузке смазочных материалов» филиала ООО «ЛЛК-Интернешнл» в с. Ворсино</w:t>
      </w:r>
    </w:p>
    <w:p>
      <w:pPr>
        <w:spacing w:after="60" w:line="276"/>
        <w:jc w:val="both"/>
      </w:pPr>
      <w:r>
        <w:rPr>
          <w:rFonts w:ascii="Times New Roman" w:cs="Times New Roman" w:eastAsia="Times New Roman" w:hAnsi="Times New Roman"/>
        </w:rPr>
        <w:t xml:space="preserve">Система (раздел проверки): ________________________   Дата: «___» __________ 2026 г.   Лист ___  Листов ___</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450"/>
        <w:gridCol w:w="800"/>
        <w:gridCol w:w="1300"/>
        <w:gridCol w:w="1700"/>
        <w:gridCol w:w="1550"/>
        <w:gridCol w:w="1000"/>
        <w:gridCol w:w="750"/>
        <w:gridCol w:w="950"/>
        <w:gridCol w:w="854"/>
      </w:tblGrid>
      <w:tr>
        <w:trPr>
          <w:cantSplit/>
          <w:tblHeader/>
        </w:trPr>
        <w:tc>
          <w:tcPr>
            <w:tcW w:type="dxa" w:w="450"/>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4"/>
                <w:szCs w:val="24"/>
              </w:rPr>
              <w:t xml:space="preserve">№ п/п</w:t>
            </w:r>
          </w:p>
        </w:tc>
        <w:tc>
          <w:tcPr>
            <w:tcW w:type="dxa" w:w="800"/>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4"/>
                <w:szCs w:val="24"/>
              </w:rPr>
              <w:t xml:space="preserve">Код про­вер­ки</w:t>
            </w:r>
          </w:p>
        </w:tc>
        <w:tc>
          <w:tcPr>
            <w:tcW w:type="dxa" w:w="1300"/>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4"/>
                <w:szCs w:val="24"/>
              </w:rPr>
              <w:t xml:space="preserve">Здание, по­ме­ще­ние, оси, отметка</w:t>
            </w:r>
          </w:p>
        </w:tc>
        <w:tc>
          <w:tcPr>
            <w:tcW w:type="dxa" w:w="1700"/>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4"/>
                <w:szCs w:val="24"/>
              </w:rPr>
              <w:t xml:space="preserve">Выявленное отклонение</w:t>
            </w:r>
          </w:p>
        </w:tc>
        <w:tc>
          <w:tcPr>
            <w:tcW w:type="dxa" w:w="1550"/>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4"/>
                <w:szCs w:val="24"/>
              </w:rPr>
              <w:t xml:space="preserve">Требование: документ, пункт; ре­фе­рен­сное значение</w:t>
            </w:r>
          </w:p>
        </w:tc>
        <w:tc>
          <w:tcPr>
            <w:tcW w:type="dxa" w:w="1000"/>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4"/>
                <w:szCs w:val="24"/>
              </w:rPr>
              <w:t xml:space="preserve">Фак­ти­чес­кое зна­че­ние</w:t>
            </w:r>
          </w:p>
        </w:tc>
        <w:tc>
          <w:tcPr>
            <w:tcW w:type="dxa" w:w="750"/>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4"/>
                <w:szCs w:val="24"/>
              </w:rPr>
              <w:t xml:space="preserve">Фото, схе­ма №</w:t>
            </w:r>
          </w:p>
        </w:tc>
        <w:tc>
          <w:tcPr>
            <w:tcW w:type="dxa" w:w="950"/>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4"/>
                <w:szCs w:val="24"/>
              </w:rPr>
              <w:t xml:space="preserve">От­ветс­твен­ный, срок ус­тра­не­ния</w:t>
            </w:r>
          </w:p>
        </w:tc>
        <w:tc>
          <w:tcPr>
            <w:tcW w:type="dxa" w:w="854"/>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4"/>
                <w:szCs w:val="24"/>
              </w:rPr>
              <w:t xml:space="preserve">От­мет­ка об ус­тра­не­нии</w:t>
            </w:r>
          </w:p>
        </w:tc>
      </w:tr>
      <w:tr>
        <w:trPr>
          <w:cantSplit/>
        </w:trPr>
        <w:tc>
          <w:tcPr>
            <w:tcW w:type="dxa" w:w="4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9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8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r>
      <w:tr>
        <w:trPr>
          <w:cantSplit/>
        </w:trPr>
        <w:tc>
          <w:tcPr>
            <w:tcW w:type="dxa" w:w="4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9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8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r>
      <w:tr>
        <w:trPr>
          <w:cantSplit/>
        </w:trPr>
        <w:tc>
          <w:tcPr>
            <w:tcW w:type="dxa" w:w="4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9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8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r>
      <w:tr>
        <w:trPr>
          <w:cantSplit/>
        </w:trPr>
        <w:tc>
          <w:tcPr>
            <w:tcW w:type="dxa" w:w="4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9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8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r>
      <w:tr>
        <w:trPr>
          <w:cantSplit/>
        </w:trPr>
        <w:tc>
          <w:tcPr>
            <w:tcW w:type="dxa" w:w="4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9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8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r>
      <w:tr>
        <w:trPr>
          <w:cantSplit/>
        </w:trPr>
        <w:tc>
          <w:tcPr>
            <w:tcW w:type="dxa" w:w="4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9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8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r>
      <w:tr>
        <w:trPr>
          <w:cantSplit/>
        </w:trPr>
        <w:tc>
          <w:tcPr>
            <w:tcW w:type="dxa" w:w="4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9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8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r>
      <w:tr>
        <w:trPr>
          <w:cantSplit/>
        </w:trPr>
        <w:tc>
          <w:tcPr>
            <w:tcW w:type="dxa" w:w="4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9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8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r>
      <w:tr>
        <w:trPr>
          <w:cantSplit/>
        </w:trPr>
        <w:tc>
          <w:tcPr>
            <w:tcW w:type="dxa" w:w="4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9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8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r>
      <w:tr>
        <w:trPr>
          <w:cantSplit/>
        </w:trPr>
        <w:tc>
          <w:tcPr>
            <w:tcW w:type="dxa" w:w="4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9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8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r>
      <w:tr>
        <w:trPr>
          <w:cantSplit/>
        </w:trPr>
        <w:tc>
          <w:tcPr>
            <w:tcW w:type="dxa" w:w="4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9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8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r>
      <w:tr>
        <w:trPr>
          <w:cantSplit/>
        </w:trPr>
        <w:tc>
          <w:tcPr>
            <w:tcW w:type="dxa" w:w="4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9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8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r>
    </w:tbl>
    <w:p>
      <w:pPr>
        <w:spacing w:after="60"/>
      </w:pP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4677"/>
        <w:gridCol w:w="4677"/>
      </w:tblGrid>
      <w:tr>
        <w:tc>
          <w:tcPr>
            <w:tcW w:type="dxa" w:w="4677"/>
            <w:tcBorders>
              <w:top w:val="none" w:color="FFFFFF" w:sz="0"/>
              <w:left w:val="none" w:color="FFFFFF" w:sz="0"/>
              <w:bottom w:val="none" w:color="FFFFFF" w:sz="0"/>
              <w:right w:val="none" w:color="FFFFFF" w:sz="0"/>
            </w:tcBorders>
          </w:tcPr>
          <w:p>
            <w:pPr>
              <w:spacing w:after="40"/>
            </w:pPr>
            <w:r>
              <w:rPr>
                <w:rFonts w:ascii="Times New Roman" w:cs="Times New Roman" w:eastAsia="Times New Roman" w:hAnsi="Times New Roman"/>
                <w:sz w:val="28"/>
                <w:szCs w:val="28"/>
              </w:rPr>
              <w:t xml:space="preserve">Замечания выявил:</w:t>
            </w:r>
          </w:p>
          <w:p>
            <w:pPr>
              <w:spacing w:after="40"/>
            </w:pPr>
            <w:r>
              <w:rPr>
                <w:rFonts w:ascii="Times New Roman" w:cs="Times New Roman" w:eastAsia="Times New Roman" w:hAnsi="Times New Roman"/>
                <w:sz w:val="28"/>
                <w:szCs w:val="28"/>
              </w:rPr>
              <w:t xml:space="preserve">________________ / ________________ /</w:t>
            </w:r>
          </w:p>
        </w:tc>
        <w:tc>
          <w:tcPr>
            <w:tcW w:type="dxa" w:w="4677"/>
            <w:tcBorders>
              <w:top w:val="none" w:color="FFFFFF" w:sz="0"/>
              <w:left w:val="none" w:color="FFFFFF" w:sz="0"/>
              <w:bottom w:val="none" w:color="FFFFFF" w:sz="0"/>
              <w:right w:val="none" w:color="FFFFFF" w:sz="0"/>
            </w:tcBorders>
          </w:tcPr>
          <w:p>
            <w:pPr>
              <w:spacing w:after="40"/>
            </w:pPr>
            <w:r>
              <w:rPr>
                <w:rFonts w:ascii="Times New Roman" w:cs="Times New Roman" w:eastAsia="Times New Roman" w:hAnsi="Times New Roman"/>
                <w:sz w:val="28"/>
                <w:szCs w:val="28"/>
              </w:rPr>
              <w:t xml:space="preserve">Замечания получил:</w:t>
            </w:r>
          </w:p>
          <w:p>
            <w:pPr>
              <w:spacing w:after="40"/>
            </w:pPr>
            <w:r>
              <w:rPr>
                <w:rFonts w:ascii="Times New Roman" w:cs="Times New Roman" w:eastAsia="Times New Roman" w:hAnsi="Times New Roman"/>
                <w:sz w:val="28"/>
                <w:szCs w:val="28"/>
              </w:rPr>
              <w:t xml:space="preserve">________________ / ________________ /</w:t>
            </w:r>
          </w:p>
        </w:tc>
      </w:tr>
    </w:tbl>
    <w:p>
      <w:pPr>
        <w:pStyle w:val="Heading1"/>
        <w:pageBreakBefore/>
        <w:spacing w:after="0"/>
        <w:jc w:val="center"/>
      </w:pPr>
      <w:r>
        <w:rPr>
          <w:rFonts w:ascii="Times New Roman" w:cs="Times New Roman" w:eastAsia="Times New Roman" w:hAnsi="Times New Roman"/>
          <w:b/>
          <w:bCs/>
          <w:sz w:val="32"/>
          <w:szCs w:val="32"/>
        </w:rPr>
        <w:t xml:space="preserve">Приложение Ж</w:t>
      </w:r>
    </w:p>
    <w:p>
      <w:pPr>
        <w:keepNext/>
        <w:spacing w:after="0" w:before="0"/>
        <w:jc w:val="center"/>
      </w:pPr>
      <w:r>
        <w:rPr>
          <w:rFonts w:ascii="Times New Roman" w:cs="Times New Roman" w:eastAsia="Times New Roman" w:hAnsi="Times New Roman"/>
          <w:sz w:val="28"/>
          <w:szCs w:val="28"/>
        </w:rPr>
        <w:t xml:space="preserve">(обязательное)</w:t>
      </w:r>
    </w:p>
    <w:p>
      <w:pPr>
        <w:keepNext/>
        <w:spacing w:after="160" w:before="60"/>
        <w:jc w:val="center"/>
      </w:pPr>
      <w:r>
        <w:rPr>
          <w:rFonts w:ascii="Times New Roman" w:cs="Times New Roman" w:eastAsia="Times New Roman" w:hAnsi="Times New Roman"/>
          <w:b/>
          <w:bCs/>
          <w:sz w:val="32"/>
          <w:szCs w:val="32"/>
        </w:rPr>
        <w:t xml:space="preserve">Образцы актов и протоколов испытаний</w:t>
      </w:r>
    </w:p>
    <w:p>
      <w:pPr>
        <w:spacing w:after="60" w:line="276"/>
        <w:ind w:firstLine="709"/>
        <w:jc w:val="both"/>
      </w:pPr>
      <w:r>
        <w:rPr>
          <w:rFonts w:ascii="Times New Roman" w:cs="Times New Roman" w:eastAsia="Times New Roman" w:hAnsi="Times New Roman"/>
        </w:rPr>
        <w:t xml:space="preserve">В приложении приведены образцы актов и протоколов по каждой системе. Формы этих документов нормативными правовыми актами не утверждены. Национальные стандарты, применяемые на добровольной основе (ст. 26 Федерального закона от 29.06.2015 № 162-ФЗ «О стандартизации в Российской Федерации»), содержат рекомендуемые формы для СПС, СОУЭ, противодымной вентиляции и огнезащиты; образцы Ж.1, Ж.2, Ж.5 и Ж.8 составлены по этим формам. Для АУП, ВПВ, НПВ и установок охлаждения и пенотушения резервуаров формы стандартами не установлены; образцы Ж.3, Ж.4, Ж.6 и Ж.7 составлены по требованиям документов к содержанию результатов испытаний. При расхождении применяется форма действующей редакции стандарта.</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1100"/>
        <w:gridCol w:w="4200"/>
        <w:gridCol w:w="4054"/>
      </w:tblGrid>
      <w:tr>
        <w:trPr>
          <w:cantSplit/>
          <w:tblHeader/>
        </w:trPr>
        <w:tc>
          <w:tcPr>
            <w:tcW w:type="dxa" w:w="1100"/>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4"/>
                <w:szCs w:val="24"/>
              </w:rPr>
              <w:t xml:space="preserve">Форма</w:t>
            </w:r>
          </w:p>
        </w:tc>
        <w:tc>
          <w:tcPr>
            <w:tcW w:type="dxa" w:w="4200"/>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4"/>
                <w:szCs w:val="24"/>
              </w:rPr>
              <w:t xml:space="preserve">Документ</w:t>
            </w:r>
          </w:p>
        </w:tc>
        <w:tc>
          <w:tcPr>
            <w:tcW w:type="dxa" w:w="4054"/>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4"/>
                <w:szCs w:val="24"/>
              </w:rPr>
              <w:t xml:space="preserve">Основание</w:t>
            </w:r>
          </w:p>
        </w:tc>
      </w:tr>
      <w:tr>
        <w:trPr>
          <w:cantSplit/>
        </w:trPr>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Ж.1</w:t>
            </w:r>
          </w:p>
        </w:tc>
        <w:tc>
          <w:tcPr>
            <w:tcW w:type="dxa" w:w="42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Акт комплексных испытаний на работоспособность СПС</w:t>
            </w:r>
          </w:p>
        </w:tc>
        <w:tc>
          <w:tcPr>
            <w:tcW w:type="dxa" w:w="40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ГОСТ Р 59638-2021, приложение В (рекомендуемое)</w:t>
            </w:r>
          </w:p>
        </w:tc>
      </w:tr>
      <w:tr>
        <w:trPr>
          <w:cantSplit/>
        </w:trPr>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Ж.2</w:t>
            </w:r>
          </w:p>
        </w:tc>
        <w:tc>
          <w:tcPr>
            <w:tcW w:type="dxa" w:w="42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Акт комплексных испытаний на работоспособность СОУЭ</w:t>
            </w:r>
          </w:p>
        </w:tc>
        <w:tc>
          <w:tcPr>
            <w:tcW w:type="dxa" w:w="40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ГОСТ Р 59639-2021, приложение А, форма А.3 (рекомендуемая)</w:t>
            </w:r>
          </w:p>
        </w:tc>
      </w:tr>
      <w:tr>
        <w:trPr>
          <w:cantSplit/>
        </w:trPr>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Ж.3</w:t>
            </w:r>
          </w:p>
        </w:tc>
        <w:tc>
          <w:tcPr>
            <w:tcW w:type="dxa" w:w="42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Акт испытаний АУП на работоспособность</w:t>
            </w:r>
          </w:p>
        </w:tc>
        <w:tc>
          <w:tcPr>
            <w:tcW w:type="dxa" w:w="40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ГОСТ Р 59636-2021, раздел 8 (форма не установлена)</w:t>
            </w:r>
          </w:p>
        </w:tc>
      </w:tr>
      <w:tr>
        <w:trPr>
          <w:cantSplit/>
        </w:trPr>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Ж.4</w:t>
            </w:r>
          </w:p>
        </w:tc>
        <w:tc>
          <w:tcPr>
            <w:tcW w:type="dxa" w:w="42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Акт и протокол испытаний ВПВ на водоотдачу</w:t>
            </w:r>
          </w:p>
        </w:tc>
        <w:tc>
          <w:tcPr>
            <w:tcW w:type="dxa" w:w="40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ГОСТ Р 59643-2021, 7.3.11.2, 7.3.11.3 (форма не установлена, состав сведений установлен)</w:t>
            </w:r>
          </w:p>
        </w:tc>
      </w:tr>
      <w:tr>
        <w:trPr>
          <w:cantSplit/>
        </w:trPr>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Ж.5</w:t>
            </w:r>
          </w:p>
        </w:tc>
        <w:tc>
          <w:tcPr>
            <w:tcW w:type="dxa" w:w="42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Протокол приёмосдаточных (периодических) аэродинамических испытаний систем противодымной вентиляции</w:t>
            </w:r>
          </w:p>
        </w:tc>
        <w:tc>
          <w:tcPr>
            <w:tcW w:type="dxa" w:w="40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ГОСТ Р 53300-2009, приложение А (рекомендуемое)</w:t>
            </w:r>
          </w:p>
        </w:tc>
      </w:tr>
      <w:tr>
        <w:trPr>
          <w:cantSplit/>
        </w:trPr>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Ж.6</w:t>
            </w:r>
          </w:p>
        </w:tc>
        <w:tc>
          <w:tcPr>
            <w:tcW w:type="dxa" w:w="42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Акт проверки наружного противопожарного водоснабжения</w:t>
            </w:r>
          </w:p>
        </w:tc>
        <w:tc>
          <w:tcPr>
            <w:tcW w:type="dxa" w:w="40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п. 48 ППР, СП 8.13130.2020 (форма не установлена; запись в журнал эксплуатации обязательна)</w:t>
            </w:r>
          </w:p>
        </w:tc>
      </w:tr>
      <w:tr>
        <w:trPr>
          <w:cantSplit/>
        </w:trPr>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Ж.7</w:t>
            </w:r>
          </w:p>
        </w:tc>
        <w:tc>
          <w:tcPr>
            <w:tcW w:type="dxa" w:w="42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Протокол испытаний стационарных установок охлаждения и пенотушения резервуара</w:t>
            </w:r>
          </w:p>
        </w:tc>
        <w:tc>
          <w:tcPr>
            <w:tcW w:type="dxa" w:w="40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пп. 3.16, 3.17 СТУ (форма не установлена)</w:t>
            </w:r>
          </w:p>
        </w:tc>
      </w:tr>
      <w:tr>
        <w:trPr>
          <w:cantSplit/>
        </w:trPr>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Ж.8</w:t>
            </w:r>
          </w:p>
        </w:tc>
        <w:tc>
          <w:tcPr>
            <w:tcW w:type="dxa" w:w="42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Акт контроля состояния огнезащищенных материалов и конструкций</w:t>
            </w:r>
          </w:p>
        </w:tc>
        <w:tc>
          <w:tcPr>
            <w:tcW w:type="dxa" w:w="40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ГОСТ Р 59637-2021, приложение Б (рекомендуемое); п. 13 ППР</w:t>
            </w:r>
          </w:p>
        </w:tc>
      </w:tr>
    </w:tbl>
    <w:p>
      <w:pPr>
        <w:spacing w:after="60"/>
      </w:pPr>
    </w:p>
    <w:p>
      <w:pPr>
        <w:pStyle w:val="Heading2"/>
        <w:pageBreakBefore/>
        <w:spacing w:after="80"/>
        <w:jc w:val="center"/>
      </w:pPr>
      <w:r>
        <w:rPr>
          <w:rFonts w:ascii="Times New Roman" w:cs="Times New Roman" w:eastAsia="Times New Roman" w:hAnsi="Times New Roman"/>
          <w:b/>
          <w:bCs/>
          <w:sz w:val="32"/>
          <w:szCs w:val="32"/>
        </w:rPr>
        <w:t xml:space="preserve">Форма Ж.1 – Акт комплексных испытаний на работоспособность СПС</w:t>
      </w:r>
    </w:p>
    <w:p>
      <w:pPr>
        <w:spacing w:after="80"/>
        <w:ind w:firstLine="709"/>
        <w:jc w:val="both"/>
      </w:pPr>
      <w:r>
        <w:rPr>
          <w:rFonts w:ascii="Times New Roman" w:cs="Times New Roman" w:eastAsia="Times New Roman" w:hAnsi="Times New Roman"/>
          <w:sz w:val="24"/>
          <w:szCs w:val="24"/>
        </w:rPr>
        <w:t xml:space="preserve">Основание: ГОСТ Р 59638-2021, 6.2.6 и приложение В (рекомендуемое). Текст формы воспроизведён по приложению В; данные объекта внесены. Перечень несоответствий оформляют листом замечаний (приложение Е) и прикладывают к акту.</w:t>
      </w:r>
    </w:p>
    <w:p>
      <w:pPr>
        <w:keepNext/>
        <w:spacing w:after="0" w:before="0"/>
        <w:jc w:val="center"/>
      </w:pPr>
      <w:r>
        <w:rPr>
          <w:rFonts w:ascii="Times New Roman" w:cs="Times New Roman" w:eastAsia="Times New Roman" w:hAnsi="Times New Roman"/>
          <w:b/>
          <w:bCs/>
          <w:sz w:val="32"/>
          <w:szCs w:val="32"/>
        </w:rPr>
        <w:t xml:space="preserve">АКТ</w:t>
      </w:r>
    </w:p>
    <w:p>
      <w:pPr>
        <w:keepNext/>
        <w:spacing w:after="120" w:before="0"/>
        <w:jc w:val="center"/>
      </w:pPr>
      <w:r>
        <w:rPr>
          <w:rFonts w:ascii="Times New Roman" w:cs="Times New Roman" w:eastAsia="Times New Roman" w:hAnsi="Times New Roman"/>
          <w:b/>
          <w:bCs/>
        </w:rPr>
        <w:t xml:space="preserve">комплексных испытаний на работоспособность СПС</w:t>
      </w:r>
    </w:p>
    <w:p>
      <w:pPr>
        <w:spacing w:after="60" w:line="276"/>
        <w:ind w:firstLine="709"/>
        <w:jc w:val="both"/>
      </w:pPr>
      <w:r>
        <w:rPr>
          <w:rFonts w:ascii="Times New Roman" w:cs="Times New Roman" w:eastAsia="Times New Roman" w:hAnsi="Times New Roman"/>
        </w:rPr>
        <w:t xml:space="preserve">Проведены комплексные испытания на работоспособность СПС ________________________________________________</w:t>
      </w:r>
    </w:p>
    <w:p>
      <w:pPr>
        <w:keepNext/>
        <w:spacing w:after="80" w:before="0"/>
        <w:jc w:val="center"/>
      </w:pPr>
      <w:r>
        <w:rPr>
          <w:rFonts w:ascii="Times New Roman" w:cs="Times New Roman" w:eastAsia="Times New Roman" w:hAnsi="Times New Roman"/>
          <w:sz w:val="24"/>
          <w:szCs w:val="24"/>
        </w:rPr>
        <w:t xml:space="preserve">(полное наименование юридического лица или фамилия и инициалы индивидуального предпринимателя, проводившего проверку (работы))</w:t>
      </w:r>
    </w:p>
    <w:p>
      <w:pPr>
        <w:spacing w:after="60" w:line="276"/>
        <w:ind w:firstLine="709"/>
        <w:jc w:val="both"/>
      </w:pPr>
      <w:r>
        <w:rPr>
          <w:rFonts w:ascii="Times New Roman" w:cs="Times New Roman" w:eastAsia="Times New Roman" w:hAnsi="Times New Roman"/>
        </w:rPr>
        <w:t xml:space="preserve">на объекте: «Завод по производству, хранению, отгрузке смазочных материалов» филиала ООО «ЛЛК-Интернешнл» в с. Ворсино,</w:t>
      </w:r>
    </w:p>
    <w:p>
      <w:pPr>
        <w:spacing w:after="60" w:line="276"/>
        <w:ind w:firstLine="709"/>
        <w:jc w:val="both"/>
      </w:pPr>
      <w:r>
        <w:rPr>
          <w:rFonts w:ascii="Times New Roman" w:cs="Times New Roman" w:eastAsia="Times New Roman" w:hAnsi="Times New Roman"/>
        </w:rPr>
        <w:t xml:space="preserve">расположенном по адресу: Калужская обл., Боровский р-н, с. Ворсино, Северная промышленная зона, владение 8.</w:t>
      </w:r>
    </w:p>
    <w:p>
      <w:pPr>
        <w:spacing w:after="60" w:line="276"/>
        <w:ind w:firstLine="709"/>
        <w:jc w:val="both"/>
      </w:pPr>
      <w:r>
        <w:rPr>
          <w:rFonts w:ascii="Times New Roman" w:cs="Times New Roman" w:eastAsia="Times New Roman" w:hAnsi="Times New Roman"/>
        </w:rPr>
        <w:t xml:space="preserve">Комплексные испытания на работоспособность СПС проводились в период с «___» __________ 20__ г. по «___» __________ 20__ г. в соответствии с проектом № ________, выполненным ________________________________________________</w:t>
      </w:r>
    </w:p>
    <w:p>
      <w:pPr>
        <w:spacing w:after="60" w:line="276"/>
        <w:ind w:firstLine="709"/>
        <w:jc w:val="both"/>
      </w:pPr>
      <w:r>
        <w:rPr>
          <w:rFonts w:ascii="Times New Roman" w:cs="Times New Roman" w:eastAsia="Times New Roman" w:hAnsi="Times New Roman"/>
        </w:rPr>
        <w:t xml:space="preserve">В результате комплексных испытаний на работоспособность СПС установлено: ________________________________________________</w:t>
      </w:r>
    </w:p>
    <w:p>
      <w:pPr>
        <w:keepNext/>
        <w:spacing w:after="120" w:before="0"/>
        <w:jc w:val="center"/>
      </w:pPr>
      <w:r>
        <w:rPr>
          <w:rFonts w:ascii="Times New Roman" w:cs="Times New Roman" w:eastAsia="Times New Roman" w:hAnsi="Times New Roman"/>
          <w:sz w:val="24"/>
          <w:szCs w:val="24"/>
        </w:rPr>
        <w:t xml:space="preserve">(указывается работоспособность (неработоспособность) СПС)</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4677"/>
        <w:gridCol w:w="4677"/>
      </w:tblGrid>
      <w:tr>
        <w:tc>
          <w:tcPr>
            <w:tcW w:type="dxa" w:w="4677"/>
            <w:tcBorders>
              <w:top w:val="none" w:color="FFFFFF" w:sz="0"/>
              <w:left w:val="none" w:color="FFFFFF" w:sz="0"/>
              <w:bottom w:val="none" w:color="FFFFFF" w:sz="0"/>
              <w:right w:val="none" w:color="FFFFFF" w:sz="0"/>
            </w:tcBorders>
          </w:tcPr>
          <w:p>
            <w:pPr>
              <w:spacing w:after="40"/>
            </w:pPr>
            <w:r>
              <w:rPr>
                <w:rFonts w:ascii="Times New Roman" w:cs="Times New Roman" w:eastAsia="Times New Roman" w:hAnsi="Times New Roman"/>
                <w:sz w:val="28"/>
                <w:szCs w:val="28"/>
              </w:rPr>
              <w:t xml:space="preserve">________________</w:t>
            </w:r>
          </w:p>
          <w:p>
            <w:pPr>
              <w:spacing w:after="40"/>
            </w:pPr>
            <w:r>
              <w:rPr>
                <w:rFonts w:ascii="Times New Roman" w:cs="Times New Roman" w:eastAsia="Times New Roman" w:hAnsi="Times New Roman"/>
                <w:sz w:val="28"/>
                <w:szCs w:val="28"/>
              </w:rPr>
              <w:t xml:space="preserve">(должность)</w:t>
            </w:r>
          </w:p>
          <w:p>
            <w:pPr>
              <w:spacing w:after="40"/>
            </w:pPr>
            <w:r>
              <w:rPr>
                <w:rFonts w:ascii="Times New Roman" w:cs="Times New Roman" w:eastAsia="Times New Roman" w:hAnsi="Times New Roman"/>
                <w:sz w:val="28"/>
                <w:szCs w:val="28"/>
              </w:rPr>
              <w:t xml:space="preserve">________________</w:t>
            </w:r>
          </w:p>
          <w:p>
            <w:pPr>
              <w:spacing w:after="40"/>
            </w:pPr>
            <w:r>
              <w:rPr>
                <w:rFonts w:ascii="Times New Roman" w:cs="Times New Roman" w:eastAsia="Times New Roman" w:hAnsi="Times New Roman"/>
                <w:sz w:val="28"/>
                <w:szCs w:val="28"/>
              </w:rPr>
              <w:t xml:space="preserve">(фамилия и инициалы представителя заказчика)</w:t>
            </w:r>
          </w:p>
          <w:p>
            <w:pPr>
              <w:spacing w:after="40"/>
            </w:pPr>
            <w:r>
              <w:rPr>
                <w:rFonts w:ascii="Times New Roman" w:cs="Times New Roman" w:eastAsia="Times New Roman" w:hAnsi="Times New Roman"/>
                <w:sz w:val="28"/>
                <w:szCs w:val="28"/>
              </w:rPr>
              <w:t xml:space="preserve">«___» __________ 20__ г.</w:t>
            </w:r>
          </w:p>
          <w:p>
            <w:pPr>
              <w:spacing w:after="40"/>
            </w:pPr>
            <w:r>
              <w:rPr>
                <w:rFonts w:ascii="Times New Roman" w:cs="Times New Roman" w:eastAsia="Times New Roman" w:hAnsi="Times New Roman"/>
                <w:sz w:val="28"/>
                <w:szCs w:val="28"/>
              </w:rPr>
              <w:t xml:space="preserve">________________</w:t>
            </w:r>
          </w:p>
          <w:p>
            <w:pPr>
              <w:spacing w:after="40"/>
            </w:pPr>
            <w:r>
              <w:rPr>
                <w:rFonts w:ascii="Times New Roman" w:cs="Times New Roman" w:eastAsia="Times New Roman" w:hAnsi="Times New Roman"/>
                <w:sz w:val="28"/>
                <w:szCs w:val="28"/>
              </w:rPr>
              <w:t xml:space="preserve">(подпись)</w:t>
            </w:r>
          </w:p>
          <w:p>
            <w:pPr>
              <w:spacing w:after="40"/>
            </w:pPr>
            <w:r>
              <w:rPr>
                <w:rFonts w:ascii="Times New Roman" w:cs="Times New Roman" w:eastAsia="Times New Roman" w:hAnsi="Times New Roman"/>
                <w:sz w:val="28"/>
                <w:szCs w:val="28"/>
              </w:rPr>
              <w:t xml:space="preserve">М. П.</w:t>
            </w:r>
          </w:p>
        </w:tc>
        <w:tc>
          <w:tcPr>
            <w:tcW w:type="dxa" w:w="4677"/>
            <w:tcBorders>
              <w:top w:val="none" w:color="FFFFFF" w:sz="0"/>
              <w:left w:val="none" w:color="FFFFFF" w:sz="0"/>
              <w:bottom w:val="none" w:color="FFFFFF" w:sz="0"/>
              <w:right w:val="none" w:color="FFFFFF" w:sz="0"/>
            </w:tcBorders>
          </w:tcPr>
          <w:p>
            <w:pPr>
              <w:spacing w:after="40"/>
            </w:pPr>
            <w:r>
              <w:rPr>
                <w:rFonts w:ascii="Times New Roman" w:cs="Times New Roman" w:eastAsia="Times New Roman" w:hAnsi="Times New Roman"/>
                <w:sz w:val="28"/>
                <w:szCs w:val="28"/>
              </w:rPr>
              <w:t xml:space="preserve">________________</w:t>
            </w:r>
          </w:p>
          <w:p>
            <w:pPr>
              <w:spacing w:after="40"/>
            </w:pPr>
            <w:r>
              <w:rPr>
                <w:rFonts w:ascii="Times New Roman" w:cs="Times New Roman" w:eastAsia="Times New Roman" w:hAnsi="Times New Roman"/>
                <w:sz w:val="28"/>
                <w:szCs w:val="28"/>
              </w:rPr>
              <w:t xml:space="preserve">(должность)</w:t>
            </w:r>
          </w:p>
          <w:p>
            <w:pPr>
              <w:spacing w:after="40"/>
            </w:pPr>
            <w:r>
              <w:rPr>
                <w:rFonts w:ascii="Times New Roman" w:cs="Times New Roman" w:eastAsia="Times New Roman" w:hAnsi="Times New Roman"/>
                <w:sz w:val="28"/>
                <w:szCs w:val="28"/>
              </w:rPr>
              <w:t xml:space="preserve">________________</w:t>
            </w:r>
          </w:p>
          <w:p>
            <w:pPr>
              <w:spacing w:after="40"/>
            </w:pPr>
            <w:r>
              <w:rPr>
                <w:rFonts w:ascii="Times New Roman" w:cs="Times New Roman" w:eastAsia="Times New Roman" w:hAnsi="Times New Roman"/>
                <w:sz w:val="28"/>
                <w:szCs w:val="28"/>
              </w:rPr>
              <w:t xml:space="preserve">(фамилия и инициалы представителя подрядчика)</w:t>
            </w:r>
          </w:p>
          <w:p>
            <w:pPr>
              <w:spacing w:after="40"/>
            </w:pPr>
            <w:r>
              <w:rPr>
                <w:rFonts w:ascii="Times New Roman" w:cs="Times New Roman" w:eastAsia="Times New Roman" w:hAnsi="Times New Roman"/>
                <w:sz w:val="28"/>
                <w:szCs w:val="28"/>
              </w:rPr>
              <w:t xml:space="preserve">«___» __________ 20__ г.</w:t>
            </w:r>
          </w:p>
          <w:p>
            <w:pPr>
              <w:spacing w:after="40"/>
            </w:pPr>
            <w:r>
              <w:rPr>
                <w:rFonts w:ascii="Times New Roman" w:cs="Times New Roman" w:eastAsia="Times New Roman" w:hAnsi="Times New Roman"/>
                <w:sz w:val="28"/>
                <w:szCs w:val="28"/>
              </w:rPr>
              <w:t xml:space="preserve">________________</w:t>
            </w:r>
          </w:p>
          <w:p>
            <w:pPr>
              <w:spacing w:after="40"/>
            </w:pPr>
            <w:r>
              <w:rPr>
                <w:rFonts w:ascii="Times New Roman" w:cs="Times New Roman" w:eastAsia="Times New Roman" w:hAnsi="Times New Roman"/>
                <w:sz w:val="28"/>
                <w:szCs w:val="28"/>
              </w:rPr>
              <w:t xml:space="preserve">(подпись)</w:t>
            </w:r>
          </w:p>
          <w:p>
            <w:pPr>
              <w:spacing w:after="40"/>
            </w:pPr>
            <w:r>
              <w:rPr>
                <w:rFonts w:ascii="Times New Roman" w:cs="Times New Roman" w:eastAsia="Times New Roman" w:hAnsi="Times New Roman"/>
                <w:sz w:val="28"/>
                <w:szCs w:val="28"/>
              </w:rPr>
              <w:t xml:space="preserve">М. П.</w:t>
            </w:r>
          </w:p>
        </w:tc>
      </w:tr>
    </w:tbl>
    <w:p>
      <w:pPr>
        <w:pStyle w:val="Heading2"/>
        <w:pageBreakBefore/>
        <w:spacing w:after="80"/>
        <w:jc w:val="center"/>
      </w:pPr>
      <w:r>
        <w:rPr>
          <w:rFonts w:ascii="Times New Roman" w:cs="Times New Roman" w:eastAsia="Times New Roman" w:hAnsi="Times New Roman"/>
          <w:b/>
          <w:bCs/>
          <w:sz w:val="32"/>
          <w:szCs w:val="32"/>
        </w:rPr>
        <w:t xml:space="preserve">Форма Ж.2 – Акт комплексных испытаний на работоспособность СОУЭ</w:t>
      </w:r>
    </w:p>
    <w:p>
      <w:pPr>
        <w:spacing w:after="80"/>
        <w:ind w:firstLine="709"/>
        <w:jc w:val="both"/>
      </w:pPr>
      <w:r>
        <w:rPr>
          <w:rFonts w:ascii="Times New Roman" w:cs="Times New Roman" w:eastAsia="Times New Roman" w:hAnsi="Times New Roman"/>
          <w:sz w:val="24"/>
          <w:szCs w:val="24"/>
        </w:rPr>
        <w:t xml:space="preserve">Основание: ГОСТ Р 59639-2021, приложение А, форма А.3 (рекомендуемая). Текст формы воспроизведён по форме А.3; данные объекта внесены. Таблица измерения уровня звука в форму А.3 не входит и оформляется приложением к акту по методике Б.4.1 ГОСТ Р 59639-2021.</w:t>
      </w:r>
    </w:p>
    <w:p>
      <w:pPr>
        <w:keepNext/>
        <w:spacing w:after="0" w:before="0"/>
        <w:jc w:val="center"/>
      </w:pPr>
      <w:r>
        <w:rPr>
          <w:rFonts w:ascii="Times New Roman" w:cs="Times New Roman" w:eastAsia="Times New Roman" w:hAnsi="Times New Roman"/>
          <w:b/>
          <w:bCs/>
          <w:sz w:val="32"/>
          <w:szCs w:val="32"/>
        </w:rPr>
        <w:t xml:space="preserve">АКТ</w:t>
      </w:r>
    </w:p>
    <w:p>
      <w:pPr>
        <w:keepNext/>
        <w:spacing w:after="0" w:before="0"/>
        <w:jc w:val="center"/>
      </w:pPr>
      <w:r>
        <w:rPr>
          <w:rFonts w:ascii="Times New Roman" w:cs="Times New Roman" w:eastAsia="Times New Roman" w:hAnsi="Times New Roman"/>
          <w:b/>
          <w:bCs/>
        </w:rPr>
        <w:t xml:space="preserve">комплексных испытаний на работоспособность</w:t>
      </w:r>
    </w:p>
    <w:p>
      <w:pPr>
        <w:keepNext/>
        <w:spacing w:after="120" w:before="0"/>
        <w:jc w:val="center"/>
      </w:pPr>
      <w:r>
        <w:rPr>
          <w:rFonts w:ascii="Times New Roman" w:cs="Times New Roman" w:eastAsia="Times New Roman" w:hAnsi="Times New Roman"/>
          <w:b/>
          <w:bCs/>
        </w:rPr>
        <w:t xml:space="preserve">системы оповещения и управления эвакуацией людей при пожаре</w:t>
      </w:r>
    </w:p>
    <w:p>
      <w:pPr>
        <w:spacing w:after="60" w:line="276"/>
        <w:ind w:firstLine="709"/>
        <w:jc w:val="both"/>
      </w:pPr>
      <w:r>
        <w:rPr>
          <w:rFonts w:ascii="Times New Roman" w:cs="Times New Roman" w:eastAsia="Times New Roman" w:hAnsi="Times New Roman"/>
        </w:rPr>
        <w:t xml:space="preserve">Проведены комплексные испытания на работоспособность СОУЭ ________________________________________________</w:t>
      </w:r>
    </w:p>
    <w:p>
      <w:pPr>
        <w:keepNext/>
        <w:spacing w:after="80" w:before="0"/>
        <w:jc w:val="center"/>
      </w:pPr>
      <w:r>
        <w:rPr>
          <w:rFonts w:ascii="Times New Roman" w:cs="Times New Roman" w:eastAsia="Times New Roman" w:hAnsi="Times New Roman"/>
          <w:sz w:val="24"/>
          <w:szCs w:val="24"/>
        </w:rPr>
        <w:t xml:space="preserve">(полное наименование юридического лица или фамилия и инициалы индивидуального предпринимателя, проводившего проверку (работы))</w:t>
      </w:r>
    </w:p>
    <w:p>
      <w:pPr>
        <w:spacing w:after="60" w:line="276"/>
        <w:ind w:firstLine="709"/>
        <w:jc w:val="both"/>
      </w:pPr>
      <w:r>
        <w:rPr>
          <w:rFonts w:ascii="Times New Roman" w:cs="Times New Roman" w:eastAsia="Times New Roman" w:hAnsi="Times New Roman"/>
        </w:rPr>
        <w:t xml:space="preserve">на объекте: «Завод по производству, хранению, отгрузке смазочных материалов» филиала ООО «ЛЛК-Интернешнл» в с. Ворсино,</w:t>
      </w:r>
    </w:p>
    <w:p>
      <w:pPr>
        <w:spacing w:after="60" w:line="276"/>
        <w:ind w:firstLine="709"/>
        <w:jc w:val="both"/>
      </w:pPr>
      <w:r>
        <w:rPr>
          <w:rFonts w:ascii="Times New Roman" w:cs="Times New Roman" w:eastAsia="Times New Roman" w:hAnsi="Times New Roman"/>
        </w:rPr>
        <w:t xml:space="preserve">расположенном по адресу: Калужская обл., Боровский р-н, с. Ворсино, Северная промышленная зона, владение 8.</w:t>
      </w:r>
    </w:p>
    <w:p>
      <w:pPr>
        <w:spacing w:after="60" w:line="276"/>
        <w:ind w:firstLine="709"/>
        <w:jc w:val="both"/>
      </w:pPr>
      <w:r>
        <w:rPr>
          <w:rFonts w:ascii="Times New Roman" w:cs="Times New Roman" w:eastAsia="Times New Roman" w:hAnsi="Times New Roman"/>
        </w:rPr>
        <w:t xml:space="preserve">Комплексные испытания на работоспособность СОУЭ проводились в период с «___» __________ 20__ г. по «___» __________ 20__ г. в соответствии с проектом № ________, выполненным ________________________________________________</w:t>
      </w:r>
    </w:p>
    <w:p>
      <w:pPr>
        <w:keepNext/>
        <w:spacing w:after="80" w:before="0"/>
        <w:jc w:val="center"/>
      </w:pPr>
      <w:r>
        <w:rPr>
          <w:rFonts w:ascii="Times New Roman" w:cs="Times New Roman" w:eastAsia="Times New Roman" w:hAnsi="Times New Roman"/>
          <w:sz w:val="24"/>
          <w:szCs w:val="24"/>
        </w:rPr>
        <w:t xml:space="preserve">(наименование проектировщика)</w:t>
      </w:r>
    </w:p>
    <w:p>
      <w:pPr>
        <w:spacing w:after="60" w:line="276"/>
        <w:ind w:firstLine="709"/>
        <w:jc w:val="both"/>
      </w:pPr>
      <w:r>
        <w:rPr>
          <w:rFonts w:ascii="Times New Roman" w:cs="Times New Roman" w:eastAsia="Times New Roman" w:hAnsi="Times New Roman"/>
        </w:rPr>
        <w:t xml:space="preserve">В результате комплексных испытаний на работоспособность СОУЭ установлено: ________________________________________________</w:t>
      </w:r>
    </w:p>
    <w:p>
      <w:pPr>
        <w:keepNext/>
        <w:spacing w:after="120" w:before="0"/>
        <w:jc w:val="center"/>
      </w:pPr>
      <w:r>
        <w:rPr>
          <w:rFonts w:ascii="Times New Roman" w:cs="Times New Roman" w:eastAsia="Times New Roman" w:hAnsi="Times New Roman"/>
          <w:sz w:val="24"/>
          <w:szCs w:val="24"/>
        </w:rPr>
        <w:t xml:space="preserve">(указывается работоспособность (неработоспособность) СОУЭ)</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4677"/>
        <w:gridCol w:w="4677"/>
      </w:tblGrid>
      <w:tr>
        <w:tc>
          <w:tcPr>
            <w:tcW w:type="dxa" w:w="4677"/>
            <w:tcBorders>
              <w:top w:val="none" w:color="FFFFFF" w:sz="0"/>
              <w:left w:val="none" w:color="FFFFFF" w:sz="0"/>
              <w:bottom w:val="none" w:color="FFFFFF" w:sz="0"/>
              <w:right w:val="none" w:color="FFFFFF" w:sz="0"/>
            </w:tcBorders>
          </w:tcPr>
          <w:p>
            <w:pPr>
              <w:spacing w:after="40"/>
            </w:pPr>
            <w:r>
              <w:rPr>
                <w:rFonts w:ascii="Times New Roman" w:cs="Times New Roman" w:eastAsia="Times New Roman" w:hAnsi="Times New Roman"/>
                <w:sz w:val="28"/>
                <w:szCs w:val="28"/>
              </w:rPr>
              <w:t xml:space="preserve">________________</w:t>
            </w:r>
          </w:p>
          <w:p>
            <w:pPr>
              <w:spacing w:after="40"/>
            </w:pPr>
            <w:r>
              <w:rPr>
                <w:rFonts w:ascii="Times New Roman" w:cs="Times New Roman" w:eastAsia="Times New Roman" w:hAnsi="Times New Roman"/>
                <w:sz w:val="28"/>
                <w:szCs w:val="28"/>
              </w:rPr>
              <w:t xml:space="preserve">(должность)</w:t>
            </w:r>
          </w:p>
          <w:p>
            <w:pPr>
              <w:spacing w:after="40"/>
            </w:pPr>
            <w:r>
              <w:rPr>
                <w:rFonts w:ascii="Times New Roman" w:cs="Times New Roman" w:eastAsia="Times New Roman" w:hAnsi="Times New Roman"/>
                <w:sz w:val="28"/>
                <w:szCs w:val="28"/>
              </w:rPr>
              <w:t xml:space="preserve">________________</w:t>
            </w:r>
          </w:p>
          <w:p>
            <w:pPr>
              <w:spacing w:after="40"/>
            </w:pPr>
            <w:r>
              <w:rPr>
                <w:rFonts w:ascii="Times New Roman" w:cs="Times New Roman" w:eastAsia="Times New Roman" w:hAnsi="Times New Roman"/>
                <w:sz w:val="28"/>
                <w:szCs w:val="28"/>
              </w:rPr>
              <w:t xml:space="preserve">(фамилия и инициалы представителя заказчика)</w:t>
            </w:r>
          </w:p>
          <w:p>
            <w:pPr>
              <w:spacing w:after="40"/>
            </w:pPr>
            <w:r>
              <w:rPr>
                <w:rFonts w:ascii="Times New Roman" w:cs="Times New Roman" w:eastAsia="Times New Roman" w:hAnsi="Times New Roman"/>
                <w:sz w:val="28"/>
                <w:szCs w:val="28"/>
              </w:rPr>
              <w:t xml:space="preserve">«___» __________ 20__ г.</w:t>
            </w:r>
          </w:p>
          <w:p>
            <w:pPr>
              <w:spacing w:after="40"/>
            </w:pPr>
            <w:r>
              <w:rPr>
                <w:rFonts w:ascii="Times New Roman" w:cs="Times New Roman" w:eastAsia="Times New Roman" w:hAnsi="Times New Roman"/>
                <w:sz w:val="28"/>
                <w:szCs w:val="28"/>
              </w:rPr>
              <w:t xml:space="preserve">________________</w:t>
            </w:r>
          </w:p>
          <w:p>
            <w:pPr>
              <w:spacing w:after="40"/>
            </w:pPr>
            <w:r>
              <w:rPr>
                <w:rFonts w:ascii="Times New Roman" w:cs="Times New Roman" w:eastAsia="Times New Roman" w:hAnsi="Times New Roman"/>
                <w:sz w:val="28"/>
                <w:szCs w:val="28"/>
              </w:rPr>
              <w:t xml:space="preserve">(подпись)</w:t>
            </w:r>
          </w:p>
          <w:p>
            <w:pPr>
              <w:spacing w:after="40"/>
            </w:pPr>
            <w:r>
              <w:rPr>
                <w:rFonts w:ascii="Times New Roman" w:cs="Times New Roman" w:eastAsia="Times New Roman" w:hAnsi="Times New Roman"/>
                <w:sz w:val="28"/>
                <w:szCs w:val="28"/>
              </w:rPr>
              <w:t xml:space="preserve">М. П.</w:t>
            </w:r>
          </w:p>
        </w:tc>
        <w:tc>
          <w:tcPr>
            <w:tcW w:type="dxa" w:w="4677"/>
            <w:tcBorders>
              <w:top w:val="none" w:color="FFFFFF" w:sz="0"/>
              <w:left w:val="none" w:color="FFFFFF" w:sz="0"/>
              <w:bottom w:val="none" w:color="FFFFFF" w:sz="0"/>
              <w:right w:val="none" w:color="FFFFFF" w:sz="0"/>
            </w:tcBorders>
          </w:tcPr>
          <w:p>
            <w:pPr>
              <w:spacing w:after="40"/>
            </w:pPr>
            <w:r>
              <w:rPr>
                <w:rFonts w:ascii="Times New Roman" w:cs="Times New Roman" w:eastAsia="Times New Roman" w:hAnsi="Times New Roman"/>
                <w:sz w:val="28"/>
                <w:szCs w:val="28"/>
              </w:rPr>
              <w:t xml:space="preserve">________________</w:t>
            </w:r>
          </w:p>
          <w:p>
            <w:pPr>
              <w:spacing w:after="40"/>
            </w:pPr>
            <w:r>
              <w:rPr>
                <w:rFonts w:ascii="Times New Roman" w:cs="Times New Roman" w:eastAsia="Times New Roman" w:hAnsi="Times New Roman"/>
                <w:sz w:val="28"/>
                <w:szCs w:val="28"/>
              </w:rPr>
              <w:t xml:space="preserve">(должность)</w:t>
            </w:r>
          </w:p>
          <w:p>
            <w:pPr>
              <w:spacing w:after="40"/>
            </w:pPr>
            <w:r>
              <w:rPr>
                <w:rFonts w:ascii="Times New Roman" w:cs="Times New Roman" w:eastAsia="Times New Roman" w:hAnsi="Times New Roman"/>
                <w:sz w:val="28"/>
                <w:szCs w:val="28"/>
              </w:rPr>
              <w:t xml:space="preserve">________________</w:t>
            </w:r>
          </w:p>
          <w:p>
            <w:pPr>
              <w:spacing w:after="40"/>
            </w:pPr>
            <w:r>
              <w:rPr>
                <w:rFonts w:ascii="Times New Roman" w:cs="Times New Roman" w:eastAsia="Times New Roman" w:hAnsi="Times New Roman"/>
                <w:sz w:val="28"/>
                <w:szCs w:val="28"/>
              </w:rPr>
              <w:t xml:space="preserve">(фамилия и инициалы представителя подрядчика)</w:t>
            </w:r>
          </w:p>
          <w:p>
            <w:pPr>
              <w:spacing w:after="40"/>
            </w:pPr>
            <w:r>
              <w:rPr>
                <w:rFonts w:ascii="Times New Roman" w:cs="Times New Roman" w:eastAsia="Times New Roman" w:hAnsi="Times New Roman"/>
                <w:sz w:val="28"/>
                <w:szCs w:val="28"/>
              </w:rPr>
              <w:t xml:space="preserve">«___» __________ 20__ г.</w:t>
            </w:r>
          </w:p>
          <w:p>
            <w:pPr>
              <w:spacing w:after="40"/>
            </w:pPr>
            <w:r>
              <w:rPr>
                <w:rFonts w:ascii="Times New Roman" w:cs="Times New Roman" w:eastAsia="Times New Roman" w:hAnsi="Times New Roman"/>
                <w:sz w:val="28"/>
                <w:szCs w:val="28"/>
              </w:rPr>
              <w:t xml:space="preserve">________________</w:t>
            </w:r>
          </w:p>
          <w:p>
            <w:pPr>
              <w:spacing w:after="40"/>
            </w:pPr>
            <w:r>
              <w:rPr>
                <w:rFonts w:ascii="Times New Roman" w:cs="Times New Roman" w:eastAsia="Times New Roman" w:hAnsi="Times New Roman"/>
                <w:sz w:val="28"/>
                <w:szCs w:val="28"/>
              </w:rPr>
              <w:t xml:space="preserve">(подпись)</w:t>
            </w:r>
          </w:p>
          <w:p>
            <w:pPr>
              <w:spacing w:after="40"/>
            </w:pPr>
            <w:r>
              <w:rPr>
                <w:rFonts w:ascii="Times New Roman" w:cs="Times New Roman" w:eastAsia="Times New Roman" w:hAnsi="Times New Roman"/>
                <w:sz w:val="28"/>
                <w:szCs w:val="28"/>
              </w:rPr>
              <w:t xml:space="preserve">М. П.</w:t>
            </w:r>
          </w:p>
        </w:tc>
      </w:tr>
    </w:tbl>
    <w:p>
      <w:pPr>
        <w:keepNext/>
        <w:spacing w:after="60" w:line="276"/>
        <w:jc w:val="both"/>
      </w:pPr>
      <w:r>
        <w:rPr>
          <w:rFonts w:ascii="Times New Roman" w:cs="Times New Roman" w:eastAsia="Times New Roman" w:hAnsi="Times New Roman"/>
        </w:rPr>
        <w:t xml:space="preserve">Приложение к акту. Результаты измерения уровня звука (микрофон на высоте 1,5 м от пола, ГОСТ Р 59639-2021, Б.4.1)</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450"/>
        <w:gridCol w:w="2100"/>
        <w:gridCol w:w="1500"/>
        <w:gridCol w:w="1350"/>
        <w:gridCol w:w="1450"/>
        <w:gridCol w:w="1500"/>
        <w:gridCol w:w="1004"/>
      </w:tblGrid>
      <w:tr>
        <w:trPr>
          <w:cantSplit/>
          <w:tblHeader/>
        </w:trPr>
        <w:tc>
          <w:tcPr>
            <w:tcW w:type="dxa" w:w="450"/>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4"/>
                <w:szCs w:val="24"/>
              </w:rPr>
              <w:t xml:space="preserve">№</w:t>
            </w:r>
          </w:p>
        </w:tc>
        <w:tc>
          <w:tcPr>
            <w:tcW w:type="dxa" w:w="2100"/>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4"/>
                <w:szCs w:val="24"/>
              </w:rPr>
              <w:t xml:space="preserve">Здание, помещение (зона оповещения)</w:t>
            </w:r>
          </w:p>
        </w:tc>
        <w:tc>
          <w:tcPr>
            <w:tcW w:type="dxa" w:w="1500"/>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4"/>
                <w:szCs w:val="24"/>
              </w:rPr>
              <w:t xml:space="preserve">Точка измерения</w:t>
            </w:r>
          </w:p>
        </w:tc>
        <w:tc>
          <w:tcPr>
            <w:tcW w:type="dxa" w:w="1350"/>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4"/>
                <w:szCs w:val="24"/>
              </w:rPr>
              <w:t xml:space="preserve">Пос­то­ян­ный шум, дБА</w:t>
            </w:r>
          </w:p>
        </w:tc>
        <w:tc>
          <w:tcPr>
            <w:tcW w:type="dxa" w:w="1450"/>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4"/>
                <w:szCs w:val="24"/>
              </w:rPr>
              <w:t xml:space="preserve">Уровень звука при работе СОУЭ, дБА</w:t>
            </w:r>
          </w:p>
        </w:tc>
        <w:tc>
          <w:tcPr>
            <w:tcW w:type="dxa" w:w="1500"/>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4"/>
                <w:szCs w:val="24"/>
              </w:rPr>
              <w:t xml:space="preserve">Ре­фе­рен­сное значение</w:t>
            </w:r>
          </w:p>
        </w:tc>
        <w:tc>
          <w:tcPr>
            <w:tcW w:type="dxa" w:w="1004"/>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4"/>
                <w:szCs w:val="24"/>
              </w:rPr>
              <w:t xml:space="preserve">Со­от­вет-ствие</w:t>
            </w:r>
          </w:p>
        </w:tc>
      </w:tr>
      <w:tr>
        <w:trPr>
          <w:cantSplit/>
        </w:trPr>
        <w:tc>
          <w:tcPr>
            <w:tcW w:type="dxa" w:w="4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2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3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4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00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r>
      <w:tr>
        <w:trPr>
          <w:cantSplit/>
        </w:trPr>
        <w:tc>
          <w:tcPr>
            <w:tcW w:type="dxa" w:w="4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2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3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4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00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r>
      <w:tr>
        <w:trPr>
          <w:cantSplit/>
        </w:trPr>
        <w:tc>
          <w:tcPr>
            <w:tcW w:type="dxa" w:w="4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2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3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4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00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r>
      <w:tr>
        <w:trPr>
          <w:cantSplit/>
        </w:trPr>
        <w:tc>
          <w:tcPr>
            <w:tcW w:type="dxa" w:w="4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2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3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4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00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r>
    </w:tbl>
    <w:p>
      <w:pPr>
        <w:spacing w:after="60"/>
      </w:pPr>
    </w:p>
    <w:p>
      <w:pPr>
        <w:pStyle w:val="Heading2"/>
        <w:pageBreakBefore/>
        <w:spacing w:after="80"/>
        <w:jc w:val="center"/>
      </w:pPr>
      <w:r>
        <w:rPr>
          <w:rFonts w:ascii="Times New Roman" w:cs="Times New Roman" w:eastAsia="Times New Roman" w:hAnsi="Times New Roman"/>
          <w:b/>
          <w:bCs/>
          <w:sz w:val="32"/>
          <w:szCs w:val="32"/>
        </w:rPr>
        <w:t xml:space="preserve">Форма Ж.3 – Акт испытаний АУП на работоспособность</w:t>
      </w:r>
    </w:p>
    <w:p>
      <w:pPr>
        <w:spacing w:after="80"/>
        <w:ind w:firstLine="709"/>
        <w:jc w:val="both"/>
      </w:pPr>
      <w:r>
        <w:rPr>
          <w:rFonts w:ascii="Times New Roman" w:cs="Times New Roman" w:eastAsia="Times New Roman" w:hAnsi="Times New Roman"/>
          <w:sz w:val="24"/>
          <w:szCs w:val="24"/>
        </w:rPr>
        <w:t xml:space="preserve">Основание: ГОСТ Р 59636-2021, раздел 8. Стандарт рекомендуемую форму не устанавливает; результаты, в том числе повторных испытаний, вносят в акт испытаний АУП.</w:t>
      </w:r>
    </w:p>
    <w:p>
      <w:pPr>
        <w:keepNext/>
        <w:spacing w:after="0" w:before="0"/>
        <w:jc w:val="center"/>
      </w:pPr>
      <w:r>
        <w:rPr>
          <w:rFonts w:ascii="Times New Roman" w:cs="Times New Roman" w:eastAsia="Times New Roman" w:hAnsi="Times New Roman"/>
          <w:b/>
          <w:bCs/>
          <w:sz w:val="32"/>
          <w:szCs w:val="32"/>
        </w:rPr>
        <w:t xml:space="preserve">АКТ</w:t>
      </w:r>
    </w:p>
    <w:p>
      <w:pPr>
        <w:keepNext/>
        <w:spacing w:after="120" w:before="0"/>
        <w:jc w:val="center"/>
      </w:pPr>
      <w:r>
        <w:rPr>
          <w:rFonts w:ascii="Times New Roman" w:cs="Times New Roman" w:eastAsia="Times New Roman" w:hAnsi="Times New Roman"/>
          <w:b/>
          <w:bCs/>
        </w:rPr>
        <w:t xml:space="preserve">испытаний автоматической установки пожаротушения на работоспособность</w:t>
      </w:r>
    </w:p>
    <w:p>
      <w:pPr>
        <w:spacing w:after="60" w:line="276"/>
        <w:ind w:firstLine="709"/>
        <w:jc w:val="both"/>
      </w:pPr>
      <w:r>
        <w:rPr>
          <w:rFonts w:ascii="Times New Roman" w:cs="Times New Roman" w:eastAsia="Times New Roman" w:hAnsi="Times New Roman"/>
        </w:rPr>
        <w:t xml:space="preserve">Установка (тип, проектное обозначение, защищаемые помещения): ________________________________________________</w:t>
      </w:r>
    </w:p>
    <w:p>
      <w:pPr>
        <w:spacing w:after="60" w:line="276"/>
        <w:ind w:firstLine="709"/>
        <w:jc w:val="both"/>
      </w:pPr>
      <w:r>
        <w:rPr>
          <w:rFonts w:ascii="Times New Roman" w:cs="Times New Roman" w:eastAsia="Times New Roman" w:hAnsi="Times New Roman"/>
        </w:rPr>
        <w:t xml:space="preserve">Проведены комплексные испытания на работоспособность установки ________________________________________________</w:t>
      </w:r>
    </w:p>
    <w:p>
      <w:pPr>
        <w:keepNext/>
        <w:spacing w:after="80" w:before="0"/>
        <w:jc w:val="center"/>
      </w:pPr>
      <w:r>
        <w:rPr>
          <w:rFonts w:ascii="Times New Roman" w:cs="Times New Roman" w:eastAsia="Times New Roman" w:hAnsi="Times New Roman"/>
          <w:sz w:val="24"/>
          <w:szCs w:val="24"/>
        </w:rPr>
        <w:t xml:space="preserve">(полное наименование юридического лица или фамилия и инициалы индивидуального предпринимателя, проводившего испытания)</w:t>
      </w:r>
    </w:p>
    <w:p>
      <w:pPr>
        <w:spacing w:after="60" w:line="276"/>
        <w:ind w:firstLine="709"/>
        <w:jc w:val="both"/>
      </w:pPr>
      <w:r>
        <w:rPr>
          <w:rFonts w:ascii="Times New Roman" w:cs="Times New Roman" w:eastAsia="Times New Roman" w:hAnsi="Times New Roman"/>
        </w:rPr>
        <w:t xml:space="preserve">на объекте «Завод по производству, хранению, отгрузке смазочных материалов» филиала ООО «ЛЛК-Интернешнл» в с. Ворсино, расположенном по адресу: Калужская обл., Боровский р-н, с. Ворсино, Северная промышленная зона, владение 8,</w:t>
      </w:r>
    </w:p>
    <w:p>
      <w:pPr>
        <w:spacing w:after="60" w:line="276"/>
        <w:ind w:firstLine="709"/>
        <w:jc w:val="both"/>
      </w:pPr>
      <w:r>
        <w:rPr>
          <w:rFonts w:ascii="Times New Roman" w:cs="Times New Roman" w:eastAsia="Times New Roman" w:hAnsi="Times New Roman"/>
        </w:rPr>
        <w:t xml:space="preserve">в период с «___» __________ 2026 г. по «___» __________ 2026 г. в соответствии с проектом № ________, выполненным ________________________, и Программой комплексных испытаний систем противопожарной защиты </w:t>
      </w:r>
      <w:r>
        <w:rPr>
          <w:rFonts w:ascii="Times New Roman" w:cs="Times New Roman" w:eastAsia="Times New Roman" w:hAnsi="Times New Roman"/>
          <w:highlight w:val="yellow"/>
          <w:highlightCs w:val="yellow"/>
        </w:rPr>
        <w:t xml:space="preserve">[обозначение Программы]</w:t>
      </w:r>
      <w:r>
        <w:rPr>
          <w:rFonts w:ascii="Times New Roman" w:cs="Times New Roman" w:eastAsia="Times New Roman" w:hAnsi="Times New Roman"/>
        </w:rPr>
        <w:t xml:space="preserve">.</w:t>
      </w:r>
    </w:p>
    <w:p>
      <w:pPr>
        <w:keepNext/>
        <w:spacing w:after="60" w:line="276"/>
        <w:jc w:val="both"/>
      </w:pPr>
      <w:r>
        <w:rPr>
          <w:rFonts w:ascii="Times New Roman" w:cs="Times New Roman" w:eastAsia="Times New Roman" w:hAnsi="Times New Roman"/>
        </w:rPr>
        <w:t xml:space="preserve">Результаты испытаний:</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450"/>
        <w:gridCol w:w="1700"/>
        <w:gridCol w:w="900"/>
        <w:gridCol w:w="1000"/>
        <w:gridCol w:w="2000"/>
        <w:gridCol w:w="1500"/>
        <w:gridCol w:w="1000"/>
        <w:gridCol w:w="804"/>
      </w:tblGrid>
      <w:tr>
        <w:trPr>
          <w:cantSplit/>
          <w:tblHeader/>
        </w:trPr>
        <w:tc>
          <w:tcPr>
            <w:tcW w:type="dxa" w:w="450"/>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4"/>
                <w:szCs w:val="24"/>
              </w:rPr>
              <w:t xml:space="preserve">№</w:t>
            </w:r>
          </w:p>
        </w:tc>
        <w:tc>
          <w:tcPr>
            <w:tcW w:type="dxa" w:w="1700"/>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4"/>
                <w:szCs w:val="24"/>
              </w:rPr>
              <w:t xml:space="preserve">Секция (направление), помещение</w:t>
            </w:r>
          </w:p>
        </w:tc>
        <w:tc>
          <w:tcPr>
            <w:tcW w:type="dxa" w:w="900"/>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4"/>
                <w:szCs w:val="24"/>
              </w:rPr>
              <w:t xml:space="preserve">ОТВ</w:t>
            </w:r>
          </w:p>
        </w:tc>
        <w:tc>
          <w:tcPr>
            <w:tcW w:type="dxa" w:w="1000"/>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4"/>
                <w:szCs w:val="24"/>
              </w:rPr>
              <w:t xml:space="preserve">Код про­вер­ки</w:t>
            </w:r>
          </w:p>
        </w:tc>
        <w:tc>
          <w:tcPr>
            <w:tcW w:type="dxa" w:w="2000"/>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4"/>
                <w:szCs w:val="24"/>
              </w:rPr>
              <w:t xml:space="preserve">Параметр и референсное значение (документ, пункт)</w:t>
            </w:r>
          </w:p>
        </w:tc>
        <w:tc>
          <w:tcPr>
            <w:tcW w:type="dxa" w:w="1500"/>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4"/>
                <w:szCs w:val="24"/>
              </w:rPr>
              <w:t xml:space="preserve">Фак­ти­чес­кое значение</w:t>
            </w:r>
          </w:p>
        </w:tc>
        <w:tc>
          <w:tcPr>
            <w:tcW w:type="dxa" w:w="1000"/>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4"/>
                <w:szCs w:val="24"/>
              </w:rPr>
              <w:t xml:space="preserve">СИ</w:t>
            </w:r>
          </w:p>
        </w:tc>
        <w:tc>
          <w:tcPr>
            <w:tcW w:type="dxa" w:w="804"/>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4"/>
                <w:szCs w:val="24"/>
              </w:rPr>
              <w:t xml:space="preserve">Со­от­вет-ствие</w:t>
            </w:r>
          </w:p>
        </w:tc>
      </w:tr>
      <w:tr>
        <w:trPr>
          <w:cantSplit/>
        </w:trPr>
        <w:tc>
          <w:tcPr>
            <w:tcW w:type="dxa" w:w="4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9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2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80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r>
      <w:tr>
        <w:trPr>
          <w:cantSplit/>
        </w:trPr>
        <w:tc>
          <w:tcPr>
            <w:tcW w:type="dxa" w:w="4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9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2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80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r>
      <w:tr>
        <w:trPr>
          <w:cantSplit/>
        </w:trPr>
        <w:tc>
          <w:tcPr>
            <w:tcW w:type="dxa" w:w="4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9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2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80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r>
      <w:tr>
        <w:trPr>
          <w:cantSplit/>
        </w:trPr>
        <w:tc>
          <w:tcPr>
            <w:tcW w:type="dxa" w:w="4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9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2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80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r>
      <w:tr>
        <w:trPr>
          <w:cantSplit/>
        </w:trPr>
        <w:tc>
          <w:tcPr>
            <w:tcW w:type="dxa" w:w="4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9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2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80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r>
      <w:tr>
        <w:trPr>
          <w:cantSplit/>
        </w:trPr>
        <w:tc>
          <w:tcPr>
            <w:tcW w:type="dxa" w:w="4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9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2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80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r>
    </w:tbl>
    <w:p>
      <w:pPr>
        <w:spacing w:after="60"/>
      </w:pPr>
    </w:p>
    <w:p>
      <w:pPr>
        <w:spacing w:after="60" w:line="276"/>
        <w:ind w:firstLine="709"/>
        <w:jc w:val="both"/>
      </w:pPr>
      <w:r>
        <w:rPr>
          <w:rFonts w:ascii="Times New Roman" w:cs="Times New Roman" w:eastAsia="Times New Roman" w:hAnsi="Times New Roman"/>
        </w:rPr>
        <w:t xml:space="preserve">Заключение: установка работоспособна / неработоспособна (нужное подчеркнуть). Несоответствия: ________________________________.</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4677"/>
        <w:gridCol w:w="4677"/>
      </w:tblGrid>
      <w:tr>
        <w:tc>
          <w:tcPr>
            <w:tcW w:type="dxa" w:w="4677"/>
            <w:tcBorders>
              <w:top w:val="none" w:color="FFFFFF" w:sz="0"/>
              <w:left w:val="none" w:color="FFFFFF" w:sz="0"/>
              <w:bottom w:val="none" w:color="FFFFFF" w:sz="0"/>
              <w:right w:val="none" w:color="FFFFFF" w:sz="0"/>
            </w:tcBorders>
          </w:tcPr>
          <w:p>
            <w:pPr>
              <w:spacing w:after="40"/>
            </w:pPr>
            <w:r>
              <w:rPr>
                <w:rFonts w:ascii="Times New Roman" w:cs="Times New Roman" w:eastAsia="Times New Roman" w:hAnsi="Times New Roman"/>
                <w:sz w:val="28"/>
                <w:szCs w:val="28"/>
              </w:rPr>
              <w:t xml:space="preserve">Представитель заказчика:</w:t>
            </w:r>
          </w:p>
          <w:p>
            <w:pPr>
              <w:spacing w:after="40"/>
            </w:pPr>
            <w:r>
              <w:rPr>
                <w:rFonts w:ascii="Times New Roman" w:cs="Times New Roman" w:eastAsia="Times New Roman" w:hAnsi="Times New Roman"/>
                <w:sz w:val="28"/>
                <w:szCs w:val="28"/>
              </w:rPr>
              <w:t xml:space="preserve">________________ (должность)</w:t>
            </w:r>
          </w:p>
          <w:p>
            <w:pPr>
              <w:spacing w:after="40"/>
            </w:pPr>
            <w:r>
              <w:rPr>
                <w:rFonts w:ascii="Times New Roman" w:cs="Times New Roman" w:eastAsia="Times New Roman" w:hAnsi="Times New Roman"/>
                <w:sz w:val="28"/>
                <w:szCs w:val="28"/>
              </w:rPr>
              <w:t xml:space="preserve">________________ (фамилия и инициалы)</w:t>
            </w:r>
          </w:p>
          <w:p>
            <w:pPr>
              <w:spacing w:after="40"/>
            </w:pPr>
            <w:r>
              <w:rPr>
                <w:rFonts w:ascii="Times New Roman" w:cs="Times New Roman" w:eastAsia="Times New Roman" w:hAnsi="Times New Roman"/>
                <w:sz w:val="28"/>
                <w:szCs w:val="28"/>
              </w:rPr>
              <w:t xml:space="preserve">________________ (подпись)</w:t>
            </w:r>
          </w:p>
          <w:p>
            <w:pPr>
              <w:spacing w:after="40"/>
            </w:pPr>
            <w:r>
              <w:rPr>
                <w:rFonts w:ascii="Times New Roman" w:cs="Times New Roman" w:eastAsia="Times New Roman" w:hAnsi="Times New Roman"/>
                <w:sz w:val="28"/>
                <w:szCs w:val="28"/>
              </w:rPr>
              <w:t xml:space="preserve">«___» __________ 2026 г.</w:t>
            </w:r>
          </w:p>
          <w:p>
            <w:pPr>
              <w:spacing w:after="40"/>
            </w:pPr>
            <w:r>
              <w:rPr>
                <w:rFonts w:ascii="Times New Roman" w:cs="Times New Roman" w:eastAsia="Times New Roman" w:hAnsi="Times New Roman"/>
                <w:sz w:val="28"/>
                <w:szCs w:val="28"/>
              </w:rPr>
              <w:t xml:space="preserve">М. П.</w:t>
            </w:r>
          </w:p>
        </w:tc>
        <w:tc>
          <w:tcPr>
            <w:tcW w:type="dxa" w:w="4677"/>
            <w:tcBorders>
              <w:top w:val="none" w:color="FFFFFF" w:sz="0"/>
              <w:left w:val="none" w:color="FFFFFF" w:sz="0"/>
              <w:bottom w:val="none" w:color="FFFFFF" w:sz="0"/>
              <w:right w:val="none" w:color="FFFFFF" w:sz="0"/>
            </w:tcBorders>
          </w:tcPr>
          <w:p>
            <w:pPr>
              <w:spacing w:after="40"/>
            </w:pPr>
            <w:r>
              <w:rPr>
                <w:rFonts w:ascii="Times New Roman" w:cs="Times New Roman" w:eastAsia="Times New Roman" w:hAnsi="Times New Roman"/>
                <w:sz w:val="28"/>
                <w:szCs w:val="28"/>
              </w:rPr>
              <w:t xml:space="preserve">Представитель подрядчика:</w:t>
            </w:r>
          </w:p>
          <w:p>
            <w:pPr>
              <w:spacing w:after="40"/>
            </w:pPr>
            <w:r>
              <w:rPr>
                <w:rFonts w:ascii="Times New Roman" w:cs="Times New Roman" w:eastAsia="Times New Roman" w:hAnsi="Times New Roman"/>
                <w:sz w:val="28"/>
                <w:szCs w:val="28"/>
              </w:rPr>
              <w:t xml:space="preserve">________________ (должность)</w:t>
            </w:r>
          </w:p>
          <w:p>
            <w:pPr>
              <w:spacing w:after="40"/>
            </w:pPr>
            <w:r>
              <w:rPr>
                <w:rFonts w:ascii="Times New Roman" w:cs="Times New Roman" w:eastAsia="Times New Roman" w:hAnsi="Times New Roman"/>
                <w:sz w:val="28"/>
                <w:szCs w:val="28"/>
              </w:rPr>
              <w:t xml:space="preserve">________________ (фамилия и инициалы)</w:t>
            </w:r>
          </w:p>
          <w:p>
            <w:pPr>
              <w:spacing w:after="40"/>
            </w:pPr>
            <w:r>
              <w:rPr>
                <w:rFonts w:ascii="Times New Roman" w:cs="Times New Roman" w:eastAsia="Times New Roman" w:hAnsi="Times New Roman"/>
                <w:sz w:val="28"/>
                <w:szCs w:val="28"/>
              </w:rPr>
              <w:t xml:space="preserve">________________ (подпись)</w:t>
            </w:r>
          </w:p>
          <w:p>
            <w:pPr>
              <w:spacing w:after="40"/>
            </w:pPr>
            <w:r>
              <w:rPr>
                <w:rFonts w:ascii="Times New Roman" w:cs="Times New Roman" w:eastAsia="Times New Roman" w:hAnsi="Times New Roman"/>
                <w:sz w:val="28"/>
                <w:szCs w:val="28"/>
              </w:rPr>
              <w:t xml:space="preserve">«___» __________ 2026 г.</w:t>
            </w:r>
          </w:p>
          <w:p>
            <w:pPr>
              <w:spacing w:after="40"/>
            </w:pPr>
            <w:r>
              <w:rPr>
                <w:rFonts w:ascii="Times New Roman" w:cs="Times New Roman" w:eastAsia="Times New Roman" w:hAnsi="Times New Roman"/>
                <w:sz w:val="28"/>
                <w:szCs w:val="28"/>
              </w:rPr>
              <w:t xml:space="preserve">М. П.</w:t>
            </w:r>
          </w:p>
        </w:tc>
      </w:tr>
    </w:tbl>
    <w:p>
      <w:pPr>
        <w:pStyle w:val="Heading2"/>
        <w:pageBreakBefore/>
        <w:spacing w:after="80"/>
        <w:jc w:val="center"/>
      </w:pPr>
      <w:r>
        <w:rPr>
          <w:rFonts w:ascii="Times New Roman" w:cs="Times New Roman" w:eastAsia="Times New Roman" w:hAnsi="Times New Roman"/>
          <w:b/>
          <w:bCs/>
          <w:sz w:val="32"/>
          <w:szCs w:val="32"/>
        </w:rPr>
        <w:t xml:space="preserve">Форма Ж.4 – Акт и протокол испытаний ВПВ на водоотдачу</w:t>
      </w:r>
    </w:p>
    <w:p>
      <w:pPr>
        <w:spacing w:after="80"/>
        <w:ind w:firstLine="709"/>
        <w:jc w:val="both"/>
      </w:pPr>
      <w:r>
        <w:rPr>
          <w:rFonts w:ascii="Times New Roman" w:cs="Times New Roman" w:eastAsia="Times New Roman" w:hAnsi="Times New Roman"/>
          <w:sz w:val="24"/>
          <w:szCs w:val="24"/>
        </w:rPr>
        <w:t xml:space="preserve">Основание: ГОСТ Р 59643-2021, 7.3.11.2 (состав акта) и 7.3.11.3 (состав протокола). Стандарт форму не устанавливает; перечень сведений и граф соответствует 7.3.11.2 и 7.3.11.3. Акт подписывают члены комиссии, протокол – участники испытания.</w:t>
      </w:r>
    </w:p>
    <w:p>
      <w:pPr>
        <w:keepNext/>
        <w:spacing w:after="0" w:before="0"/>
        <w:jc w:val="center"/>
      </w:pPr>
      <w:r>
        <w:rPr>
          <w:rFonts w:ascii="Times New Roman" w:cs="Times New Roman" w:eastAsia="Times New Roman" w:hAnsi="Times New Roman"/>
          <w:b/>
          <w:bCs/>
          <w:sz w:val="32"/>
          <w:szCs w:val="32"/>
        </w:rPr>
        <w:t xml:space="preserve">АКТ (ПРОТОКОЛ)</w:t>
      </w:r>
    </w:p>
    <w:p>
      <w:pPr>
        <w:keepNext/>
        <w:spacing w:after="120" w:before="0"/>
        <w:jc w:val="center"/>
      </w:pPr>
      <w:r>
        <w:rPr>
          <w:rFonts w:ascii="Times New Roman" w:cs="Times New Roman" w:eastAsia="Times New Roman" w:hAnsi="Times New Roman"/>
          <w:b/>
          <w:bCs/>
        </w:rPr>
        <w:t xml:space="preserve">испытаний внутреннего противопожарного водопровода на водоотдачу</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4400"/>
        <w:gridCol w:w="4954"/>
      </w:tblGrid>
      <w:tr>
        <w:trPr>
          <w:cantSplit/>
          <w:tblHeader/>
        </w:trPr>
        <w:tc>
          <w:tcPr>
            <w:tcW w:type="dxa" w:w="4400"/>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4"/>
                <w:szCs w:val="24"/>
              </w:rPr>
              <w:t xml:space="preserve">Сведение</w:t>
            </w:r>
          </w:p>
        </w:tc>
        <w:tc>
          <w:tcPr>
            <w:tcW w:type="dxa" w:w="4954"/>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4"/>
                <w:szCs w:val="24"/>
              </w:rPr>
              <w:t xml:space="preserve">Значение</w:t>
            </w:r>
          </w:p>
        </w:tc>
      </w:tr>
      <w:tr>
        <w:trPr>
          <w:cantSplit/>
        </w:trPr>
        <w:tc>
          <w:tcPr>
            <w:tcW w:type="dxa" w:w="4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Дата, время и место испытаний</w:t>
            </w:r>
          </w:p>
        </w:tc>
        <w:tc>
          <w:tcPr>
            <w:tcW w:type="dxa" w:w="49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r>
      <w:tr>
        <w:trPr>
          <w:cantSplit/>
        </w:trPr>
        <w:tc>
          <w:tcPr>
            <w:tcW w:type="dxa" w:w="4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Наименование здания или его части, ограниченной противопожарными стенами</w:t>
            </w:r>
          </w:p>
        </w:tc>
        <w:tc>
          <w:tcPr>
            <w:tcW w:type="dxa" w:w="49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r>
      <w:tr>
        <w:trPr>
          <w:cantSplit/>
        </w:trPr>
        <w:tc>
          <w:tcPr>
            <w:tcW w:type="dxa" w:w="4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Организация, обслуживающая ВПВ</w:t>
            </w:r>
          </w:p>
        </w:tc>
        <w:tc>
          <w:tcPr>
            <w:tcW w:type="dxa" w:w="49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r>
      <w:tr>
        <w:trPr>
          <w:cantSplit/>
        </w:trPr>
        <w:tc>
          <w:tcPr>
            <w:tcW w:type="dxa" w:w="4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Номера стояков и ПК по гидравлической схеме</w:t>
            </w:r>
          </w:p>
        </w:tc>
        <w:tc>
          <w:tcPr>
            <w:tcW w:type="dxa" w:w="49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r>
      <w:tr>
        <w:trPr>
          <w:cantSplit/>
        </w:trPr>
        <w:tc>
          <w:tcPr>
            <w:tcW w:type="dxa" w:w="4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Тип клапана ПК</w:t>
            </w:r>
          </w:p>
        </w:tc>
        <w:tc>
          <w:tcPr>
            <w:tcW w:type="dxa" w:w="49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r>
      <w:tr>
        <w:trPr>
          <w:cantSplit/>
        </w:trPr>
        <w:tc>
          <w:tcPr>
            <w:tcW w:type="dxa" w:w="4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Тип ручного пожарного ствола</w:t>
            </w:r>
          </w:p>
        </w:tc>
        <w:tc>
          <w:tcPr>
            <w:tcW w:type="dxa" w:w="49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r>
      <w:tr>
        <w:trPr>
          <w:cantSplit/>
        </w:trPr>
        <w:tc>
          <w:tcPr>
            <w:tcW w:type="dxa" w:w="4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Длина и диаметр пожарного рукава</w:t>
            </w:r>
          </w:p>
        </w:tc>
        <w:tc>
          <w:tcPr>
            <w:tcW w:type="dxa" w:w="49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r>
      <w:tr>
        <w:trPr>
          <w:cantSplit/>
        </w:trPr>
        <w:tc>
          <w:tcPr>
            <w:tcW w:type="dxa" w:w="4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Количество и номера одновременно испытываемых ПК</w:t>
            </w:r>
          </w:p>
        </w:tc>
        <w:tc>
          <w:tcPr>
            <w:tcW w:type="dxa" w:w="49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r>
      <w:tr>
        <w:trPr>
          <w:cantSplit/>
        </w:trPr>
        <w:tc>
          <w:tcPr>
            <w:tcW w:type="dxa" w:w="4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Тип насоса (насосной установки)</w:t>
            </w:r>
          </w:p>
        </w:tc>
        <w:tc>
          <w:tcPr>
            <w:tcW w:type="dxa" w:w="49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r>
      <w:tr>
        <w:trPr>
          <w:cantSplit/>
        </w:trPr>
        <w:tc>
          <w:tcPr>
            <w:tcW w:type="dxa" w:w="4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Минимально допустимое давление у клапана или ствола диктующего ПК при наибольшем водопотреблении на хозяйственные нужды</w:t>
            </w:r>
          </w:p>
        </w:tc>
        <w:tc>
          <w:tcPr>
            <w:tcW w:type="dxa" w:w="49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r>
    </w:tbl>
    <w:p>
      <w:pPr>
        <w:spacing w:after="60"/>
      </w:pPr>
    </w:p>
    <w:p>
      <w:pPr>
        <w:keepNext/>
        <w:spacing w:after="60" w:line="276"/>
        <w:jc w:val="both"/>
      </w:pPr>
      <w:r>
        <w:rPr>
          <w:rFonts w:ascii="Times New Roman" w:cs="Times New Roman" w:eastAsia="Times New Roman" w:hAnsi="Times New Roman"/>
        </w:rPr>
        <w:t xml:space="preserve">Результаты измерений:</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450"/>
        <w:gridCol w:w="1500"/>
        <w:gridCol w:w="1600"/>
        <w:gridCol w:w="1500"/>
        <w:gridCol w:w="1500"/>
        <w:gridCol w:w="1700"/>
        <w:gridCol w:w="1104"/>
      </w:tblGrid>
      <w:tr>
        <w:trPr>
          <w:cantSplit/>
          <w:tblHeader/>
        </w:trPr>
        <w:tc>
          <w:tcPr>
            <w:tcW w:type="dxa" w:w="450"/>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4"/>
                <w:szCs w:val="24"/>
              </w:rPr>
              <w:t xml:space="preserve">№</w:t>
            </w:r>
          </w:p>
        </w:tc>
        <w:tc>
          <w:tcPr>
            <w:tcW w:type="dxa" w:w="1500"/>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4"/>
                <w:szCs w:val="24"/>
              </w:rPr>
              <w:t xml:space="preserve">ПК (стояк, номер)</w:t>
            </w:r>
          </w:p>
        </w:tc>
        <w:tc>
          <w:tcPr>
            <w:tcW w:type="dxa" w:w="1600"/>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4"/>
                <w:szCs w:val="24"/>
              </w:rPr>
              <w:t xml:space="preserve">Давление у клапана ПК при наибольшем хо­зяй­ствен­ном во­до­пот­реб­ле­нии: допустимое / измеренное, МПа</w:t>
            </w:r>
          </w:p>
        </w:tc>
        <w:tc>
          <w:tcPr>
            <w:tcW w:type="dxa" w:w="1500"/>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4"/>
                <w:szCs w:val="24"/>
              </w:rPr>
              <w:t xml:space="preserve">Расход: требуемый / из­ме­рен­ный (расчётный), л/с</w:t>
            </w:r>
          </w:p>
        </w:tc>
        <w:tc>
          <w:tcPr>
            <w:tcW w:type="dxa" w:w="1500"/>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4"/>
                <w:szCs w:val="24"/>
              </w:rPr>
              <w:t xml:space="preserve">Высота ком­пак­тной струи, м</w:t>
            </w:r>
          </w:p>
        </w:tc>
        <w:tc>
          <w:tcPr>
            <w:tcW w:type="dxa" w:w="1700"/>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4"/>
                <w:szCs w:val="24"/>
              </w:rPr>
              <w:t xml:space="preserve">Требование (СП 10.13130.2020, проект)</w:t>
            </w:r>
          </w:p>
        </w:tc>
        <w:tc>
          <w:tcPr>
            <w:tcW w:type="dxa" w:w="1104"/>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4"/>
                <w:szCs w:val="24"/>
              </w:rPr>
              <w:t xml:space="preserve">Со­от­вет-ствие</w:t>
            </w:r>
          </w:p>
        </w:tc>
      </w:tr>
      <w:tr>
        <w:trPr>
          <w:cantSplit/>
        </w:trPr>
        <w:tc>
          <w:tcPr>
            <w:tcW w:type="dxa" w:w="4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10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r>
      <w:tr>
        <w:trPr>
          <w:cantSplit/>
        </w:trPr>
        <w:tc>
          <w:tcPr>
            <w:tcW w:type="dxa" w:w="4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10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r>
      <w:tr>
        <w:trPr>
          <w:cantSplit/>
        </w:trPr>
        <w:tc>
          <w:tcPr>
            <w:tcW w:type="dxa" w:w="4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10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r>
      <w:tr>
        <w:trPr>
          <w:cantSplit/>
        </w:trPr>
        <w:tc>
          <w:tcPr>
            <w:tcW w:type="dxa" w:w="4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10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r>
    </w:tbl>
    <w:p>
      <w:pPr>
        <w:spacing w:after="60"/>
      </w:pPr>
    </w:p>
    <w:p>
      <w:pPr>
        <w:spacing w:after="60" w:line="276"/>
        <w:ind w:firstLine="709"/>
        <w:jc w:val="both"/>
      </w:pPr>
      <w:r>
        <w:rPr>
          <w:rFonts w:ascii="Times New Roman" w:cs="Times New Roman" w:eastAsia="Times New Roman" w:hAnsi="Times New Roman"/>
        </w:rPr>
        <w:t xml:space="preserve">Выводы: ________________________________________________</w:t>
      </w:r>
    </w:p>
    <w:p>
      <w:pPr>
        <w:spacing w:after="60" w:line="276"/>
        <w:ind w:firstLine="709"/>
        <w:jc w:val="both"/>
      </w:pPr>
      <w:r>
        <w:rPr>
          <w:rFonts w:ascii="Times New Roman" w:cs="Times New Roman" w:eastAsia="Times New Roman" w:hAnsi="Times New Roman"/>
        </w:rPr>
        <w:t xml:space="preserve">Подписи членов комиссии (участников испытаний): ________________ / ________________ /</w:t>
      </w:r>
    </w:p>
    <w:p>
      <w:pPr>
        <w:pStyle w:val="Heading2"/>
        <w:pageBreakBefore/>
        <w:spacing w:after="80"/>
        <w:jc w:val="center"/>
      </w:pPr>
      <w:r>
        <w:rPr>
          <w:rFonts w:ascii="Times New Roman" w:cs="Times New Roman" w:eastAsia="Times New Roman" w:hAnsi="Times New Roman"/>
          <w:b/>
          <w:bCs/>
          <w:sz w:val="32"/>
          <w:szCs w:val="32"/>
        </w:rPr>
        <w:t xml:space="preserve">Форма Ж.5 – Протокол аэродинамических испытаний систем противодымной вентиляции</w:t>
      </w:r>
    </w:p>
    <w:p>
      <w:pPr>
        <w:spacing w:after="80"/>
        <w:ind w:firstLine="709"/>
        <w:jc w:val="both"/>
      </w:pPr>
      <w:r>
        <w:rPr>
          <w:rFonts w:ascii="Times New Roman" w:cs="Times New Roman" w:eastAsia="Times New Roman" w:hAnsi="Times New Roman"/>
          <w:sz w:val="24"/>
          <w:szCs w:val="24"/>
        </w:rPr>
        <w:t xml:space="preserve">Основание: ГОСТ Р 53300-2009, 7.1 и приложение А (рекомендуемое). Разделы 1–6 и таблицы 1–3 соответствуют приложению А; блок подписей в форме приложения А не приведён и добавлен для оформления протокола.</w:t>
      </w:r>
    </w:p>
    <w:p>
      <w:pPr>
        <w:keepNext/>
        <w:spacing w:after="0" w:before="0"/>
        <w:jc w:val="center"/>
      </w:pPr>
      <w:r>
        <w:rPr>
          <w:rFonts w:ascii="Times New Roman" w:cs="Times New Roman" w:eastAsia="Times New Roman" w:hAnsi="Times New Roman"/>
          <w:b/>
          <w:bCs/>
          <w:sz w:val="32"/>
          <w:szCs w:val="32"/>
        </w:rPr>
        <w:t xml:space="preserve">ПРОТОКОЛ</w:t>
      </w:r>
    </w:p>
    <w:p>
      <w:pPr>
        <w:keepNext/>
        <w:spacing w:after="120" w:before="0"/>
        <w:jc w:val="center"/>
      </w:pPr>
      <w:r>
        <w:rPr>
          <w:rFonts w:ascii="Times New Roman" w:cs="Times New Roman" w:eastAsia="Times New Roman" w:hAnsi="Times New Roman"/>
          <w:b/>
          <w:bCs/>
        </w:rPr>
        <w:t xml:space="preserve">приёмосдаточных (периодических) аэродинамических испытаний систем противодымной вентиляции</w:t>
      </w:r>
    </w:p>
    <w:p>
      <w:pPr>
        <w:spacing w:after="60" w:line="276"/>
        <w:ind w:firstLine="709"/>
        <w:jc w:val="both"/>
      </w:pPr>
      <w:r>
        <w:rPr>
          <w:rFonts w:ascii="Times New Roman" w:cs="Times New Roman" w:eastAsia="Times New Roman" w:hAnsi="Times New Roman"/>
        </w:rPr>
        <w:t xml:space="preserve">1 Объект приёмки: ________________________ (здание, системы, проектные обозначения).</w:t>
      </w:r>
    </w:p>
    <w:p>
      <w:pPr>
        <w:spacing w:after="60" w:line="276"/>
        <w:ind w:firstLine="709"/>
        <w:jc w:val="both"/>
      </w:pPr>
      <w:r>
        <w:rPr>
          <w:rFonts w:ascii="Times New Roman" w:cs="Times New Roman" w:eastAsia="Times New Roman" w:hAnsi="Times New Roman"/>
        </w:rPr>
        <w:t xml:space="preserve">2 Цель приёмки: определение соответствия систем противодымной вентиляции требованиям проекта и нормативных документов.</w:t>
      </w:r>
    </w:p>
    <w:p>
      <w:pPr>
        <w:spacing w:after="60" w:line="276"/>
        <w:ind w:firstLine="709"/>
        <w:jc w:val="both"/>
      </w:pPr>
      <w:r>
        <w:rPr>
          <w:rFonts w:ascii="Times New Roman" w:cs="Times New Roman" w:eastAsia="Times New Roman" w:hAnsi="Times New Roman"/>
        </w:rPr>
        <w:t xml:space="preserve">3 Метод приёмки: ________________________ (по ГОСТ Р 53300-2009).</w:t>
      </w:r>
    </w:p>
    <w:p>
      <w:pPr>
        <w:spacing w:after="60" w:line="276"/>
        <w:ind w:firstLine="709"/>
        <w:jc w:val="both"/>
      </w:pPr>
      <w:r>
        <w:rPr>
          <w:rFonts w:ascii="Times New Roman" w:cs="Times New Roman" w:eastAsia="Times New Roman" w:hAnsi="Times New Roman"/>
        </w:rPr>
        <w:t xml:space="preserve">4 Процедура приёмки: ________________________ (условия испытаний, применённые СИ).</w:t>
      </w:r>
    </w:p>
    <w:p>
      <w:pPr>
        <w:keepNext/>
        <w:spacing w:after="60" w:line="276"/>
        <w:ind w:firstLine="709"/>
        <w:jc w:val="both"/>
      </w:pPr>
      <w:r>
        <w:rPr>
          <w:rFonts w:ascii="Times New Roman" w:cs="Times New Roman" w:eastAsia="Times New Roman" w:hAnsi="Times New Roman"/>
        </w:rPr>
        <w:t xml:space="preserve">5 Результаты приёмки</w:t>
      </w:r>
    </w:p>
    <w:p>
      <w:pPr>
        <w:keepNext/>
        <w:spacing w:after="60" w:line="276"/>
        <w:ind w:firstLine="709"/>
        <w:jc w:val="both"/>
      </w:pPr>
      <w:r>
        <w:rPr>
          <w:rFonts w:ascii="Times New Roman" w:cs="Times New Roman" w:eastAsia="Times New Roman" w:hAnsi="Times New Roman"/>
        </w:rPr>
        <w:t xml:space="preserve">5.1 Перечень оцениваемых показателей и результаты оценки (таблица 1)</w:t>
      </w:r>
    </w:p>
    <w:p>
      <w:pPr>
        <w:keepNext/>
        <w:spacing w:after="60" w:line="276"/>
        <w:jc w:val="both"/>
      </w:pPr>
      <w:r>
        <w:rPr>
          <w:rFonts w:ascii="Times New Roman" w:cs="Times New Roman" w:eastAsia="Times New Roman" w:hAnsi="Times New Roman"/>
        </w:rPr>
        <w:t xml:space="preserve">Таблица 1 – Перечень оцениваемых показателей и результаты оценки</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500"/>
        <w:gridCol w:w="2600"/>
        <w:gridCol w:w="2300"/>
        <w:gridCol w:w="2000"/>
        <w:gridCol w:w="1954"/>
      </w:tblGrid>
      <w:tr>
        <w:trPr>
          <w:cantSplit/>
          <w:tblHeader/>
        </w:trPr>
        <w:tc>
          <w:tcPr>
            <w:tcW w:type="dxa" w:w="500"/>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4"/>
                <w:szCs w:val="24"/>
              </w:rPr>
              <w:t xml:space="preserve">№</w:t>
            </w:r>
          </w:p>
        </w:tc>
        <w:tc>
          <w:tcPr>
            <w:tcW w:type="dxa" w:w="2600"/>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4"/>
                <w:szCs w:val="24"/>
              </w:rPr>
              <w:t xml:space="preserve">Параметр оценки</w:t>
            </w:r>
          </w:p>
        </w:tc>
        <w:tc>
          <w:tcPr>
            <w:tcW w:type="dxa" w:w="2300"/>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4"/>
                <w:szCs w:val="24"/>
              </w:rPr>
              <w:t xml:space="preserve">Методика контроля</w:t>
            </w:r>
          </w:p>
        </w:tc>
        <w:tc>
          <w:tcPr>
            <w:tcW w:type="dxa" w:w="2000"/>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4"/>
                <w:szCs w:val="24"/>
              </w:rPr>
              <w:t xml:space="preserve">Допустимое значение</w:t>
            </w:r>
          </w:p>
        </w:tc>
        <w:tc>
          <w:tcPr>
            <w:tcW w:type="dxa" w:w="1954"/>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4"/>
                <w:szCs w:val="24"/>
              </w:rPr>
              <w:t xml:space="preserve">Заключение о соответствии</w:t>
            </w:r>
          </w:p>
        </w:tc>
      </w:tr>
      <w:tr>
        <w:trPr>
          <w:cantSplit/>
        </w:trPr>
        <w:tc>
          <w:tcPr>
            <w:tcW w:type="dxa" w:w="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2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2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2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9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r>
      <w:tr>
        <w:trPr>
          <w:cantSplit/>
        </w:trPr>
        <w:tc>
          <w:tcPr>
            <w:tcW w:type="dxa" w:w="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2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2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2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9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r>
      <w:tr>
        <w:trPr>
          <w:cantSplit/>
        </w:trPr>
        <w:tc>
          <w:tcPr>
            <w:tcW w:type="dxa" w:w="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2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2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2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9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r>
    </w:tbl>
    <w:p>
      <w:pPr>
        <w:spacing w:after="60"/>
      </w:pPr>
    </w:p>
    <w:p>
      <w:pPr>
        <w:keepNext/>
        <w:spacing w:after="60" w:line="276"/>
        <w:ind w:firstLine="709"/>
        <w:jc w:val="both"/>
      </w:pPr>
      <w:r>
        <w:rPr>
          <w:rFonts w:ascii="Times New Roman" w:cs="Times New Roman" w:eastAsia="Times New Roman" w:hAnsi="Times New Roman"/>
        </w:rPr>
        <w:t xml:space="preserve">5.2 Основные результаты испытаний систем вытяжной противодымной вентиляции (таблица 2)</w:t>
      </w:r>
    </w:p>
    <w:p>
      <w:pPr>
        <w:keepNext/>
        <w:spacing w:after="60" w:line="276"/>
        <w:jc w:val="both"/>
      </w:pPr>
      <w:r>
        <w:rPr>
          <w:rFonts w:ascii="Times New Roman" w:cs="Times New Roman" w:eastAsia="Times New Roman" w:hAnsi="Times New Roman"/>
        </w:rPr>
        <w:t xml:space="preserve">Таблица 2 – Основные результаты испытаний систем вытяжной противодымной вентиляции</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450"/>
        <w:gridCol w:w="1500"/>
        <w:gridCol w:w="1100"/>
        <w:gridCol w:w="2000"/>
        <w:gridCol w:w="1400"/>
        <w:gridCol w:w="1400"/>
        <w:gridCol w:w="1504"/>
      </w:tblGrid>
      <w:tr>
        <w:trPr>
          <w:cantSplit/>
          <w:tblHeader/>
        </w:trPr>
        <w:tc>
          <w:tcPr>
            <w:tcW w:type="dxa" w:w="450"/>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4"/>
                <w:szCs w:val="24"/>
              </w:rPr>
              <w:t xml:space="preserve">№</w:t>
            </w:r>
          </w:p>
        </w:tc>
        <w:tc>
          <w:tcPr>
            <w:tcW w:type="dxa" w:w="1500"/>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4"/>
                <w:szCs w:val="24"/>
              </w:rPr>
              <w:t xml:space="preserve">Проектное обоз­на­че­ние</w:t>
            </w:r>
          </w:p>
        </w:tc>
        <w:tc>
          <w:tcPr>
            <w:tcW w:type="dxa" w:w="1100"/>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4"/>
                <w:szCs w:val="24"/>
              </w:rPr>
              <w:t xml:space="preserve">Тип</w:t>
            </w:r>
          </w:p>
        </w:tc>
        <w:tc>
          <w:tcPr>
            <w:tcW w:type="dxa" w:w="2000"/>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4"/>
                <w:szCs w:val="24"/>
              </w:rPr>
              <w:t xml:space="preserve">Фун­кци­ональ­ное назначение</w:t>
            </w:r>
          </w:p>
        </w:tc>
        <w:tc>
          <w:tcPr>
            <w:tcW w:type="dxa" w:w="1400"/>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4"/>
                <w:szCs w:val="24"/>
              </w:rPr>
              <w:t xml:space="preserve">Расход проектный, м³/ч</w:t>
            </w:r>
          </w:p>
        </w:tc>
        <w:tc>
          <w:tcPr>
            <w:tcW w:type="dxa" w:w="1400"/>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4"/>
                <w:szCs w:val="24"/>
              </w:rPr>
              <w:t xml:space="preserve">Расход фак­ти­чес­кий, м³/ч</w:t>
            </w:r>
          </w:p>
        </w:tc>
        <w:tc>
          <w:tcPr>
            <w:tcW w:type="dxa" w:w="1504"/>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4"/>
                <w:szCs w:val="24"/>
              </w:rPr>
              <w:t xml:space="preserve">Невязка, %</w:t>
            </w:r>
          </w:p>
        </w:tc>
      </w:tr>
      <w:tr>
        <w:trPr>
          <w:cantSplit/>
        </w:trPr>
        <w:tc>
          <w:tcPr>
            <w:tcW w:type="dxa" w:w="4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2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r>
      <w:tr>
        <w:trPr>
          <w:cantSplit/>
        </w:trPr>
        <w:tc>
          <w:tcPr>
            <w:tcW w:type="dxa" w:w="4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2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r>
      <w:tr>
        <w:trPr>
          <w:cantSplit/>
        </w:trPr>
        <w:tc>
          <w:tcPr>
            <w:tcW w:type="dxa" w:w="4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2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r>
    </w:tbl>
    <w:p>
      <w:pPr>
        <w:spacing w:after="60"/>
      </w:pPr>
    </w:p>
    <w:p>
      <w:pPr>
        <w:keepNext/>
        <w:spacing w:after="60" w:line="276"/>
        <w:ind w:firstLine="709"/>
        <w:jc w:val="both"/>
      </w:pPr>
      <w:r>
        <w:rPr>
          <w:rFonts w:ascii="Times New Roman" w:cs="Times New Roman" w:eastAsia="Times New Roman" w:hAnsi="Times New Roman"/>
        </w:rPr>
        <w:t xml:space="preserve">5.3 Основные результаты испытаний систем приточной противодымной вентиляции (таблица 3)</w:t>
      </w:r>
    </w:p>
    <w:p>
      <w:pPr>
        <w:keepNext/>
        <w:spacing w:after="60" w:line="276"/>
        <w:jc w:val="both"/>
      </w:pPr>
      <w:r>
        <w:rPr>
          <w:rFonts w:ascii="Times New Roman" w:cs="Times New Roman" w:eastAsia="Times New Roman" w:hAnsi="Times New Roman"/>
        </w:rPr>
        <w:t xml:space="preserve">Таблица 3 – Основные результаты испытаний систем приточной противодымной вентиляции</w:t>
      </w:r>
    </w:p>
    <w:tbl>
      <w:tblPr>
        <w:tblW w:type="dxa" w:w="9254"/>
        <w:tblBorders>
          <w:top w:val="single" w:color="auto" w:sz="4"/>
          <w:left w:val="single" w:color="auto" w:sz="4"/>
          <w:bottom w:val="single" w:color="auto" w:sz="4"/>
          <w:right w:val="single" w:color="auto" w:sz="4"/>
          <w:insideH w:val="single" w:color="auto" w:sz="4"/>
          <w:insideV w:val="single" w:color="auto" w:sz="4"/>
        </w:tblBorders>
      </w:tblPr>
      <w:tblGrid>
        <w:gridCol w:w="1300"/>
        <w:gridCol w:w="900"/>
        <w:gridCol w:w="1500"/>
        <w:gridCol w:w="1100"/>
        <w:gridCol w:w="1100"/>
        <w:gridCol w:w="1100"/>
        <w:gridCol w:w="1100"/>
        <w:gridCol w:w="1154"/>
      </w:tblGrid>
      <w:tr>
        <w:trPr>
          <w:cantSplit/>
          <w:tblHeader/>
        </w:trPr>
        <w:tc>
          <w:tcPr>
            <w:tcW w:type="dxa" w:w="1300"/>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4"/>
                <w:szCs w:val="24"/>
              </w:rPr>
              <w:t xml:space="preserve">Про­ек­тное обоз­на­че­ние</w:t>
            </w:r>
          </w:p>
        </w:tc>
        <w:tc>
          <w:tcPr>
            <w:tcW w:type="dxa" w:w="900"/>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4"/>
                <w:szCs w:val="24"/>
              </w:rPr>
              <w:t xml:space="preserve">Тип</w:t>
            </w:r>
          </w:p>
        </w:tc>
        <w:tc>
          <w:tcPr>
            <w:tcW w:type="dxa" w:w="1500"/>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4"/>
                <w:szCs w:val="24"/>
              </w:rPr>
              <w:t xml:space="preserve">Фун­кци­ональ­ное наз­на­че­ние</w:t>
            </w:r>
          </w:p>
        </w:tc>
        <w:tc>
          <w:tcPr>
            <w:tcW w:type="dxa" w:w="1100"/>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4"/>
                <w:szCs w:val="24"/>
              </w:rPr>
              <w:t xml:space="preserve">Дав­ле­ние про­ек­тное, Па</w:t>
            </w:r>
          </w:p>
        </w:tc>
        <w:tc>
          <w:tcPr>
            <w:tcW w:type="dxa" w:w="1100"/>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4"/>
                <w:szCs w:val="24"/>
              </w:rPr>
              <w:t xml:space="preserve">Дав­ле­ние фак­ти­чес­кое, Па</w:t>
            </w:r>
          </w:p>
        </w:tc>
        <w:tc>
          <w:tcPr>
            <w:tcW w:type="dxa" w:w="1100"/>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4"/>
                <w:szCs w:val="24"/>
              </w:rPr>
              <w:t xml:space="preserve">Ско­рость про­ек­тная, м/с</w:t>
            </w:r>
          </w:p>
        </w:tc>
        <w:tc>
          <w:tcPr>
            <w:tcW w:type="dxa" w:w="1100"/>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4"/>
                <w:szCs w:val="24"/>
              </w:rPr>
              <w:t xml:space="preserve">Ско­рость фак­ти­чес­кая, м/с</w:t>
            </w:r>
          </w:p>
        </w:tc>
        <w:tc>
          <w:tcPr>
            <w:tcW w:type="dxa" w:w="1154"/>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4"/>
                <w:szCs w:val="24"/>
              </w:rPr>
              <w:t xml:space="preserve">Зак­лю­че­ние</w:t>
            </w:r>
          </w:p>
        </w:tc>
      </w:tr>
      <w:tr>
        <w:trPr>
          <w:cantSplit/>
        </w:trPr>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9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1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r>
      <w:tr>
        <w:trPr>
          <w:cantSplit/>
        </w:trPr>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9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1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r>
      <w:tr>
        <w:trPr>
          <w:cantSplit/>
        </w:trPr>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9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1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r>
    </w:tbl>
    <w:p>
      <w:pPr>
        <w:spacing w:after="60"/>
      </w:pPr>
    </w:p>
    <w:p>
      <w:pPr>
        <w:spacing w:after="60" w:line="276"/>
        <w:ind w:firstLine="709"/>
        <w:jc w:val="both"/>
      </w:pPr>
      <w:r>
        <w:rPr>
          <w:rFonts w:ascii="Times New Roman" w:cs="Times New Roman" w:eastAsia="Times New Roman" w:hAnsi="Times New Roman"/>
        </w:rPr>
        <w:t xml:space="preserve">6 Выводы: ________________________________________________</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4677"/>
        <w:gridCol w:w="4677"/>
      </w:tblGrid>
      <w:tr>
        <w:tc>
          <w:tcPr>
            <w:tcW w:type="dxa" w:w="4677"/>
            <w:tcBorders>
              <w:top w:val="none" w:color="FFFFFF" w:sz="0"/>
              <w:left w:val="none" w:color="FFFFFF" w:sz="0"/>
              <w:bottom w:val="none" w:color="FFFFFF" w:sz="0"/>
              <w:right w:val="none" w:color="FFFFFF" w:sz="0"/>
            </w:tcBorders>
          </w:tcPr>
          <w:p>
            <w:pPr>
              <w:spacing w:after="40"/>
            </w:pPr>
            <w:r>
              <w:rPr>
                <w:rFonts w:ascii="Times New Roman" w:cs="Times New Roman" w:eastAsia="Times New Roman" w:hAnsi="Times New Roman"/>
                <w:sz w:val="28"/>
                <w:szCs w:val="28"/>
              </w:rPr>
              <w:t xml:space="preserve">Представитель заказчика:</w:t>
            </w:r>
          </w:p>
          <w:p>
            <w:pPr>
              <w:spacing w:after="40"/>
            </w:pPr>
            <w:r>
              <w:rPr>
                <w:rFonts w:ascii="Times New Roman" w:cs="Times New Roman" w:eastAsia="Times New Roman" w:hAnsi="Times New Roman"/>
                <w:sz w:val="28"/>
                <w:szCs w:val="28"/>
              </w:rPr>
              <w:t xml:space="preserve">________________ (должность)</w:t>
            </w:r>
          </w:p>
          <w:p>
            <w:pPr>
              <w:spacing w:after="40"/>
            </w:pPr>
            <w:r>
              <w:rPr>
                <w:rFonts w:ascii="Times New Roman" w:cs="Times New Roman" w:eastAsia="Times New Roman" w:hAnsi="Times New Roman"/>
                <w:sz w:val="28"/>
                <w:szCs w:val="28"/>
              </w:rPr>
              <w:t xml:space="preserve">________________ (фамилия и инициалы)</w:t>
            </w:r>
          </w:p>
          <w:p>
            <w:pPr>
              <w:spacing w:after="40"/>
            </w:pPr>
            <w:r>
              <w:rPr>
                <w:rFonts w:ascii="Times New Roman" w:cs="Times New Roman" w:eastAsia="Times New Roman" w:hAnsi="Times New Roman"/>
                <w:sz w:val="28"/>
                <w:szCs w:val="28"/>
              </w:rPr>
              <w:t xml:space="preserve">________________ (подпись)</w:t>
            </w:r>
          </w:p>
          <w:p>
            <w:pPr>
              <w:spacing w:after="40"/>
            </w:pPr>
            <w:r>
              <w:rPr>
                <w:rFonts w:ascii="Times New Roman" w:cs="Times New Roman" w:eastAsia="Times New Roman" w:hAnsi="Times New Roman"/>
                <w:sz w:val="28"/>
                <w:szCs w:val="28"/>
              </w:rPr>
              <w:t xml:space="preserve">«___» __________ 2026 г.</w:t>
            </w:r>
          </w:p>
          <w:p>
            <w:pPr>
              <w:spacing w:after="40"/>
            </w:pPr>
            <w:r>
              <w:rPr>
                <w:rFonts w:ascii="Times New Roman" w:cs="Times New Roman" w:eastAsia="Times New Roman" w:hAnsi="Times New Roman"/>
                <w:sz w:val="28"/>
                <w:szCs w:val="28"/>
              </w:rPr>
              <w:t xml:space="preserve">М. П.</w:t>
            </w:r>
          </w:p>
        </w:tc>
        <w:tc>
          <w:tcPr>
            <w:tcW w:type="dxa" w:w="4677"/>
            <w:tcBorders>
              <w:top w:val="none" w:color="FFFFFF" w:sz="0"/>
              <w:left w:val="none" w:color="FFFFFF" w:sz="0"/>
              <w:bottom w:val="none" w:color="FFFFFF" w:sz="0"/>
              <w:right w:val="none" w:color="FFFFFF" w:sz="0"/>
            </w:tcBorders>
          </w:tcPr>
          <w:p>
            <w:pPr>
              <w:spacing w:after="40"/>
            </w:pPr>
            <w:r>
              <w:rPr>
                <w:rFonts w:ascii="Times New Roman" w:cs="Times New Roman" w:eastAsia="Times New Roman" w:hAnsi="Times New Roman"/>
                <w:sz w:val="28"/>
                <w:szCs w:val="28"/>
              </w:rPr>
              <w:t xml:space="preserve">Представитель испытательной организации:</w:t>
            </w:r>
          </w:p>
          <w:p>
            <w:pPr>
              <w:spacing w:after="40"/>
            </w:pPr>
            <w:r>
              <w:rPr>
                <w:rFonts w:ascii="Times New Roman" w:cs="Times New Roman" w:eastAsia="Times New Roman" w:hAnsi="Times New Roman"/>
                <w:sz w:val="28"/>
                <w:szCs w:val="28"/>
              </w:rPr>
              <w:t xml:space="preserve">________________ (должность)</w:t>
            </w:r>
          </w:p>
          <w:p>
            <w:pPr>
              <w:spacing w:after="40"/>
            </w:pPr>
            <w:r>
              <w:rPr>
                <w:rFonts w:ascii="Times New Roman" w:cs="Times New Roman" w:eastAsia="Times New Roman" w:hAnsi="Times New Roman"/>
                <w:sz w:val="28"/>
                <w:szCs w:val="28"/>
              </w:rPr>
              <w:t xml:space="preserve">________________ (фамилия и инициалы)</w:t>
            </w:r>
          </w:p>
          <w:p>
            <w:pPr>
              <w:spacing w:after="40"/>
            </w:pPr>
            <w:r>
              <w:rPr>
                <w:rFonts w:ascii="Times New Roman" w:cs="Times New Roman" w:eastAsia="Times New Roman" w:hAnsi="Times New Roman"/>
                <w:sz w:val="28"/>
                <w:szCs w:val="28"/>
              </w:rPr>
              <w:t xml:space="preserve">________________ (подпись)</w:t>
            </w:r>
          </w:p>
          <w:p>
            <w:pPr>
              <w:spacing w:after="40"/>
            </w:pPr>
            <w:r>
              <w:rPr>
                <w:rFonts w:ascii="Times New Roman" w:cs="Times New Roman" w:eastAsia="Times New Roman" w:hAnsi="Times New Roman"/>
                <w:sz w:val="28"/>
                <w:szCs w:val="28"/>
              </w:rPr>
              <w:t xml:space="preserve">«___» __________ 2026 г.</w:t>
            </w:r>
          </w:p>
          <w:p>
            <w:pPr>
              <w:spacing w:after="40"/>
            </w:pPr>
            <w:r>
              <w:rPr>
                <w:rFonts w:ascii="Times New Roman" w:cs="Times New Roman" w:eastAsia="Times New Roman" w:hAnsi="Times New Roman"/>
                <w:sz w:val="28"/>
                <w:szCs w:val="28"/>
              </w:rPr>
              <w:t xml:space="preserve">М. П.</w:t>
            </w:r>
          </w:p>
        </w:tc>
      </w:tr>
    </w:tbl>
    <w:p>
      <w:pPr>
        <w:pStyle w:val="Heading2"/>
        <w:pageBreakBefore/>
        <w:spacing w:after="80"/>
        <w:jc w:val="center"/>
      </w:pPr>
      <w:r>
        <w:rPr>
          <w:rFonts w:ascii="Times New Roman" w:cs="Times New Roman" w:eastAsia="Times New Roman" w:hAnsi="Times New Roman"/>
          <w:b/>
          <w:bCs/>
          <w:sz w:val="32"/>
          <w:szCs w:val="32"/>
        </w:rPr>
        <w:t xml:space="preserve">Форма Ж.6 – Акт проверки наружного противопожарного водоснабжения</w:t>
      </w:r>
    </w:p>
    <w:p>
      <w:pPr>
        <w:spacing w:after="80"/>
        <w:ind w:firstLine="709"/>
        <w:jc w:val="both"/>
      </w:pPr>
      <w:r>
        <w:rPr>
          <w:rFonts w:ascii="Times New Roman" w:cs="Times New Roman" w:eastAsia="Times New Roman" w:hAnsi="Times New Roman"/>
          <w:sz w:val="24"/>
          <w:szCs w:val="24"/>
        </w:rPr>
        <w:t xml:space="preserve">Основание: п. 48 ППР (проверка водоотдачи не реже 2 раз в год с внесением информации в журнал эксплуатации систем противопожарной защиты), СП 8.13130.2020. Форма акта нормативными документами не установлена; результаты дополнительно вносят в журнал эксплуатации систем противопожарной защиты.</w:t>
      </w:r>
    </w:p>
    <w:p>
      <w:pPr>
        <w:keepNext/>
        <w:spacing w:after="0" w:before="0"/>
        <w:jc w:val="center"/>
      </w:pPr>
      <w:r>
        <w:rPr>
          <w:rFonts w:ascii="Times New Roman" w:cs="Times New Roman" w:eastAsia="Times New Roman" w:hAnsi="Times New Roman"/>
          <w:b/>
          <w:bCs/>
          <w:sz w:val="32"/>
          <w:szCs w:val="32"/>
        </w:rPr>
        <w:t xml:space="preserve">АКТ</w:t>
      </w:r>
    </w:p>
    <w:p>
      <w:pPr>
        <w:keepNext/>
        <w:spacing w:after="120" w:before="0"/>
        <w:jc w:val="center"/>
      </w:pPr>
      <w:r>
        <w:rPr>
          <w:rFonts w:ascii="Times New Roman" w:cs="Times New Roman" w:eastAsia="Times New Roman" w:hAnsi="Times New Roman"/>
          <w:b/>
          <w:bCs/>
        </w:rPr>
        <w:t xml:space="preserve">проверки наружного противопожарного водоснабжения (водоотдачи сети)</w:t>
      </w:r>
    </w:p>
    <w:p>
      <w:pPr>
        <w:spacing w:after="60" w:line="276"/>
        <w:ind w:firstLine="709"/>
        <w:jc w:val="both"/>
      </w:pPr>
      <w:r>
        <w:rPr>
          <w:rFonts w:ascii="Times New Roman" w:cs="Times New Roman" w:eastAsia="Times New Roman" w:hAnsi="Times New Roman"/>
        </w:rPr>
        <w:t xml:space="preserve">Комиссия провела проверку источников наружного противопожарного водоснабжения объекта «Завод по производству, хранению, отгрузке смазочных материалов» филиала ООО «ЛЛК-Интернешнл» в с. Ворсино, расположенном по адресу: Калужская обл., Боровский р-н, с. Ворсино, Северная промышленная зона, владение 8, «___» __________ 2026 г. Способ измерения: ________________ (колонка, рукавная линия, ствол с насадком Ø ___ мм / расходомер). Требуемый расход на наружное пожаротушение: 40 л/с (0115.000-АПТ).</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450"/>
        <w:gridCol w:w="1500"/>
        <w:gridCol w:w="1000"/>
        <w:gridCol w:w="1500"/>
        <w:gridCol w:w="1100"/>
        <w:gridCol w:w="1100"/>
        <w:gridCol w:w="1700"/>
        <w:gridCol w:w="1004"/>
      </w:tblGrid>
      <w:tr>
        <w:trPr>
          <w:cantSplit/>
          <w:tblHeader/>
        </w:trPr>
        <w:tc>
          <w:tcPr>
            <w:tcW w:type="dxa" w:w="450"/>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4"/>
                <w:szCs w:val="24"/>
              </w:rPr>
              <w:t xml:space="preserve">№</w:t>
            </w:r>
          </w:p>
        </w:tc>
        <w:tc>
          <w:tcPr>
            <w:tcW w:type="dxa" w:w="1500"/>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4"/>
                <w:szCs w:val="24"/>
              </w:rPr>
              <w:t xml:space="preserve">Гидрант (источник), мес­то­по­ло­же­ние</w:t>
            </w:r>
          </w:p>
        </w:tc>
        <w:tc>
          <w:tcPr>
            <w:tcW w:type="dxa" w:w="1000"/>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4"/>
                <w:szCs w:val="24"/>
              </w:rPr>
              <w:t xml:space="preserve">Ди­аметр сети, мм</w:t>
            </w:r>
          </w:p>
        </w:tc>
        <w:tc>
          <w:tcPr>
            <w:tcW w:type="dxa" w:w="1500"/>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4"/>
                <w:szCs w:val="24"/>
              </w:rPr>
              <w:t xml:space="preserve">Состояние: указатель, подъезд, колодец</w:t>
            </w:r>
          </w:p>
        </w:tc>
        <w:tc>
          <w:tcPr>
            <w:tcW w:type="dxa" w:w="1100"/>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4"/>
                <w:szCs w:val="24"/>
              </w:rPr>
              <w:t xml:space="preserve">Сво­бод­ный напор, м</w:t>
            </w:r>
          </w:p>
        </w:tc>
        <w:tc>
          <w:tcPr>
            <w:tcW w:type="dxa" w:w="1100"/>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4"/>
                <w:szCs w:val="24"/>
              </w:rPr>
              <w:t xml:space="preserve">Расход, л/с</w:t>
            </w:r>
          </w:p>
        </w:tc>
        <w:tc>
          <w:tcPr>
            <w:tcW w:type="dxa" w:w="1700"/>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4"/>
                <w:szCs w:val="24"/>
              </w:rPr>
              <w:t xml:space="preserve">Референсное значение</w:t>
            </w:r>
          </w:p>
        </w:tc>
        <w:tc>
          <w:tcPr>
            <w:tcW w:type="dxa" w:w="1004"/>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4"/>
                <w:szCs w:val="24"/>
              </w:rPr>
              <w:t xml:space="preserve">Со­от­вет-ствие</w:t>
            </w:r>
          </w:p>
        </w:tc>
      </w:tr>
      <w:tr>
        <w:trPr>
          <w:cantSplit/>
        </w:trPr>
        <w:tc>
          <w:tcPr>
            <w:tcW w:type="dxa" w:w="4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00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r>
      <w:tr>
        <w:trPr>
          <w:cantSplit/>
        </w:trPr>
        <w:tc>
          <w:tcPr>
            <w:tcW w:type="dxa" w:w="4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00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r>
      <w:tr>
        <w:trPr>
          <w:cantSplit/>
        </w:trPr>
        <w:tc>
          <w:tcPr>
            <w:tcW w:type="dxa" w:w="4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00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r>
      <w:tr>
        <w:trPr>
          <w:cantSplit/>
        </w:trPr>
        <w:tc>
          <w:tcPr>
            <w:tcW w:type="dxa" w:w="4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00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r>
      <w:tr>
        <w:trPr>
          <w:cantSplit/>
        </w:trPr>
        <w:tc>
          <w:tcPr>
            <w:tcW w:type="dxa" w:w="4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00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r>
    </w:tbl>
    <w:p>
      <w:pPr>
        <w:spacing w:after="60"/>
      </w:pPr>
    </w:p>
    <w:p>
      <w:pPr>
        <w:spacing w:after="60" w:line="276"/>
        <w:ind w:firstLine="709"/>
        <w:jc w:val="both"/>
      </w:pPr>
      <w:r>
        <w:rPr>
          <w:rFonts w:ascii="Times New Roman" w:cs="Times New Roman" w:eastAsia="Times New Roman" w:hAnsi="Times New Roman"/>
        </w:rPr>
        <w:t xml:space="preserve">Суммарный расход при одновременной работе ___ гидрантов: ___ л/с (требуется не менее 40 л/с). Выводы: ________________________________.</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4677"/>
        <w:gridCol w:w="4677"/>
      </w:tblGrid>
      <w:tr>
        <w:tc>
          <w:tcPr>
            <w:tcW w:type="dxa" w:w="4677"/>
            <w:tcBorders>
              <w:top w:val="none" w:color="FFFFFF" w:sz="0"/>
              <w:left w:val="none" w:color="FFFFFF" w:sz="0"/>
              <w:bottom w:val="none" w:color="FFFFFF" w:sz="0"/>
              <w:right w:val="none" w:color="FFFFFF" w:sz="0"/>
            </w:tcBorders>
          </w:tcPr>
          <w:p>
            <w:pPr>
              <w:spacing w:after="40"/>
            </w:pPr>
            <w:r>
              <w:rPr>
                <w:rFonts w:ascii="Times New Roman" w:cs="Times New Roman" w:eastAsia="Times New Roman" w:hAnsi="Times New Roman"/>
                <w:sz w:val="28"/>
                <w:szCs w:val="28"/>
              </w:rPr>
              <w:t xml:space="preserve">Представитель заказчика:</w:t>
            </w:r>
          </w:p>
          <w:p>
            <w:pPr>
              <w:spacing w:after="40"/>
            </w:pPr>
            <w:r>
              <w:rPr>
                <w:rFonts w:ascii="Times New Roman" w:cs="Times New Roman" w:eastAsia="Times New Roman" w:hAnsi="Times New Roman"/>
                <w:sz w:val="28"/>
                <w:szCs w:val="28"/>
              </w:rPr>
              <w:t xml:space="preserve">________________ (должность)</w:t>
            </w:r>
          </w:p>
          <w:p>
            <w:pPr>
              <w:spacing w:after="40"/>
            </w:pPr>
            <w:r>
              <w:rPr>
                <w:rFonts w:ascii="Times New Roman" w:cs="Times New Roman" w:eastAsia="Times New Roman" w:hAnsi="Times New Roman"/>
                <w:sz w:val="28"/>
                <w:szCs w:val="28"/>
              </w:rPr>
              <w:t xml:space="preserve">________________ (фамилия и инициалы)</w:t>
            </w:r>
          </w:p>
          <w:p>
            <w:pPr>
              <w:spacing w:after="40"/>
            </w:pPr>
            <w:r>
              <w:rPr>
                <w:rFonts w:ascii="Times New Roman" w:cs="Times New Roman" w:eastAsia="Times New Roman" w:hAnsi="Times New Roman"/>
                <w:sz w:val="28"/>
                <w:szCs w:val="28"/>
              </w:rPr>
              <w:t xml:space="preserve">________________ (подпись)</w:t>
            </w:r>
          </w:p>
          <w:p>
            <w:pPr>
              <w:spacing w:after="40"/>
            </w:pPr>
            <w:r>
              <w:rPr>
                <w:rFonts w:ascii="Times New Roman" w:cs="Times New Roman" w:eastAsia="Times New Roman" w:hAnsi="Times New Roman"/>
                <w:sz w:val="28"/>
                <w:szCs w:val="28"/>
              </w:rPr>
              <w:t xml:space="preserve">«___» __________ 2026 г.</w:t>
            </w:r>
          </w:p>
          <w:p>
            <w:pPr>
              <w:spacing w:after="40"/>
            </w:pPr>
            <w:r>
              <w:rPr>
                <w:rFonts w:ascii="Times New Roman" w:cs="Times New Roman" w:eastAsia="Times New Roman" w:hAnsi="Times New Roman"/>
                <w:sz w:val="28"/>
                <w:szCs w:val="28"/>
              </w:rPr>
              <w:t xml:space="preserve">М. П.</w:t>
            </w:r>
          </w:p>
        </w:tc>
        <w:tc>
          <w:tcPr>
            <w:tcW w:type="dxa" w:w="4677"/>
            <w:tcBorders>
              <w:top w:val="none" w:color="FFFFFF" w:sz="0"/>
              <w:left w:val="none" w:color="FFFFFF" w:sz="0"/>
              <w:bottom w:val="none" w:color="FFFFFF" w:sz="0"/>
              <w:right w:val="none" w:color="FFFFFF" w:sz="0"/>
            </w:tcBorders>
          </w:tcPr>
          <w:p>
            <w:pPr>
              <w:spacing w:after="40"/>
            </w:pPr>
            <w:r>
              <w:rPr>
                <w:rFonts w:ascii="Times New Roman" w:cs="Times New Roman" w:eastAsia="Times New Roman" w:hAnsi="Times New Roman"/>
                <w:sz w:val="28"/>
                <w:szCs w:val="28"/>
              </w:rPr>
              <w:t xml:space="preserve">Представитель подрядчика:</w:t>
            </w:r>
          </w:p>
          <w:p>
            <w:pPr>
              <w:spacing w:after="40"/>
            </w:pPr>
            <w:r>
              <w:rPr>
                <w:rFonts w:ascii="Times New Roman" w:cs="Times New Roman" w:eastAsia="Times New Roman" w:hAnsi="Times New Roman"/>
                <w:sz w:val="28"/>
                <w:szCs w:val="28"/>
              </w:rPr>
              <w:t xml:space="preserve">________________ (должность)</w:t>
            </w:r>
          </w:p>
          <w:p>
            <w:pPr>
              <w:spacing w:after="40"/>
            </w:pPr>
            <w:r>
              <w:rPr>
                <w:rFonts w:ascii="Times New Roman" w:cs="Times New Roman" w:eastAsia="Times New Roman" w:hAnsi="Times New Roman"/>
                <w:sz w:val="28"/>
                <w:szCs w:val="28"/>
              </w:rPr>
              <w:t xml:space="preserve">________________ (фамилия и инициалы)</w:t>
            </w:r>
          </w:p>
          <w:p>
            <w:pPr>
              <w:spacing w:after="40"/>
            </w:pPr>
            <w:r>
              <w:rPr>
                <w:rFonts w:ascii="Times New Roman" w:cs="Times New Roman" w:eastAsia="Times New Roman" w:hAnsi="Times New Roman"/>
                <w:sz w:val="28"/>
                <w:szCs w:val="28"/>
              </w:rPr>
              <w:t xml:space="preserve">________________ (подпись)</w:t>
            </w:r>
          </w:p>
          <w:p>
            <w:pPr>
              <w:spacing w:after="40"/>
            </w:pPr>
            <w:r>
              <w:rPr>
                <w:rFonts w:ascii="Times New Roman" w:cs="Times New Roman" w:eastAsia="Times New Roman" w:hAnsi="Times New Roman"/>
                <w:sz w:val="28"/>
                <w:szCs w:val="28"/>
              </w:rPr>
              <w:t xml:space="preserve">«___» __________ 2026 г.</w:t>
            </w:r>
          </w:p>
          <w:p>
            <w:pPr>
              <w:spacing w:after="40"/>
            </w:pPr>
            <w:r>
              <w:rPr>
                <w:rFonts w:ascii="Times New Roman" w:cs="Times New Roman" w:eastAsia="Times New Roman" w:hAnsi="Times New Roman"/>
                <w:sz w:val="28"/>
                <w:szCs w:val="28"/>
              </w:rPr>
              <w:t xml:space="preserve">М. П.</w:t>
            </w:r>
          </w:p>
        </w:tc>
      </w:tr>
    </w:tbl>
    <w:p>
      <w:pPr>
        <w:pStyle w:val="Heading2"/>
        <w:pageBreakBefore/>
        <w:spacing w:after="80"/>
        <w:jc w:val="center"/>
      </w:pPr>
      <w:r>
        <w:rPr>
          <w:rFonts w:ascii="Times New Roman" w:cs="Times New Roman" w:eastAsia="Times New Roman" w:hAnsi="Times New Roman"/>
          <w:b/>
          <w:bCs/>
          <w:sz w:val="32"/>
          <w:szCs w:val="32"/>
        </w:rPr>
        <w:t xml:space="preserve">Форма Ж.7 – Протокол испытаний стационарных установок охлаждения и пенотушения резервуара</w:t>
      </w:r>
    </w:p>
    <w:p>
      <w:pPr>
        <w:spacing w:after="80"/>
        <w:ind w:firstLine="709"/>
        <w:jc w:val="both"/>
      </w:pPr>
      <w:r>
        <w:rPr>
          <w:rFonts w:ascii="Times New Roman" w:cs="Times New Roman" w:eastAsia="Times New Roman" w:hAnsi="Times New Roman"/>
          <w:sz w:val="24"/>
          <w:szCs w:val="24"/>
        </w:rPr>
        <w:t xml:space="preserve">Основание: пп. 3.15–3.17 СТУ; проверки Р8, Р9 раздела 13. Рекомендуемая форма нормативными документами не установлена.</w:t>
      </w:r>
    </w:p>
    <w:p>
      <w:pPr>
        <w:keepNext/>
        <w:spacing w:after="0" w:before="0"/>
        <w:jc w:val="center"/>
      </w:pPr>
      <w:r>
        <w:rPr>
          <w:rFonts w:ascii="Times New Roman" w:cs="Times New Roman" w:eastAsia="Times New Roman" w:hAnsi="Times New Roman"/>
          <w:b/>
          <w:bCs/>
          <w:sz w:val="32"/>
          <w:szCs w:val="32"/>
        </w:rPr>
        <w:t xml:space="preserve">ПРОТОКОЛ</w:t>
      </w:r>
    </w:p>
    <w:p>
      <w:pPr>
        <w:keepNext/>
        <w:spacing w:after="120" w:before="0"/>
        <w:jc w:val="center"/>
      </w:pPr>
      <w:r>
        <w:rPr>
          <w:rFonts w:ascii="Times New Roman" w:cs="Times New Roman" w:eastAsia="Times New Roman" w:hAnsi="Times New Roman"/>
          <w:b/>
          <w:bCs/>
        </w:rPr>
        <w:t xml:space="preserve">испытаний стационарных установок охлаждения и пенотушения резервуара</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4400"/>
        <w:gridCol w:w="4954"/>
      </w:tblGrid>
      <w:tr>
        <w:trPr>
          <w:cantSplit/>
          <w:tblHeader/>
        </w:trPr>
        <w:tc>
          <w:tcPr>
            <w:tcW w:type="dxa" w:w="4400"/>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4"/>
                <w:szCs w:val="24"/>
              </w:rPr>
              <w:t xml:space="preserve">Сведение</w:t>
            </w:r>
          </w:p>
        </w:tc>
        <w:tc>
          <w:tcPr>
            <w:tcW w:type="dxa" w:w="4954"/>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4"/>
                <w:szCs w:val="24"/>
              </w:rPr>
              <w:t xml:space="preserve">Значение</w:t>
            </w:r>
          </w:p>
        </w:tc>
      </w:tr>
      <w:tr>
        <w:trPr>
          <w:cantSplit/>
        </w:trPr>
        <w:tc>
          <w:tcPr>
            <w:tcW w:type="dxa" w:w="4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Дата, температура наружного воздуха</w:t>
            </w:r>
          </w:p>
        </w:tc>
        <w:tc>
          <w:tcPr>
            <w:tcW w:type="dxa" w:w="49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r>
      <w:tr>
        <w:trPr>
          <w:cantSplit/>
        </w:trPr>
        <w:tc>
          <w:tcPr>
            <w:tcW w:type="dxa" w:w="4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Резервуар: номер по ТХ, группа, объём, м³, диаметр D, м</w:t>
            </w:r>
          </w:p>
        </w:tc>
        <w:tc>
          <w:tcPr>
            <w:tcW w:type="dxa" w:w="49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r>
      <w:tr>
        <w:trPr>
          <w:cantSplit/>
        </w:trPr>
        <w:tc>
          <w:tcPr>
            <w:tcW w:type="dxa" w:w="4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Основание оборудования (отметка «нет» в приложении Б по охлаждению / тушению)</w:t>
            </w:r>
          </w:p>
        </w:tc>
        <w:tc>
          <w:tcPr>
            <w:tcW w:type="dxa" w:w="49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r>
      <w:tr>
        <w:trPr>
          <w:cantSplit/>
        </w:trPr>
        <w:tc>
          <w:tcPr>
            <w:tcW w:type="dxa" w:w="4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Источник подачи (ПА, марка, производительность насоса)</w:t>
            </w:r>
          </w:p>
        </w:tc>
        <w:tc>
          <w:tcPr>
            <w:tcW w:type="dxa" w:w="49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r>
      <w:tr>
        <w:trPr>
          <w:cantSplit/>
        </w:trPr>
        <w:tc>
          <w:tcPr>
            <w:tcW w:type="dxa" w:w="4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Сухой трубопровод: вывод за обвалование, тип и Ду головок, заглушки, маркировка</w:t>
            </w:r>
          </w:p>
        </w:tc>
        <w:tc>
          <w:tcPr>
            <w:tcW w:type="dxa" w:w="49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r>
    </w:tbl>
    <w:p>
      <w:pPr>
        <w:spacing w:after="60"/>
      </w:pP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450"/>
        <w:gridCol w:w="3300"/>
        <w:gridCol w:w="2400"/>
        <w:gridCol w:w="2000"/>
        <w:gridCol w:w="1204"/>
      </w:tblGrid>
      <w:tr>
        <w:trPr>
          <w:cantSplit/>
          <w:tblHeader/>
        </w:trPr>
        <w:tc>
          <w:tcPr>
            <w:tcW w:type="dxa" w:w="450"/>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4"/>
                <w:szCs w:val="24"/>
              </w:rPr>
              <w:t xml:space="preserve">№</w:t>
            </w:r>
          </w:p>
        </w:tc>
        <w:tc>
          <w:tcPr>
            <w:tcW w:type="dxa" w:w="3300"/>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4"/>
                <w:szCs w:val="24"/>
              </w:rPr>
              <w:t xml:space="preserve">Параметр</w:t>
            </w:r>
          </w:p>
        </w:tc>
        <w:tc>
          <w:tcPr>
            <w:tcW w:type="dxa" w:w="2400"/>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4"/>
                <w:szCs w:val="24"/>
              </w:rPr>
              <w:t xml:space="preserve">Референсное значение (СТУ, проект)</w:t>
            </w:r>
          </w:p>
        </w:tc>
        <w:tc>
          <w:tcPr>
            <w:tcW w:type="dxa" w:w="2000"/>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4"/>
                <w:szCs w:val="24"/>
              </w:rPr>
              <w:t xml:space="preserve">Фактическое значение</w:t>
            </w:r>
          </w:p>
        </w:tc>
        <w:tc>
          <w:tcPr>
            <w:tcW w:type="dxa" w:w="1204"/>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4"/>
                <w:szCs w:val="24"/>
              </w:rPr>
              <w:t xml:space="preserve">Соответ-ствие</w:t>
            </w:r>
          </w:p>
        </w:tc>
      </w:tr>
      <w:tr>
        <w:trPr>
          <w:cantSplit/>
        </w:trPr>
        <w:tc>
          <w:tcPr>
            <w:tcW w:type="dxa" w:w="4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1</w:t>
            </w:r>
          </w:p>
        </w:tc>
        <w:tc>
          <w:tcPr>
            <w:tcW w:type="dxa" w:w="3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Давление на вводе установки охлаждения, МПа</w:t>
            </w:r>
          </w:p>
        </w:tc>
        <w:tc>
          <w:tcPr>
            <w:tcW w:type="dxa" w:w="2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highlight w:val="yellow"/>
                <w:highlightCs w:val="yellow"/>
              </w:rPr>
              <w:t xml:space="preserve">[по проекту установки охлаждения]</w:t>
            </w:r>
          </w:p>
        </w:tc>
        <w:tc>
          <w:tcPr>
            <w:tcW w:type="dxa" w:w="2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20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r>
      <w:tr>
        <w:trPr>
          <w:cantSplit/>
        </w:trPr>
        <w:tc>
          <w:tcPr>
            <w:tcW w:type="dxa" w:w="4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2</w:t>
            </w:r>
          </w:p>
        </w:tc>
        <w:tc>
          <w:tcPr>
            <w:tcW w:type="dxa" w:w="3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Расход на кольцо орошения, л/с</w:t>
            </w:r>
          </w:p>
        </w:tc>
        <w:tc>
          <w:tcPr>
            <w:tcW w:type="dxa" w:w="2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не менее 0,5 × π × D = ___</w:t>
            </w:r>
          </w:p>
        </w:tc>
        <w:tc>
          <w:tcPr>
            <w:tcW w:type="dxa" w:w="2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20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r>
      <w:tr>
        <w:trPr>
          <w:cantSplit/>
        </w:trPr>
        <w:tc>
          <w:tcPr>
            <w:tcW w:type="dxa" w:w="4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3</w:t>
            </w:r>
          </w:p>
        </w:tc>
        <w:tc>
          <w:tcPr>
            <w:tcW w:type="dxa" w:w="3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Орошение стенки по всей окружности (неорошаемые участки, засоры)</w:t>
            </w:r>
          </w:p>
        </w:tc>
        <w:tc>
          <w:tcPr>
            <w:tcW w:type="dxa" w:w="2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без неорошаемых участков</w:t>
            </w:r>
          </w:p>
        </w:tc>
        <w:tc>
          <w:tcPr>
            <w:tcW w:type="dxa" w:w="2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20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r>
      <w:tr>
        <w:trPr>
          <w:cantSplit/>
        </w:trPr>
        <w:tc>
          <w:tcPr>
            <w:tcW w:type="dxa" w:w="4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4</w:t>
            </w:r>
          </w:p>
        </w:tc>
        <w:tc>
          <w:tcPr>
            <w:tcW w:type="dxa" w:w="3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Герметичность трубопроводов и соединений</w:t>
            </w:r>
          </w:p>
        </w:tc>
        <w:tc>
          <w:tcPr>
            <w:tcW w:type="dxa" w:w="2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утечки отсутствуют</w:t>
            </w:r>
          </w:p>
        </w:tc>
        <w:tc>
          <w:tcPr>
            <w:tcW w:type="dxa" w:w="2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20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r>
      <w:tr>
        <w:trPr>
          <w:cantSplit/>
        </w:trPr>
        <w:tc>
          <w:tcPr>
            <w:tcW w:type="dxa" w:w="4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5</w:t>
            </w:r>
          </w:p>
        </w:tc>
        <w:tc>
          <w:tcPr>
            <w:tcW w:type="dxa" w:w="3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Запас воды на охлаждение горящего и соседних резервуаров на 6 ч, м³</w:t>
            </w:r>
          </w:p>
        </w:tc>
        <w:tc>
          <w:tcPr>
            <w:tcW w:type="dxa" w:w="2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highlight w:val="yellow"/>
                <w:highlightCs w:val="yellow"/>
              </w:rPr>
              <w:t xml:space="preserve">[объём, м³ – расчёт по п. 3.16 СТУ и примечанию к таблице 12]</w:t>
            </w:r>
          </w:p>
        </w:tc>
        <w:tc>
          <w:tcPr>
            <w:tcW w:type="dxa" w:w="2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20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r>
      <w:tr>
        <w:trPr>
          <w:cantSplit/>
        </w:trPr>
        <w:tc>
          <w:tcPr>
            <w:tcW w:type="dxa" w:w="4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6</w:t>
            </w:r>
          </w:p>
        </w:tc>
        <w:tc>
          <w:tcPr>
            <w:tcW w:type="dxa" w:w="3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Пенотушение: тип и количество ГПС (пеносливов), исправность герметизирующих устройств</w:t>
            </w:r>
          </w:p>
        </w:tc>
        <w:tc>
          <w:tcPr>
            <w:tcW w:type="dxa" w:w="2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highlight w:val="yellow"/>
                <w:highlightCs w:val="yellow"/>
              </w:rPr>
              <w:t xml:space="preserve">[по проекту пенотушения]</w:t>
            </w:r>
          </w:p>
        </w:tc>
        <w:tc>
          <w:tcPr>
            <w:tcW w:type="dxa" w:w="2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20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r>
      <w:tr>
        <w:trPr>
          <w:cantSplit/>
        </w:trPr>
        <w:tc>
          <w:tcPr>
            <w:tcW w:type="dxa" w:w="4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7</w:t>
            </w:r>
          </w:p>
        </w:tc>
        <w:tc>
          <w:tcPr>
            <w:tcW w:type="dxa" w:w="3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Пенотушение: проходимость сухого трубопровода, давление перед генератором (без подачи в резервуар), МПа</w:t>
            </w:r>
          </w:p>
        </w:tc>
        <w:tc>
          <w:tcPr>
            <w:tcW w:type="dxa" w:w="2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highlight w:val="yellow"/>
                <w:highlightCs w:val="yellow"/>
              </w:rPr>
              <w:t xml:space="preserve">[по ТД генератора пены]</w:t>
            </w:r>
          </w:p>
        </w:tc>
        <w:tc>
          <w:tcPr>
            <w:tcW w:type="dxa" w:w="2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20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r>
      <w:tr>
        <w:trPr>
          <w:cantSplit/>
        </w:trPr>
        <w:tc>
          <w:tcPr>
            <w:tcW w:type="dxa" w:w="4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8</w:t>
            </w:r>
          </w:p>
        </w:tc>
        <w:tc>
          <w:tcPr>
            <w:tcW w:type="dxa" w:w="3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Опорожнение сухих трубопроводов, установка заглушек после испытаний</w:t>
            </w:r>
          </w:p>
        </w:tc>
        <w:tc>
          <w:tcPr>
            <w:tcW w:type="dxa" w:w="2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выполнено</w:t>
            </w:r>
          </w:p>
        </w:tc>
        <w:tc>
          <w:tcPr>
            <w:tcW w:type="dxa" w:w="2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20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r>
    </w:tbl>
    <w:p>
      <w:pPr>
        <w:spacing w:after="60"/>
      </w:pPr>
    </w:p>
    <w:p>
      <w:pPr>
        <w:spacing w:after="60" w:line="276"/>
        <w:ind w:firstLine="709"/>
        <w:jc w:val="both"/>
      </w:pPr>
      <w:r>
        <w:rPr>
          <w:rFonts w:ascii="Times New Roman" w:cs="Times New Roman" w:eastAsia="Times New Roman" w:hAnsi="Times New Roman"/>
        </w:rPr>
        <w:t xml:space="preserve">Выводы: установка охлаждения соответствует / не соответствует п. 3.16 СТУ; устройства пенотушения соответствуют / не соответствуют п. 3.17 СТУ. Замечания: ________________.</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4677"/>
        <w:gridCol w:w="4677"/>
      </w:tblGrid>
      <w:tr>
        <w:tc>
          <w:tcPr>
            <w:tcW w:type="dxa" w:w="4677"/>
            <w:tcBorders>
              <w:top w:val="none" w:color="FFFFFF" w:sz="0"/>
              <w:left w:val="none" w:color="FFFFFF" w:sz="0"/>
              <w:bottom w:val="none" w:color="FFFFFF" w:sz="0"/>
              <w:right w:val="none" w:color="FFFFFF" w:sz="0"/>
            </w:tcBorders>
          </w:tcPr>
          <w:p>
            <w:pPr>
              <w:spacing w:after="40"/>
            </w:pPr>
            <w:r>
              <w:rPr>
                <w:rFonts w:ascii="Times New Roman" w:cs="Times New Roman" w:eastAsia="Times New Roman" w:hAnsi="Times New Roman"/>
                <w:sz w:val="28"/>
                <w:szCs w:val="28"/>
              </w:rPr>
              <w:t xml:space="preserve">Представитель заказчика:</w:t>
            </w:r>
          </w:p>
          <w:p>
            <w:pPr>
              <w:spacing w:after="40"/>
            </w:pPr>
            <w:r>
              <w:rPr>
                <w:rFonts w:ascii="Times New Roman" w:cs="Times New Roman" w:eastAsia="Times New Roman" w:hAnsi="Times New Roman"/>
                <w:sz w:val="28"/>
                <w:szCs w:val="28"/>
              </w:rPr>
              <w:t xml:space="preserve">________________ (должность)</w:t>
            </w:r>
          </w:p>
          <w:p>
            <w:pPr>
              <w:spacing w:after="40"/>
            </w:pPr>
            <w:r>
              <w:rPr>
                <w:rFonts w:ascii="Times New Roman" w:cs="Times New Roman" w:eastAsia="Times New Roman" w:hAnsi="Times New Roman"/>
                <w:sz w:val="28"/>
                <w:szCs w:val="28"/>
              </w:rPr>
              <w:t xml:space="preserve">________________ (фамилия и инициалы)</w:t>
            </w:r>
          </w:p>
          <w:p>
            <w:pPr>
              <w:spacing w:after="40"/>
            </w:pPr>
            <w:r>
              <w:rPr>
                <w:rFonts w:ascii="Times New Roman" w:cs="Times New Roman" w:eastAsia="Times New Roman" w:hAnsi="Times New Roman"/>
                <w:sz w:val="28"/>
                <w:szCs w:val="28"/>
              </w:rPr>
              <w:t xml:space="preserve">________________ (подпись)</w:t>
            </w:r>
          </w:p>
          <w:p>
            <w:pPr>
              <w:spacing w:after="40"/>
            </w:pPr>
            <w:r>
              <w:rPr>
                <w:rFonts w:ascii="Times New Roman" w:cs="Times New Roman" w:eastAsia="Times New Roman" w:hAnsi="Times New Roman"/>
                <w:sz w:val="28"/>
                <w:szCs w:val="28"/>
              </w:rPr>
              <w:t xml:space="preserve">«___» __________ 2026 г.</w:t>
            </w:r>
          </w:p>
          <w:p>
            <w:pPr>
              <w:spacing w:after="40"/>
            </w:pPr>
            <w:r>
              <w:rPr>
                <w:rFonts w:ascii="Times New Roman" w:cs="Times New Roman" w:eastAsia="Times New Roman" w:hAnsi="Times New Roman"/>
                <w:sz w:val="28"/>
                <w:szCs w:val="28"/>
              </w:rPr>
              <w:t xml:space="preserve">М. П.</w:t>
            </w:r>
          </w:p>
        </w:tc>
        <w:tc>
          <w:tcPr>
            <w:tcW w:type="dxa" w:w="4677"/>
            <w:tcBorders>
              <w:top w:val="none" w:color="FFFFFF" w:sz="0"/>
              <w:left w:val="none" w:color="FFFFFF" w:sz="0"/>
              <w:bottom w:val="none" w:color="FFFFFF" w:sz="0"/>
              <w:right w:val="none" w:color="FFFFFF" w:sz="0"/>
            </w:tcBorders>
          </w:tcPr>
          <w:p>
            <w:pPr>
              <w:spacing w:after="40"/>
            </w:pPr>
            <w:r>
              <w:rPr>
                <w:rFonts w:ascii="Times New Roman" w:cs="Times New Roman" w:eastAsia="Times New Roman" w:hAnsi="Times New Roman"/>
                <w:sz w:val="28"/>
                <w:szCs w:val="28"/>
              </w:rPr>
              <w:t xml:space="preserve">Представитель подрядчика:</w:t>
            </w:r>
          </w:p>
          <w:p>
            <w:pPr>
              <w:spacing w:after="40"/>
            </w:pPr>
            <w:r>
              <w:rPr>
                <w:rFonts w:ascii="Times New Roman" w:cs="Times New Roman" w:eastAsia="Times New Roman" w:hAnsi="Times New Roman"/>
                <w:sz w:val="28"/>
                <w:szCs w:val="28"/>
              </w:rPr>
              <w:t xml:space="preserve">________________ (должность)</w:t>
            </w:r>
          </w:p>
          <w:p>
            <w:pPr>
              <w:spacing w:after="40"/>
            </w:pPr>
            <w:r>
              <w:rPr>
                <w:rFonts w:ascii="Times New Roman" w:cs="Times New Roman" w:eastAsia="Times New Roman" w:hAnsi="Times New Roman"/>
                <w:sz w:val="28"/>
                <w:szCs w:val="28"/>
              </w:rPr>
              <w:t xml:space="preserve">________________ (фамилия и инициалы)</w:t>
            </w:r>
          </w:p>
          <w:p>
            <w:pPr>
              <w:spacing w:after="40"/>
            </w:pPr>
            <w:r>
              <w:rPr>
                <w:rFonts w:ascii="Times New Roman" w:cs="Times New Roman" w:eastAsia="Times New Roman" w:hAnsi="Times New Roman"/>
                <w:sz w:val="28"/>
                <w:szCs w:val="28"/>
              </w:rPr>
              <w:t xml:space="preserve">________________ (подпись)</w:t>
            </w:r>
          </w:p>
          <w:p>
            <w:pPr>
              <w:spacing w:after="40"/>
            </w:pPr>
            <w:r>
              <w:rPr>
                <w:rFonts w:ascii="Times New Roman" w:cs="Times New Roman" w:eastAsia="Times New Roman" w:hAnsi="Times New Roman"/>
                <w:sz w:val="28"/>
                <w:szCs w:val="28"/>
              </w:rPr>
              <w:t xml:space="preserve">«___» __________ 2026 г.</w:t>
            </w:r>
          </w:p>
          <w:p>
            <w:pPr>
              <w:spacing w:after="40"/>
            </w:pPr>
            <w:r>
              <w:rPr>
                <w:rFonts w:ascii="Times New Roman" w:cs="Times New Roman" w:eastAsia="Times New Roman" w:hAnsi="Times New Roman"/>
                <w:sz w:val="28"/>
                <w:szCs w:val="28"/>
              </w:rPr>
              <w:t xml:space="preserve">М. П.</w:t>
            </w:r>
          </w:p>
        </w:tc>
      </w:tr>
    </w:tbl>
    <w:p>
      <w:pPr>
        <w:pStyle w:val="Heading2"/>
        <w:pageBreakBefore/>
        <w:spacing w:after="80"/>
        <w:jc w:val="center"/>
      </w:pPr>
      <w:r>
        <w:rPr>
          <w:rFonts w:ascii="Times New Roman" w:cs="Times New Roman" w:eastAsia="Times New Roman" w:hAnsi="Times New Roman"/>
          <w:b/>
          <w:bCs/>
          <w:sz w:val="32"/>
          <w:szCs w:val="32"/>
        </w:rPr>
        <w:t xml:space="preserve">Форма Ж.8 – Акт контроля состояния огнезащищенных материалов и конструкций</w:t>
      </w:r>
    </w:p>
    <w:p>
      <w:pPr>
        <w:spacing w:after="80"/>
        <w:ind w:firstLine="709"/>
        <w:jc w:val="both"/>
      </w:pPr>
      <w:r>
        <w:rPr>
          <w:rFonts w:ascii="Times New Roman" w:cs="Times New Roman" w:eastAsia="Times New Roman" w:hAnsi="Times New Roman"/>
          <w:sz w:val="24"/>
          <w:szCs w:val="24"/>
        </w:rPr>
        <w:t xml:space="preserve">Основание: ГОСТ Р 59637-2021, приложение Б (рекомендуемое); п. 13 ППР. Пункты 1–12 соответствуют приложению Б ГОСТ Р 59637-2021. Таблица к пункту 11 содержит сведения, которые по п. 13 ППР указывают в акте (протоколе): места повреждений, характер повреждений, рекомендуемые сроки устранения. Проверки ОЗ1–ОЗ7 – по разделу 15.</w:t>
      </w:r>
    </w:p>
    <w:p>
      <w:pPr>
        <w:keepNext/>
        <w:spacing w:after="0" w:before="0"/>
        <w:jc w:val="center"/>
      </w:pPr>
      <w:r>
        <w:rPr>
          <w:rFonts w:ascii="Times New Roman" w:cs="Times New Roman" w:eastAsia="Times New Roman" w:hAnsi="Times New Roman"/>
          <w:b/>
          <w:bCs/>
          <w:sz w:val="32"/>
          <w:szCs w:val="32"/>
        </w:rPr>
        <w:t xml:space="preserve">АКТ</w:t>
      </w:r>
    </w:p>
    <w:p>
      <w:pPr>
        <w:keepNext/>
        <w:spacing w:after="0" w:before="0"/>
        <w:jc w:val="center"/>
      </w:pPr>
      <w:r>
        <w:rPr>
          <w:rFonts w:ascii="Times New Roman" w:cs="Times New Roman" w:eastAsia="Times New Roman" w:hAnsi="Times New Roman"/>
          <w:b/>
          <w:bCs/>
        </w:rPr>
        <w:t xml:space="preserve">контроля состояния огнезащищенных материалов и конструкций</w:t>
      </w:r>
    </w:p>
    <w:p>
      <w:pPr>
        <w:keepNext/>
        <w:spacing w:after="120" w:before="0"/>
        <w:jc w:val="center"/>
      </w:pPr>
      <w:r>
        <w:rPr>
          <w:rFonts w:ascii="Times New Roman" w:cs="Times New Roman" w:eastAsia="Times New Roman" w:hAnsi="Times New Roman"/>
        </w:rPr>
        <w:t xml:space="preserve">от «___» __________ 20__ г.</w:t>
      </w:r>
    </w:p>
    <w:p>
      <w:pPr>
        <w:spacing w:after="60" w:line="276"/>
        <w:ind w:firstLine="709"/>
        <w:jc w:val="both"/>
      </w:pPr>
      <w:r>
        <w:rPr>
          <w:rFonts w:ascii="Times New Roman" w:cs="Times New Roman" w:eastAsia="Times New Roman" w:hAnsi="Times New Roman"/>
        </w:rPr>
        <w:t xml:space="preserve">1 Наименование и адрес объекта огнезащиты: «Завод по производству, хранению, отгрузке смазочных материалов» филиала ООО «ЛЛК-Интернешнл» в с. Ворсино; Калужская обл., Боровский р-н, с. Ворсино, Северная промышленная зона, владение 8; здание: ________________.</w:t>
      </w:r>
    </w:p>
    <w:p>
      <w:pPr>
        <w:spacing w:after="60" w:line="276"/>
        <w:ind w:firstLine="709"/>
        <w:jc w:val="both"/>
      </w:pPr>
      <w:r>
        <w:rPr>
          <w:rFonts w:ascii="Times New Roman" w:cs="Times New Roman" w:eastAsia="Times New Roman" w:hAnsi="Times New Roman"/>
        </w:rPr>
        <w:t xml:space="preserve">2 Производитель огнезащитных работ, номер лицензии: ________________________________.</w:t>
      </w:r>
    </w:p>
    <w:p>
      <w:pPr>
        <w:spacing w:after="60" w:line="276"/>
        <w:ind w:firstLine="709"/>
        <w:jc w:val="both"/>
      </w:pPr>
      <w:r>
        <w:rPr>
          <w:rFonts w:ascii="Times New Roman" w:cs="Times New Roman" w:eastAsia="Times New Roman" w:hAnsi="Times New Roman"/>
        </w:rPr>
        <w:t xml:space="preserve">3 Дата выполнения работ, сведения об акте сдачи-приемки: ________________________________.</w:t>
      </w:r>
    </w:p>
    <w:p>
      <w:pPr>
        <w:spacing w:after="60" w:line="276"/>
        <w:ind w:firstLine="709"/>
        <w:jc w:val="both"/>
      </w:pPr>
      <w:r>
        <w:rPr>
          <w:rFonts w:ascii="Times New Roman" w:cs="Times New Roman" w:eastAsia="Times New Roman" w:hAnsi="Times New Roman"/>
        </w:rPr>
        <w:t xml:space="preserve">4 Вид и площадь защищенных конструкций и материалов: ________________________________.</w:t>
      </w:r>
    </w:p>
    <w:p>
      <w:pPr>
        <w:spacing w:after="60" w:line="276"/>
        <w:ind w:firstLine="709"/>
        <w:jc w:val="both"/>
      </w:pPr>
      <w:r>
        <w:rPr>
          <w:rFonts w:ascii="Times New Roman" w:cs="Times New Roman" w:eastAsia="Times New Roman" w:hAnsi="Times New Roman"/>
        </w:rPr>
        <w:t xml:space="preserve">5 Наименование средства огнезащиты, техническая документация: ________________________________.</w:t>
      </w:r>
    </w:p>
    <w:p>
      <w:pPr>
        <w:spacing w:after="60" w:line="276"/>
        <w:ind w:firstLine="709"/>
        <w:jc w:val="both"/>
      </w:pPr>
      <w:r>
        <w:rPr>
          <w:rFonts w:ascii="Times New Roman" w:cs="Times New Roman" w:eastAsia="Times New Roman" w:hAnsi="Times New Roman"/>
        </w:rPr>
        <w:t xml:space="preserve">6 Номер сертификата соответствия, срок действия: ________________________________.</w:t>
      </w:r>
    </w:p>
    <w:p>
      <w:pPr>
        <w:spacing w:after="60" w:line="276"/>
        <w:ind w:firstLine="709"/>
        <w:jc w:val="both"/>
      </w:pPr>
      <w:r>
        <w:rPr>
          <w:rFonts w:ascii="Times New Roman" w:cs="Times New Roman" w:eastAsia="Times New Roman" w:hAnsi="Times New Roman"/>
        </w:rPr>
        <w:t xml:space="preserve">7 Фактический расход (поглощение) огнезащитного состава, толщина нанесенного огнезащитного материала: ________________________________.</w:t>
      </w:r>
    </w:p>
    <w:p>
      <w:pPr>
        <w:spacing w:after="60" w:line="276"/>
        <w:ind w:firstLine="709"/>
        <w:jc w:val="both"/>
      </w:pPr>
      <w:r>
        <w:rPr>
          <w:rFonts w:ascii="Times New Roman" w:cs="Times New Roman" w:eastAsia="Times New Roman" w:hAnsi="Times New Roman"/>
        </w:rPr>
        <w:t xml:space="preserve">8 Установленный срок службы нанесенного средства огнезащиты и срок его эксплуатации на объекте огнезащиты: ________________________________.</w:t>
      </w:r>
    </w:p>
    <w:p>
      <w:pPr>
        <w:spacing w:after="60" w:line="276"/>
        <w:ind w:firstLine="709"/>
        <w:jc w:val="both"/>
      </w:pPr>
      <w:r>
        <w:rPr>
          <w:rFonts w:ascii="Times New Roman" w:cs="Times New Roman" w:eastAsia="Times New Roman" w:hAnsi="Times New Roman"/>
        </w:rPr>
        <w:t xml:space="preserve">9 Требования пожарной безопасности, предъявляемые к защищенным конструкциям и материалам: ________________________________.</w:t>
      </w:r>
    </w:p>
    <w:p>
      <w:pPr>
        <w:spacing w:after="60" w:line="276"/>
        <w:ind w:firstLine="709"/>
        <w:jc w:val="both"/>
      </w:pPr>
      <w:r>
        <w:rPr>
          <w:rFonts w:ascii="Times New Roman" w:cs="Times New Roman" w:eastAsia="Times New Roman" w:hAnsi="Times New Roman"/>
        </w:rPr>
        <w:t xml:space="preserve">10 Условия эксплуатации средства огнезащиты и их соответствие требованиям технической документации: ________________________________.</w:t>
      </w:r>
    </w:p>
    <w:p>
      <w:pPr>
        <w:keepNext/>
        <w:spacing w:after="60" w:line="276"/>
        <w:ind w:firstLine="709"/>
        <w:jc w:val="both"/>
      </w:pPr>
      <w:r>
        <w:rPr>
          <w:rFonts w:ascii="Times New Roman" w:cs="Times New Roman" w:eastAsia="Times New Roman" w:hAnsi="Times New Roman"/>
        </w:rPr>
        <w:t xml:space="preserve">11 Результаты контроля состояния огнезащищенных конструкций и материалов (результаты визуального осмотра и измерений толщины; толщиномер – зав. №, поверка: ________________):</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450"/>
        <w:gridCol w:w="1300"/>
        <w:gridCol w:w="1000"/>
        <w:gridCol w:w="900"/>
        <w:gridCol w:w="1000"/>
        <w:gridCol w:w="1100"/>
        <w:gridCol w:w="1300"/>
        <w:gridCol w:w="1300"/>
        <w:gridCol w:w="1004"/>
      </w:tblGrid>
      <w:tr>
        <w:trPr>
          <w:cantSplit/>
          <w:tblHeader/>
        </w:trPr>
        <w:tc>
          <w:tcPr>
            <w:tcW w:type="dxa" w:w="450"/>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4"/>
                <w:szCs w:val="24"/>
              </w:rPr>
              <w:t xml:space="preserve">№ точ­ки</w:t>
            </w:r>
          </w:p>
        </w:tc>
        <w:tc>
          <w:tcPr>
            <w:tcW w:type="dxa" w:w="1300"/>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4"/>
                <w:szCs w:val="24"/>
              </w:rPr>
              <w:t xml:space="preserve">Здание, оси, отметка (место)</w:t>
            </w:r>
          </w:p>
        </w:tc>
        <w:tc>
          <w:tcPr>
            <w:tcW w:type="dxa" w:w="1000"/>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4"/>
                <w:szCs w:val="24"/>
              </w:rPr>
              <w:t xml:space="preserve">Марка конс­трук­ции</w:t>
            </w:r>
          </w:p>
        </w:tc>
        <w:tc>
          <w:tcPr>
            <w:tcW w:type="dxa" w:w="900"/>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4"/>
                <w:szCs w:val="24"/>
              </w:rPr>
              <w:t xml:space="preserve">Тре­бу­емый пре­дел</w:t>
            </w:r>
          </w:p>
        </w:tc>
        <w:tc>
          <w:tcPr>
            <w:tcW w:type="dxa" w:w="1000"/>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4"/>
                <w:szCs w:val="24"/>
              </w:rPr>
              <w:t xml:space="preserve">Про­ек­тная тол­щи­на, мм</w:t>
            </w:r>
          </w:p>
        </w:tc>
        <w:tc>
          <w:tcPr>
            <w:tcW w:type="dxa" w:w="1100"/>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4"/>
                <w:szCs w:val="24"/>
              </w:rPr>
              <w:t xml:space="preserve">Из­ме­рен­ная тол­щи­на: min / сред., мм</w:t>
            </w:r>
          </w:p>
        </w:tc>
        <w:tc>
          <w:tcPr>
            <w:tcW w:type="dxa" w:w="1300"/>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4"/>
                <w:szCs w:val="24"/>
              </w:rPr>
              <w:t xml:space="preserve">Пов­реж­де­ния: наличие и характер</w:t>
            </w:r>
          </w:p>
        </w:tc>
        <w:tc>
          <w:tcPr>
            <w:tcW w:type="dxa" w:w="1300"/>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4"/>
                <w:szCs w:val="24"/>
              </w:rPr>
              <w:t xml:space="preserve">Ре­ко­мен­ду­емый срок ус­тра­не­ния</w:t>
            </w:r>
          </w:p>
        </w:tc>
        <w:tc>
          <w:tcPr>
            <w:tcW w:type="dxa" w:w="1004"/>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4"/>
                <w:szCs w:val="24"/>
              </w:rPr>
              <w:t xml:space="preserve">Со­от­вет-ствие</w:t>
            </w:r>
          </w:p>
        </w:tc>
      </w:tr>
      <w:tr>
        <w:trPr>
          <w:cantSplit/>
        </w:trPr>
        <w:tc>
          <w:tcPr>
            <w:tcW w:type="dxa" w:w="4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9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00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r>
      <w:tr>
        <w:trPr>
          <w:cantSplit/>
        </w:trPr>
        <w:tc>
          <w:tcPr>
            <w:tcW w:type="dxa" w:w="4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9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00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r>
      <w:tr>
        <w:trPr>
          <w:cantSplit/>
        </w:trPr>
        <w:tc>
          <w:tcPr>
            <w:tcW w:type="dxa" w:w="4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9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00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r>
      <w:tr>
        <w:trPr>
          <w:cantSplit/>
        </w:trPr>
        <w:tc>
          <w:tcPr>
            <w:tcW w:type="dxa" w:w="4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9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00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r>
      <w:tr>
        <w:trPr>
          <w:cantSplit/>
        </w:trPr>
        <w:tc>
          <w:tcPr>
            <w:tcW w:type="dxa" w:w="4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9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00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r>
      <w:tr>
        <w:trPr>
          <w:cantSplit/>
        </w:trPr>
        <w:tc>
          <w:tcPr>
            <w:tcW w:type="dxa" w:w="4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9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00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r>
    </w:tbl>
    <w:p>
      <w:pPr>
        <w:spacing w:after="60"/>
      </w:pPr>
    </w:p>
    <w:p>
      <w:pPr>
        <w:spacing w:after="60" w:line="276"/>
        <w:ind w:firstLine="709"/>
        <w:jc w:val="both"/>
      </w:pPr>
      <w:r>
        <w:rPr>
          <w:rFonts w:ascii="Times New Roman" w:cs="Times New Roman" w:eastAsia="Times New Roman" w:hAnsi="Times New Roman"/>
        </w:rPr>
        <w:t xml:space="preserve">12 Выводы и предложения: ________________________________________________</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4677"/>
        <w:gridCol w:w="4677"/>
      </w:tblGrid>
      <w:tr>
        <w:tc>
          <w:tcPr>
            <w:tcW w:type="dxa" w:w="4677"/>
            <w:tcBorders>
              <w:top w:val="none" w:color="FFFFFF" w:sz="0"/>
              <w:left w:val="none" w:color="FFFFFF" w:sz="0"/>
              <w:bottom w:val="none" w:color="FFFFFF" w:sz="0"/>
              <w:right w:val="none" w:color="FFFFFF" w:sz="0"/>
            </w:tcBorders>
          </w:tcPr>
          <w:p>
            <w:pPr>
              <w:spacing w:after="40"/>
            </w:pPr>
            <w:r>
              <w:rPr>
                <w:rFonts w:ascii="Times New Roman" w:cs="Times New Roman" w:eastAsia="Times New Roman" w:hAnsi="Times New Roman"/>
                <w:sz w:val="28"/>
                <w:szCs w:val="28"/>
              </w:rPr>
              <w:t xml:space="preserve">Представитель эксплуатирующей организации:</w:t>
            </w:r>
          </w:p>
          <w:p>
            <w:pPr>
              <w:spacing w:after="40"/>
            </w:pPr>
            <w:r>
              <w:rPr>
                <w:rFonts w:ascii="Times New Roman" w:cs="Times New Roman" w:eastAsia="Times New Roman" w:hAnsi="Times New Roman"/>
                <w:sz w:val="28"/>
                <w:szCs w:val="28"/>
              </w:rPr>
              <w:t xml:space="preserve">________________ (должность)</w:t>
            </w:r>
          </w:p>
          <w:p>
            <w:pPr>
              <w:spacing w:after="40"/>
            </w:pPr>
            <w:r>
              <w:rPr>
                <w:rFonts w:ascii="Times New Roman" w:cs="Times New Roman" w:eastAsia="Times New Roman" w:hAnsi="Times New Roman"/>
                <w:sz w:val="28"/>
                <w:szCs w:val="28"/>
              </w:rPr>
              <w:t xml:space="preserve">________________ (фамилия и инициалы)</w:t>
            </w:r>
          </w:p>
          <w:p>
            <w:pPr>
              <w:spacing w:after="40"/>
            </w:pPr>
            <w:r>
              <w:rPr>
                <w:rFonts w:ascii="Times New Roman" w:cs="Times New Roman" w:eastAsia="Times New Roman" w:hAnsi="Times New Roman"/>
                <w:sz w:val="28"/>
                <w:szCs w:val="28"/>
              </w:rPr>
              <w:t xml:space="preserve">________________ (подпись)</w:t>
            </w:r>
          </w:p>
        </w:tc>
        <w:tc>
          <w:tcPr>
            <w:tcW w:type="dxa" w:w="4677"/>
            <w:tcBorders>
              <w:top w:val="none" w:color="FFFFFF" w:sz="0"/>
              <w:left w:val="none" w:color="FFFFFF" w:sz="0"/>
              <w:bottom w:val="none" w:color="FFFFFF" w:sz="0"/>
              <w:right w:val="none" w:color="FFFFFF" w:sz="0"/>
            </w:tcBorders>
          </w:tcPr>
          <w:p>
            <w:pPr>
              <w:spacing w:after="40"/>
            </w:pPr>
            <w:r>
              <w:rPr>
                <w:rFonts w:ascii="Times New Roman" w:cs="Times New Roman" w:eastAsia="Times New Roman" w:hAnsi="Times New Roman"/>
                <w:sz w:val="28"/>
                <w:szCs w:val="28"/>
              </w:rPr>
              <w:t xml:space="preserve">Представитель организации, выполнившей контроль:</w:t>
            </w:r>
          </w:p>
          <w:p>
            <w:pPr>
              <w:spacing w:after="40"/>
            </w:pPr>
            <w:r>
              <w:rPr>
                <w:rFonts w:ascii="Times New Roman" w:cs="Times New Roman" w:eastAsia="Times New Roman" w:hAnsi="Times New Roman"/>
                <w:sz w:val="28"/>
                <w:szCs w:val="28"/>
              </w:rPr>
              <w:t xml:space="preserve">________________ (должность)</w:t>
            </w:r>
          </w:p>
          <w:p>
            <w:pPr>
              <w:spacing w:after="40"/>
            </w:pPr>
            <w:r>
              <w:rPr>
                <w:rFonts w:ascii="Times New Roman" w:cs="Times New Roman" w:eastAsia="Times New Roman" w:hAnsi="Times New Roman"/>
                <w:sz w:val="28"/>
                <w:szCs w:val="28"/>
              </w:rPr>
              <w:t xml:space="preserve">________________ (фамилия и инициалы)</w:t>
            </w:r>
          </w:p>
          <w:p>
            <w:pPr>
              <w:spacing w:after="40"/>
            </w:pPr>
            <w:r>
              <w:rPr>
                <w:rFonts w:ascii="Times New Roman" w:cs="Times New Roman" w:eastAsia="Times New Roman" w:hAnsi="Times New Roman"/>
                <w:sz w:val="28"/>
                <w:szCs w:val="28"/>
              </w:rPr>
              <w:t xml:space="preserve">________________ (подпись)</w:t>
            </w:r>
          </w:p>
        </w:tc>
      </w:tr>
    </w:tbl>
    <w:p>
      <w:pPr>
        <w:pStyle w:val="Heading1"/>
        <w:pageBreakBefore/>
        <w:spacing w:after="0"/>
        <w:jc w:val="center"/>
      </w:pPr>
      <w:r>
        <w:rPr>
          <w:rFonts w:ascii="Times New Roman" w:cs="Times New Roman" w:eastAsia="Times New Roman" w:hAnsi="Times New Roman"/>
          <w:b/>
          <w:bCs/>
          <w:sz w:val="32"/>
          <w:szCs w:val="32"/>
        </w:rPr>
        <w:t xml:space="preserve">Приложение И</w:t>
      </w:r>
    </w:p>
    <w:p>
      <w:pPr>
        <w:keepNext/>
        <w:spacing w:after="0" w:before="0"/>
        <w:jc w:val="center"/>
      </w:pPr>
      <w:r>
        <w:rPr>
          <w:rFonts w:ascii="Times New Roman" w:cs="Times New Roman" w:eastAsia="Times New Roman" w:hAnsi="Times New Roman"/>
          <w:sz w:val="28"/>
          <w:szCs w:val="28"/>
        </w:rPr>
        <w:t xml:space="preserve">(справочное)</w:t>
      </w:r>
    </w:p>
    <w:p>
      <w:pPr>
        <w:keepNext/>
        <w:spacing w:after="160" w:before="60"/>
        <w:jc w:val="center"/>
      </w:pPr>
      <w:r>
        <w:rPr>
          <w:rFonts w:ascii="Times New Roman" w:cs="Times New Roman" w:eastAsia="Times New Roman" w:hAnsi="Times New Roman"/>
          <w:b/>
          <w:bCs/>
          <w:sz w:val="32"/>
          <w:szCs w:val="32"/>
        </w:rPr>
        <w:t xml:space="preserve">Перечень исходных данных, подлежащих представлению до испытаний</w:t>
      </w:r>
    </w:p>
    <w:p>
      <w:pPr>
        <w:pStyle w:val="ListParagraph"/>
        <w:numPr>
          <w:ilvl w:val="0"/>
          <w:numId w:val="6"/>
        </w:numPr>
        <w:spacing w:after="40" w:line="276"/>
        <w:jc w:val="both"/>
      </w:pPr>
      <w:r>
        <w:rPr>
          <w:rFonts w:ascii="Times New Roman" w:cs="Times New Roman" w:eastAsia="Times New Roman" w:hAnsi="Times New Roman"/>
        </w:rPr>
        <w:t xml:space="preserve">Действующая редакция СТУ с отметками о согласовании; сведения об изменениях СТУ (при наличии).</w:t>
      </w:r>
    </w:p>
    <w:p>
      <w:pPr>
        <w:pStyle w:val="ListParagraph"/>
        <w:numPr>
          <w:ilvl w:val="0"/>
          <w:numId w:val="6"/>
        </w:numPr>
        <w:spacing w:after="40" w:line="276"/>
        <w:jc w:val="both"/>
      </w:pPr>
      <w:r>
        <w:rPr>
          <w:rFonts w:ascii="Times New Roman" w:cs="Times New Roman" w:eastAsia="Times New Roman" w:hAnsi="Times New Roman"/>
        </w:rPr>
        <w:t xml:space="preserve">Генеральный план с проездами, подъездами к резервуарным паркам и площадками для установки ПА.</w:t>
      </w:r>
    </w:p>
    <w:p>
      <w:pPr>
        <w:pStyle w:val="ListParagraph"/>
        <w:numPr>
          <w:ilvl w:val="0"/>
          <w:numId w:val="6"/>
        </w:numPr>
        <w:spacing w:after="40" w:line="276"/>
        <w:jc w:val="both"/>
      </w:pPr>
      <w:r>
        <w:rPr>
          <w:rFonts w:ascii="Times New Roman" w:cs="Times New Roman" w:eastAsia="Times New Roman" w:hAnsi="Times New Roman"/>
        </w:rPr>
        <w:t xml:space="preserve">Технологическая схема резервуарных парков с номерами, объёмами и диаметрами резервуаров.</w:t>
      </w:r>
    </w:p>
    <w:p>
      <w:pPr>
        <w:pStyle w:val="ListParagraph"/>
        <w:numPr>
          <w:ilvl w:val="0"/>
          <w:numId w:val="6"/>
        </w:numPr>
        <w:spacing w:after="40" w:line="276"/>
        <w:jc w:val="both"/>
      </w:pPr>
      <w:r>
        <w:rPr>
          <w:rFonts w:ascii="Times New Roman" w:cs="Times New Roman" w:eastAsia="Times New Roman" w:hAnsi="Times New Roman"/>
        </w:rPr>
        <w:t xml:space="preserve">Проект 0943 «Расширение склада базовых масел» в полном объёме; расчёт пожарного риска с учётом расширения (при наличии).</w:t>
      </w:r>
    </w:p>
    <w:p>
      <w:pPr>
        <w:pStyle w:val="ListParagraph"/>
        <w:numPr>
          <w:ilvl w:val="0"/>
          <w:numId w:val="6"/>
        </w:numPr>
        <w:spacing w:after="40" w:line="276"/>
        <w:jc w:val="both"/>
      </w:pPr>
      <w:r>
        <w:rPr>
          <w:rFonts w:ascii="Times New Roman" w:cs="Times New Roman" w:eastAsia="Times New Roman" w:hAnsi="Times New Roman"/>
        </w:rPr>
        <w:t xml:space="preserve">Проектная документация стационарных установок охлаждения и пенотушения резервуаров и сухих трубопроводов (пп. 3.16, 3.17 СТУ).</w:t>
      </w:r>
    </w:p>
    <w:p>
      <w:pPr>
        <w:pStyle w:val="ListParagraph"/>
        <w:numPr>
          <w:ilvl w:val="0"/>
          <w:numId w:val="6"/>
        </w:numPr>
        <w:spacing w:after="40" w:line="276"/>
        <w:jc w:val="both"/>
      </w:pPr>
      <w:r>
        <w:rPr>
          <w:rFonts w:ascii="Times New Roman" w:cs="Times New Roman" w:eastAsia="Times New Roman" w:hAnsi="Times New Roman"/>
        </w:rPr>
        <w:t xml:space="preserve">Проектная документация НПВ: схема сети с гидрантами ПГ1–ПГ10, расчётное число одновременно используемых гидрантов, требуемый объём противопожарного запаса воды и расчётное время, устройства неприкосновенности запаса; 0115.032-АПТ1, 0115.032-АПТ2 (насосная станция пожаротушения, объём баков и резервный запас пенообразователя); 0115.000-АПТ1 (пенотушение эстакад); недостающие листы 0115.000-АПТ.</w:t>
      </w:r>
    </w:p>
    <w:p>
      <w:pPr>
        <w:pStyle w:val="ListParagraph"/>
        <w:numPr>
          <w:ilvl w:val="0"/>
          <w:numId w:val="6"/>
        </w:numPr>
        <w:spacing w:after="40" w:line="276"/>
        <w:jc w:val="both"/>
      </w:pPr>
      <w:r>
        <w:rPr>
          <w:rFonts w:ascii="Times New Roman" w:cs="Times New Roman" w:eastAsia="Times New Roman" w:hAnsi="Times New Roman"/>
        </w:rPr>
        <w:t xml:space="preserve">Проектная документация СОУЭ всех зданий (0115.0101.0102-СОУЭ, 0115.010-СОУЭ, 0115.023-СОУЭ и других); пожарной сигнализации КПП, котельной и участка подготовки масла (0115.0101.0102-АПС, 0115.041-ОПС, 0115.042-ОПС).</w:t>
      </w:r>
    </w:p>
    <w:p>
      <w:pPr>
        <w:pStyle w:val="ListParagraph"/>
        <w:numPr>
          <w:ilvl w:val="0"/>
          <w:numId w:val="6"/>
        </w:numPr>
        <w:spacing w:after="40" w:line="276"/>
        <w:jc w:val="both"/>
      </w:pPr>
      <w:r>
        <w:rPr>
          <w:rFonts w:ascii="Times New Roman" w:cs="Times New Roman" w:eastAsia="Times New Roman" w:hAnsi="Times New Roman"/>
        </w:rPr>
        <w:t xml:space="preserve">Проектная документация вентиляции и дымоудаления ПСК (0115.010-ОВ2, 0115.010-АОВ1), в том числе противодымной вентиляции производственного цеха (п. 3.2 СТУ), огнезадерживающих клапанов помещений № 216, 140, 141 и удаления ГОТВ; 0115.023-АОВ в полном объёме.</w:t>
      </w:r>
    </w:p>
    <w:p>
      <w:pPr>
        <w:pStyle w:val="ListParagraph"/>
        <w:numPr>
          <w:ilvl w:val="0"/>
          <w:numId w:val="6"/>
        </w:numPr>
        <w:spacing w:after="40" w:line="276"/>
        <w:jc w:val="both"/>
      </w:pPr>
      <w:r>
        <w:rPr>
          <w:rFonts w:ascii="Times New Roman" w:cs="Times New Roman" w:eastAsia="Times New Roman" w:hAnsi="Times New Roman"/>
        </w:rPr>
        <w:t xml:space="preserve">Проектная документация порошковой установки дизель-генераторного зала.</w:t>
      </w:r>
    </w:p>
    <w:p>
      <w:pPr>
        <w:pStyle w:val="ListParagraph"/>
        <w:numPr>
          <w:ilvl w:val="0"/>
          <w:numId w:val="6"/>
        </w:numPr>
        <w:spacing w:after="40" w:line="276"/>
        <w:jc w:val="both"/>
      </w:pPr>
      <w:r>
        <w:rPr>
          <w:rFonts w:ascii="Times New Roman" w:cs="Times New Roman" w:eastAsia="Times New Roman" w:hAnsi="Times New Roman"/>
        </w:rPr>
        <w:t xml:space="preserve">Исполнительная конфигурация приборов «Орион» и С2000-АСПТ (разделы, задержки, адреса); канал передачи извещений и принимающий пульт пожарной охраны; расчёт ёмкости аккумуляторных батарей.</w:t>
      </w:r>
    </w:p>
    <w:p>
      <w:pPr>
        <w:pStyle w:val="ListParagraph"/>
        <w:numPr>
          <w:ilvl w:val="0"/>
          <w:numId w:val="6"/>
        </w:numPr>
        <w:spacing w:after="40" w:line="276"/>
        <w:jc w:val="both"/>
      </w:pPr>
      <w:r>
        <w:rPr>
          <w:rFonts w:ascii="Times New Roman" w:cs="Times New Roman" w:eastAsia="Times New Roman" w:hAnsi="Times New Roman"/>
        </w:rPr>
        <w:t xml:space="preserve">Паспорта модулей газового пожаротушения МПА-NVC1230 и электромагнитных приводов; указания изготовителя по проверке пусковых цепей без выпуска ОТВ.</w:t>
      </w:r>
    </w:p>
    <w:p>
      <w:pPr>
        <w:pStyle w:val="ListParagraph"/>
        <w:numPr>
          <w:ilvl w:val="0"/>
          <w:numId w:val="6"/>
        </w:numPr>
        <w:spacing w:after="40" w:line="276"/>
        <w:jc w:val="both"/>
      </w:pPr>
      <w:r>
        <w:rPr>
          <w:rFonts w:ascii="Times New Roman" w:cs="Times New Roman" w:eastAsia="Times New Roman" w:hAnsi="Times New Roman"/>
        </w:rPr>
        <w:t xml:space="preserve">Проект огнезащиты; акты скрытых работ.</w:t>
      </w:r>
    </w:p>
    <w:p>
      <w:pPr>
        <w:pStyle w:val="ListParagraph"/>
        <w:numPr>
          <w:ilvl w:val="0"/>
          <w:numId w:val="6"/>
        </w:numPr>
        <w:spacing w:after="40" w:line="276"/>
        <w:jc w:val="both"/>
      </w:pPr>
      <w:r>
        <w:rPr>
          <w:rFonts w:ascii="Times New Roman" w:cs="Times New Roman" w:eastAsia="Times New Roman" w:hAnsi="Times New Roman"/>
        </w:rPr>
        <w:t xml:space="preserve">Расчёт пожарного риска и раздел МОПБ.</w:t>
      </w:r>
    </w:p>
    <w:p>
      <w:pPr>
        <w:pStyle w:val="ListParagraph"/>
        <w:numPr>
          <w:ilvl w:val="0"/>
          <w:numId w:val="6"/>
        </w:numPr>
        <w:spacing w:after="40" w:line="276"/>
        <w:jc w:val="both"/>
      </w:pPr>
      <w:r>
        <w:rPr>
          <w:rFonts w:ascii="Times New Roman" w:cs="Times New Roman" w:eastAsia="Times New Roman" w:hAnsi="Times New Roman"/>
        </w:rPr>
        <w:t xml:space="preserve">ТТХ пожарной техники подразделения, в район выезда которого входит объект; сведения о времени прибытия.</w:t>
      </w:r>
    </w:p>
    <w:p>
      <w:pPr>
        <w:pStyle w:val="ListParagraph"/>
        <w:numPr>
          <w:ilvl w:val="0"/>
          <w:numId w:val="6"/>
        </w:numPr>
        <w:spacing w:after="40" w:line="276"/>
        <w:jc w:val="both"/>
      </w:pPr>
      <w:r>
        <w:rPr>
          <w:rFonts w:ascii="Times New Roman" w:cs="Times New Roman" w:eastAsia="Times New Roman" w:hAnsi="Times New Roman"/>
        </w:rPr>
        <w:t xml:space="preserve">Эксплуатационная документация: журнал эксплуатации систем противопожарной защиты, акты проверок по п. 54 ППР, договор на техническое обслуживание.</w:t>
      </w:r>
    </w:p>
    <w:p>
      <w:pPr>
        <w:sectPr>
          <w:footerReference w:type="default" r:id="rId9"/>
          <w:pgSz w:w="11906" w:h="16838" w:orient="portrait"/>
          <w:pgMar w:top="1134" w:right="850" w:bottom="1134" w:left="1701" w:header="708" w:footer="708" w:gutter="0"/>
          <w:pgNumType/>
          <w:docGrid w:linePitch="360"/>
        </w:sectPr>
      </w:pPr>
    </w:p>
    <w:p>
      <w:pPr>
        <w:pStyle w:val="Heading1"/>
        <w:pageBreakBefore/>
        <w:spacing w:after="0"/>
        <w:jc w:val="center"/>
      </w:pPr>
      <w:r>
        <w:rPr>
          <w:rFonts w:ascii="Times New Roman" w:cs="Times New Roman" w:eastAsia="Times New Roman" w:hAnsi="Times New Roman"/>
          <w:b/>
          <w:bCs/>
          <w:sz w:val="32"/>
          <w:szCs w:val="32"/>
        </w:rPr>
        <w:t xml:space="preserve">Приложение К</w:t>
      </w:r>
    </w:p>
    <w:p>
      <w:pPr>
        <w:keepNext/>
        <w:spacing w:after="0" w:before="0"/>
        <w:jc w:val="center"/>
      </w:pPr>
      <w:r>
        <w:rPr>
          <w:rFonts w:ascii="Times New Roman" w:cs="Times New Roman" w:eastAsia="Times New Roman" w:hAnsi="Times New Roman"/>
          <w:sz w:val="28"/>
          <w:szCs w:val="28"/>
        </w:rPr>
        <w:t xml:space="preserve">(рекомендуемое)</w:t>
      </w:r>
    </w:p>
    <w:p>
      <w:pPr>
        <w:keepNext/>
        <w:spacing w:after="160" w:before="60"/>
        <w:jc w:val="center"/>
      </w:pPr>
      <w:r>
        <w:rPr>
          <w:rFonts w:ascii="Times New Roman" w:cs="Times New Roman" w:eastAsia="Times New Roman" w:hAnsi="Times New Roman"/>
          <w:b/>
          <w:bCs/>
          <w:sz w:val="32"/>
          <w:szCs w:val="32"/>
        </w:rPr>
        <w:t xml:space="preserve">Форма таблицы алгоритмов взаимодействия систем противопожарной защиты</w:t>
      </w:r>
    </w:p>
    <w:tbl>
      <w:tblPr>
        <w:tblW w:type="dxa" w:w="14287"/>
        <w:tblBorders>
          <w:top w:val="single" w:color="auto" w:sz="4"/>
          <w:left w:val="single" w:color="auto" w:sz="4"/>
          <w:bottom w:val="single" w:color="auto" w:sz="4"/>
          <w:right w:val="single" w:color="auto" w:sz="4"/>
          <w:insideH w:val="single" w:color="auto" w:sz="4"/>
          <w:insideV w:val="single" w:color="auto" w:sz="4"/>
        </w:tblBorders>
      </w:tblPr>
      <w:tblGrid>
        <w:gridCol w:w="600"/>
        <w:gridCol w:w="1900"/>
        <w:gridCol w:w="1500"/>
        <w:gridCol w:w="1500"/>
        <w:gridCol w:w="2300"/>
        <w:gridCol w:w="1000"/>
        <w:gridCol w:w="1900"/>
        <w:gridCol w:w="1100"/>
        <w:gridCol w:w="1300"/>
        <w:gridCol w:w="1187"/>
      </w:tblGrid>
      <w:tr>
        <w:trPr>
          <w:cantSplit/>
          <w:tblHeader/>
        </w:trPr>
        <w:tc>
          <w:tcPr>
            <w:tcW w:type="dxa" w:w="600"/>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4"/>
                <w:szCs w:val="24"/>
              </w:rPr>
              <w:t xml:space="preserve">№ п/п</w:t>
            </w:r>
          </w:p>
        </w:tc>
        <w:tc>
          <w:tcPr>
            <w:tcW w:type="dxa" w:w="1900"/>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4"/>
                <w:szCs w:val="24"/>
              </w:rPr>
              <w:t xml:space="preserve">Здание, ЗКСПС, адрес и тип ИП</w:t>
            </w:r>
          </w:p>
        </w:tc>
        <w:tc>
          <w:tcPr>
            <w:tcW w:type="dxa" w:w="1500"/>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4"/>
                <w:szCs w:val="24"/>
              </w:rPr>
              <w:t xml:space="preserve">Условие фор­ми­ро­ва­ния сигнала («Внимание», «Пожар», число ИП)</w:t>
            </w:r>
          </w:p>
        </w:tc>
        <w:tc>
          <w:tcPr>
            <w:tcW w:type="dxa" w:w="1500"/>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4"/>
                <w:szCs w:val="24"/>
              </w:rPr>
              <w:t xml:space="preserve">Прибор, выход (реле, адрес, цифровое сообщение)</w:t>
            </w:r>
          </w:p>
        </w:tc>
        <w:tc>
          <w:tcPr>
            <w:tcW w:type="dxa" w:w="2300"/>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4"/>
                <w:szCs w:val="24"/>
              </w:rPr>
              <w:t xml:space="preserve">Команда и исполнительное устройство (система, проектное обозначение)</w:t>
            </w:r>
          </w:p>
        </w:tc>
        <w:tc>
          <w:tcPr>
            <w:tcW w:type="dxa" w:w="1000"/>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4"/>
                <w:szCs w:val="24"/>
              </w:rPr>
              <w:t xml:space="preserve">За­дер­жка по про­ек­ту, с</w:t>
            </w:r>
          </w:p>
        </w:tc>
        <w:tc>
          <w:tcPr>
            <w:tcW w:type="dxa" w:w="1900"/>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4"/>
                <w:szCs w:val="24"/>
              </w:rPr>
              <w:t xml:space="preserve">Обратный сигнал и место отображения</w:t>
            </w:r>
          </w:p>
        </w:tc>
        <w:tc>
          <w:tcPr>
            <w:tcW w:type="dxa" w:w="1100"/>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4"/>
                <w:szCs w:val="24"/>
              </w:rPr>
              <w:t xml:space="preserve">Код про­вер­ки</w:t>
            </w:r>
          </w:p>
        </w:tc>
        <w:tc>
          <w:tcPr>
            <w:tcW w:type="dxa" w:w="1300"/>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4"/>
                <w:szCs w:val="24"/>
              </w:rPr>
              <w:t xml:space="preserve">Про­ек­тная ссылка (лист, позиция)</w:t>
            </w:r>
          </w:p>
        </w:tc>
        <w:tc>
          <w:tcPr>
            <w:tcW w:type="dxa" w:w="1187"/>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4"/>
                <w:szCs w:val="24"/>
              </w:rPr>
              <w:t xml:space="preserve">Ре­зуль­тат про­вер­ки</w:t>
            </w:r>
          </w:p>
        </w:tc>
      </w:tr>
      <w:tr>
        <w:trPr>
          <w:cantSplit/>
        </w:trPr>
        <w:tc>
          <w:tcPr>
            <w:tcW w:type="dxa" w:w="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2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18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r>
      <w:tr>
        <w:trPr>
          <w:cantSplit/>
        </w:trPr>
        <w:tc>
          <w:tcPr>
            <w:tcW w:type="dxa" w:w="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2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18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r>
      <w:tr>
        <w:trPr>
          <w:cantSplit/>
        </w:trPr>
        <w:tc>
          <w:tcPr>
            <w:tcW w:type="dxa" w:w="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2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18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r>
      <w:tr>
        <w:trPr>
          <w:cantSplit/>
        </w:trPr>
        <w:tc>
          <w:tcPr>
            <w:tcW w:type="dxa" w:w="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2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18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r>
      <w:tr>
        <w:trPr>
          <w:cantSplit/>
        </w:trPr>
        <w:tc>
          <w:tcPr>
            <w:tcW w:type="dxa" w:w="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2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18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r>
      <w:tr>
        <w:trPr>
          <w:cantSplit/>
        </w:trPr>
        <w:tc>
          <w:tcPr>
            <w:tcW w:type="dxa" w:w="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2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18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r>
      <w:tr>
        <w:trPr>
          <w:cantSplit/>
        </w:trPr>
        <w:tc>
          <w:tcPr>
            <w:tcW w:type="dxa" w:w="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2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18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r>
      <w:tr>
        <w:trPr>
          <w:cantSplit/>
        </w:trPr>
        <w:tc>
          <w:tcPr>
            <w:tcW w:type="dxa" w:w="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2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18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r>
    </w:tbl>
    <w:p>
      <w:pPr>
        <w:spacing w:after="60"/>
      </w:pPr>
    </w:p>
    <w:p>
      <w:pPr>
        <w:spacing w:after="80"/>
        <w:ind w:firstLine="709"/>
        <w:jc w:val="both"/>
      </w:pPr>
      <w:r>
        <w:rPr>
          <w:rFonts w:ascii="Times New Roman" w:cs="Times New Roman" w:eastAsia="Times New Roman" w:hAnsi="Times New Roman"/>
          <w:sz w:val="24"/>
          <w:szCs w:val="24"/>
        </w:rPr>
        <w:t xml:space="preserve">Примечания</w:t>
      </w:r>
    </w:p>
    <w:p>
      <w:pPr>
        <w:spacing w:after="80"/>
        <w:ind w:firstLine="709"/>
        <w:jc w:val="both"/>
      </w:pPr>
      <w:r>
        <w:rPr>
          <w:rFonts w:ascii="Times New Roman" w:cs="Times New Roman" w:eastAsia="Times New Roman" w:hAnsi="Times New Roman"/>
          <w:sz w:val="24"/>
          <w:szCs w:val="24"/>
        </w:rPr>
        <w:t xml:space="preserve">1 Таблицу составляют по проектной и рабочей документации на СПС, СОУЭ, АУП, противодымную вентиляцию и противопожарное водоснабжение до начала испытаний (ГОСТ Р 59638-2021, Б.4.2). Каждая строка соответствует одной связи «событие – команда – обратный сигнал». Графу «Результат проверки» заполняют по записи журнала проверок с указанием её номера.</w:t>
      </w:r>
    </w:p>
    <w:p>
      <w:pPr>
        <w:spacing w:after="80"/>
        <w:ind w:firstLine="709"/>
        <w:jc w:val="both"/>
      </w:pPr>
      <w:r>
        <w:rPr>
          <w:rFonts w:ascii="Times New Roman" w:cs="Times New Roman" w:eastAsia="Times New Roman" w:hAnsi="Times New Roman"/>
          <w:sz w:val="24"/>
          <w:szCs w:val="24"/>
        </w:rPr>
        <w:t xml:space="preserve">2 Исходные данные для заполнения: выходы С2000-КПБ по шкафам TC1–TC8 (0115.010-АПС); адреса АО1.040–АО1.047 и АО1.101–АО1.103 насосной ГЖ (0115.023-АПС, 0115.023-АОВ); выходы С2000-АСПТ № 50, 53, 54 (0115.010-ГПТ); выходы С2000-СП2 и входы С2000-АР8 водяной завесы (0943-СПС).</w:t>
      </w:r>
    </w:p>
    <w:sectPr>
      <w:footerReference w:type="default" r:id="rId10"/>
      <w:pgSz w:w="16838" w:h="11906" w:orient="landscape"/>
      <w:pgMar w:top="1701" w:right="1134" w:bottom="850"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4"/>
        <w:szCs w:val="24"/>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4"/>
        <w:szCs w:val="24"/>
      </w:rPr>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4"/>
        <w:szCs w:val="24"/>
      </w:rPr>
      <w:fldChar w:fldCharType="begin"/>
      <w:instrText xml:space="preserve">PAGE</w:instrText>
      <w:fldChar w:fldCharType="separate"/>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4"/>
        <w:szCs w:val="24"/>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0" w:firstLine="709"/>
      </w:pPr>
      <w:rPr>
        <w:rFonts w:ascii="Times New Roman" w:cs="Times New Roman" w:eastAsia="Times New Roman" w:hAnsi="Times New Roman"/>
      </w:rPr>
    </w:lvl>
  </w:abstractNum>
  <w:abstractNum w:abstractNumId="3" w15:restartNumberingAfterBreak="0">
    <w:multiLevelType w:val="hybridMultilevel"/>
    <w:lvl w:ilvl="0" w15:tentative="1">
      <w:start w:val="1"/>
      <w:numFmt w:val="decimal"/>
      <w:lvlText w:val="%1)"/>
      <w:lvlJc w:val="left"/>
      <w:pPr>
        <w:ind w:left="0" w:firstLine="709"/>
      </w:pPr>
      <w:rPr>
        <w:rFonts w:ascii="Times New Roman" w:cs="Times New Roman" w:eastAsia="Times New Roman" w:hAnsi="Times New Roman"/>
      </w:rPr>
    </w:lvl>
  </w:abstractNum>
  <w:abstractNum w:abstractNumId="4" w15:restartNumberingAfterBreak="0">
    <w:multiLevelType w:val="hybridMultilevel"/>
    <w:lvl w:ilvl="0" w15:tentative="1">
      <w:start w:val="1"/>
      <w:numFmt w:val="decimal"/>
      <w:lvlText w:val="%1)"/>
      <w:lvlJc w:val="left"/>
      <w:pPr>
        <w:ind w:left="0" w:firstLine="709"/>
      </w:pPr>
      <w:rPr>
        <w:rFonts w:ascii="Times New Roman" w:cs="Times New Roman" w:eastAsia="Times New Roman" w:hAnsi="Times New Roman"/>
      </w:rPr>
    </w:lvl>
  </w:abstractNum>
  <w:abstractNum w:abstractNumId="5" w15:restartNumberingAfterBreak="0">
    <w:multiLevelType w:val="hybridMultilevel"/>
    <w:lvl w:ilvl="0" w15:tentative="1">
      <w:start w:val="1"/>
      <w:numFmt w:val="decimal"/>
      <w:lvlText w:val="%1)"/>
      <w:lvlJc w:val="left"/>
      <w:pPr>
        <w:ind w:left="0" w:firstLine="709"/>
      </w:pPr>
      <w:rPr>
        <w:rFonts w:ascii="Times New Roman" w:cs="Times New Roman" w:eastAsia="Times New Roman" w:hAnsi="Times New Roman"/>
      </w:rPr>
    </w:lvl>
  </w:abstractNum>
  <w:abstractNum w:abstractNumId="6" w15:restartNumberingAfterBreak="0">
    <w:multiLevelType w:val="hybridMultilevel"/>
    <w:lvl w:ilvl="0" w15:tentative="1">
      <w:start w:val="1"/>
      <w:numFmt w:val="decimal"/>
      <w:lvlText w:val="%1)"/>
      <w:lvlJc w:val="left"/>
      <w:pPr>
        <w:ind w:left="0" w:firstLine="709"/>
      </w:pPr>
      <w:rPr>
        <w:rFonts w:ascii="Times New Roman" w:cs="Times New Roman" w:eastAsia="Times New Roman" w:hAnsi="Times New Roman"/>
      </w:rPr>
    </w:lvl>
  </w:abstractNum>
  <w:abstractNum w:abstractNumId="7" w15:restartNumberingAfterBreak="0">
    <w:multiLevelType w:val="hybridMultilevel"/>
    <w:lvl w:ilvl="0" w15:tentative="1">
      <w:start w:val="1"/>
      <w:numFmt w:val="decimal"/>
      <w:lvlText w:val="%1)"/>
      <w:lvlJc w:val="left"/>
      <w:pPr>
        <w:ind w:left="0" w:firstLine="709"/>
      </w:pPr>
      <w:rPr>
        <w:rFonts w:ascii="Times New Roman" w:cs="Times New Roman" w:eastAsia="Times New Roman" w:hAnsi="Times New Roman"/>
      </w:rPr>
    </w:lvl>
  </w:abstractNum>
  <w:num w:numId="1">
    <w:abstractNumId w:val="1"/>
    <w:lvlOverride w:ilvl="0">
      <w:startOverride w:val="1"/>
    </w:lvlOverride>
  </w:num>
  <w:num w:numId="2">
    <w:abstractNumId w:val="2"/>
    <w:lvlOverride w:ilvl="0">
      <w:startOverride w:val="1"/>
    </w:lvlOverride>
  </w:num>
  <w:num w:numId="3">
    <w:abstractNumId w:val="4"/>
    <w:lvlOverride w:ilvl="0">
      <w:startOverride w:val="1"/>
    </w:lvlOverride>
  </w:num>
  <w:num w:numId="4">
    <w:abstractNumId w:val="5"/>
    <w:lvlOverride w:ilvl="0">
      <w:startOverride w:val="1"/>
    </w:lvlOverride>
  </w:num>
  <w:num w:numId="5">
    <w:abstractNumId w:val="6"/>
    <w:lvlOverride w:ilvl="0">
      <w:startOverride w:val="1"/>
    </w:lvlOverride>
  </w:num>
  <w:num w:numId="6">
    <w:abstractNumId w:val="7"/>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8"/>
        <w:szCs w:val="28"/>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Times New Roman" w:cs="Times New Roman" w:eastAsia="Times New Roman" w:hAnsi="Times New Roman"/>
      <w:b/>
      <w:bCs/>
      <w:color w:val="000000"/>
      <w:sz w:val="32"/>
      <w:szCs w:val="32"/>
    </w:rPr>
  </w:style>
  <w:style w:type="paragraph" w:styleId="Heading2">
    <w:name w:val="Heading 2"/>
    <w:basedOn w:val="Normal"/>
    <w:next w:val="Normal"/>
    <w:qFormat/>
    <w:pPr>
      <w:outlineLvl w:val="1"/>
    </w:pPr>
    <w:rPr>
      <w:rFonts w:ascii="Times New Roman" w:cs="Times New Roman" w:eastAsia="Times New Roman" w:hAnsi="Times New Roman"/>
      <w:b/>
      <w:bCs/>
      <w:color w:val="000000"/>
      <w:sz w:val="32"/>
      <w:szCs w:val="3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oter" Target="footer3.xml"/><Relationship Id="rId10" Type="http://schemas.openxmlformats.org/officeDocument/2006/relationships/footer" Target="footer4.xml"/><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er4.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Программа комплексных испытаний систем противопожарной защиты</dc:title>
  <dc:creator>ЛЛК-Интернешнл, филиал в с. Ворсино</dc:creator>
  <cp:lastModifiedBy>Un-named</cp:lastModifiedBy>
  <cp:revision>1</cp:revision>
  <dcterms:created xsi:type="dcterms:W3CDTF">2026-10-15T09:23:28.865Z</dcterms:created>
  <dcterms:modified xsi:type="dcterms:W3CDTF">2026-10-15T09:23:28.870Z</dcterms:modified>
</cp:coreProperties>
</file>

<file path=docProps/custom.xml><?xml version="1.0" encoding="utf-8"?>
<Properties xmlns="http://schemas.openxmlformats.org/officeDocument/2006/custom-properties" xmlns:vt="http://schemas.openxmlformats.org/officeDocument/2006/docPropsVTypes"/>
</file>