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6"/>
        </w:pBdr>
        <w:spacing w:after="60"/>
      </w:pPr>
      <w:r>
        <w:rPr>
          <w:b/>
          <w:bCs/>
          <w:color w:val="1F4E79"/>
          <w:sz w:val="36"/>
          <w:szCs w:val="36"/>
        </w:rPr>
        <w:t xml:space="preserve">Fiche de conformité — Résilience IT</w:t>
      </w:r>
    </w:p>
    <w:p>
      <w:pPr>
        <w:spacing w:after="40"/>
      </w:pPr>
      <w:r>
        <w:rPr>
          <w:b/>
          <w:bCs/>
          <w:color w:val="5A6B7B"/>
          <w:sz w:val="24"/>
          <w:szCs w:val="24"/>
        </w:rPr>
        <w:t xml:space="preserve">Ordonnanceur Control-M — Architecture HA actif/passif sur 2 AZ</w:t>
      </w:r>
    </w:p>
    <w:p>
      <w:pPr>
        <w:spacing w:after="240"/>
      </w:pPr>
      <w:r>
        <w:rPr>
          <w:color w:val="5A6B7B"/>
          <w:sz w:val="19"/>
          <w:szCs w:val="19"/>
        </w:rPr>
        <w:t xml:space="preserve">Référentiel : IT RefCard — IT Continuity &amp; Resilience Group for Cloud (Figure 8)  •  Classe de service : </w:t>
      </w:r>
      <w:r>
        <w:rPr>
          <w:b/>
          <w:bCs/>
          <w:color w:val="C0392B"/>
          <w:sz w:val="19"/>
          <w:szCs w:val="19"/>
        </w:rPr>
        <w:t xml:space="preserve">Extreme</w:t>
      </w:r>
    </w:p>
    <w:p>
      <w:pPr>
        <w:pStyle w:val="Heading1"/>
      </w:pPr>
      <w:r>
        <w:t xml:space="preserve">1. Objet</w:t>
      </w:r>
    </w:p>
    <w:p>
      <w:pPr>
        <w:spacing w:after="120" w:before="0"/>
      </w:pPr>
      <w:r>
        <w:rPr>
          <w:sz w:val="21"/>
          <w:szCs w:val="21"/>
        </w:rPr>
        <w:t xml:space="preserve">Cette fiche démontre la conformité de l’architecture de l’ordonnanceur Control-M aux exigences du référentiel de continuité et de résilience, pour un service classé Extreme. Elle précise, exigence par exigence, le mécanisme mis en œuvre et son statut de conformité.</w:t>
      </w:r>
    </w:p>
    <w:p>
      <w:pPr>
        <w:pStyle w:val="Heading1"/>
      </w:pPr>
      <w:r>
        <w:t xml:space="preserve">2. Architecture cible</w:t>
      </w:r>
    </w:p>
    <w:p>
      <w:pPr>
        <w:spacing w:after="120" w:before="0"/>
      </w:pPr>
      <w:r>
        <w:rPr>
          <w:sz w:val="21"/>
          <w:szCs w:val="21"/>
        </w:rPr>
        <w:t xml:space="preserve">Le moteur Control-M/Server ne fonctionne pas en mode actif/actif : il repose, par conception, sur une architecture haute disponibilité primaire/secondaire (actif/passif). La résilience est obtenue par la répartition des deux nœuds sur deux zones de disponibilité (AZ) distinctes au sein d’une même région, l’ensemble étant adossé à une base de données Oracle répliquée en synchrone.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AZ 1 (Site 1) : </w:t>
      </w:r>
      <w:r>
        <w:rPr>
          <w:sz w:val="21"/>
          <w:szCs w:val="21"/>
        </w:rPr>
        <w:t xml:space="preserve">héberge le nœud Control-M/Server primaire (actif) et la base Oracle primaire.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AZ 2 (Site 2) : </w:t>
      </w:r>
      <w:r>
        <w:rPr>
          <w:sz w:val="21"/>
          <w:szCs w:val="21"/>
        </w:rPr>
        <w:t xml:space="preserve">héberge le nœud secondaire (standby) et la base Oracle secondaire, promue lors de la bascule.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Bascule : </w:t>
      </w:r>
      <w:r>
        <w:rPr>
          <w:sz w:val="21"/>
          <w:szCs w:val="21"/>
        </w:rPr>
        <w:t xml:space="preserve">déclenchée automatiquement par le Configuration Agent du secondaire dès qu’il détecte l’indisponibilité du primaire (seuil de détection ≈ 60 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Routage : </w:t>
      </w:r>
      <w:r>
        <w:rPr>
          <w:sz w:val="21"/>
          <w:szCs w:val="21"/>
        </w:rPr>
        <w:t xml:space="preserve">le load-balancer F5 (LTM) aiguille le trafic vers le nœud actif à l’instant T.</w:t>
      </w:r>
    </w:p>
    <w:p>
      <w:pPr>
        <w:spacing w:after="80" w:before="160"/>
        <w:jc w:val="center"/>
      </w:pPr>
      <w:r>
        <w:drawing>
          <wp:inline distT="0" distB="0" distL="0" distR="0">
            <wp:extent cx="59436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6B7B"/>
          <w:sz w:val="18"/>
          <w:szCs w:val="18"/>
        </w:rPr>
        <w:t xml:space="preserve">Figure 1 — Répartition Control-M actif/passif sur deux AZ (une région).</w:t>
      </w:r>
    </w:p>
    <w:p>
      <w:pPr>
        <w:pStyle w:val="Heading1"/>
      </w:pPr>
      <w:r>
        <w:t xml:space="preserve">3. Tableau de conformité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1300"/>
        <w:gridCol w:w="4060"/>
        <w:gridCol w:w="1140"/>
      </w:tblGrid>
      <w:tr>
        <w:trPr>
          <w:tblHeader/>
        </w:trP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Exigence RefCard (Extreme)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Réponse — architecture Control-M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Conformité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Site / DC Hosting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Two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Primaire sur Site 1, secondaire sur Site 2 — déploiement sur 2 sites distincts.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AZ Hosting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Two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Nœud primaire sur AZ1, nœud secondaire sur AZ2.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Region Hosting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One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deux AZ sont hébergées dans une même région.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AZ Status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All Active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deux sites sont actifs au niveau infrastructure. Le statut qualifie les sites/AZ, non la topologie applicative — un moteur actif/passif reste conforme.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Failover Mode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HA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Bascule automatique primaire → secondaire pilotée par le Configuration Agent (détection ≈ 60 s). Disponible grâce au backend Oracle.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Data Distribution in a Region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Near sync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 Oracle répliquée en synchrone entre les deux AZ (Oracle Data Guard SYNC). Perte de données nulle ou quasi nulle (RPO ≈ 0).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Data Distribution btw Region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Async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Sans objet : une seule région exigée pour la classe Extreme. Aucune réplication inter-région requise.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B7B"/>
                <w:sz w:val="20"/>
                <w:szCs w:val="20"/>
              </w:rPr>
              <w:t xml:space="preserve">✓ (N/A)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Rebuild Mechanism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Capacité de reconstruction du nœud Control-M à formaliser (playbook IaC / procédure de réinstallation).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⚠ à doc.</w:t>
            </w:r>
          </w:p>
        </w:tc>
      </w:tr>
      <w:tr>
        <w:tc>
          <w:tcPr>
            <w:tcW w:type="dxa" w:w="5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Restore Mechanism</w:t>
            </w:r>
          </w:p>
        </w:tc>
        <w:tc>
          <w:tcPr>
            <w:tcW w:type="dxa" w:w="13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Sauvegarde / restauration de la base Oracle (RMAN, Data Guard) + binaires Control-M, dans le périmètre du PRA à confirmer.</w:t>
            </w:r>
          </w:p>
        </w:tc>
        <w:tc>
          <w:tcPr>
            <w:tcW w:type="dxa" w:w="114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20"/>
                <w:szCs w:val="20"/>
              </w:rPr>
              <w:t xml:space="preserve">✓ à conf.</w:t>
            </w:r>
          </w:p>
        </w:tc>
      </w:tr>
    </w:tbl>
    <w:p>
      <w:pPr>
        <w:spacing w:after="240" w:before="100"/>
      </w:pPr>
      <w:r>
        <w:rPr>
          <w:b/>
          <w:bCs/>
          <w:color w:val="5A6B7B"/>
          <w:sz w:val="18"/>
          <w:szCs w:val="18"/>
        </w:rPr>
        <w:t xml:space="preserve">Légende : </w:t>
      </w:r>
      <w:r>
        <w:rPr>
          <w:color w:val="5A6B7B"/>
          <w:sz w:val="18"/>
          <w:szCs w:val="18"/>
        </w:rPr>
        <w:t xml:space="preserve">✓ conforme   •   ✓ (N/A) non applicable à la classe   •   ⚠ à documenter   •   ✓ à confirmer (preuve à fournir).</w:t>
      </w:r>
    </w:p>
    <w:p>
      <w:pPr>
        <w:pStyle w:val="Heading1"/>
      </w:pPr>
      <w:r>
        <w:t xml:space="preserve">4. Points de vigilance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Backend de base de données : </w:t>
      </w:r>
      <w:r>
        <w:rPr>
          <w:sz w:val="21"/>
          <w:szCs w:val="21"/>
        </w:rPr>
        <w:t xml:space="preserve">le failover automatique de Control-M n’est disponible qu’avec un backend Oracle, MSSQL ou PostgreSQL externe. L’architecture étant sur Oracle, l’exigence est tenue. La PostgreSQL dédiée BMC n’offre qu’un failover manuel et serait donc non conforme à l’exigence 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Mode dégradé : </w:t>
      </w:r>
      <w:r>
        <w:rPr>
          <w:sz w:val="21"/>
          <w:szCs w:val="21"/>
        </w:rPr>
        <w:t xml:space="preserve">la réplication synchrone Oracle peut basculer en mode asynchrone en cas d’incident réseau (comportement documenté). Il s’agit d’un mode dégradé connu, et non d’un défaut de conformité.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Rebuild : </w:t>
      </w:r>
      <w:r>
        <w:rPr>
          <w:sz w:val="21"/>
          <w:szCs w:val="21"/>
        </w:rPr>
        <w:t xml:space="preserve">seul point ouvert. L’exigence « Must » impose de prouver la capacité à reconstruire le service (et non seulement à le redémarrer) : un playbook IaC ou une procédure de réinstallation doit être formalisé.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Restore : </w:t>
      </w:r>
      <w:r>
        <w:rPr>
          <w:sz w:val="21"/>
          <w:szCs w:val="21"/>
        </w:rPr>
        <w:t xml:space="preserve">vérifier que le PRA Oracle (RMAN / Data Guard) couvre bien la base Control-M dans le périmètre de sauvegarde.</w:t>
      </w:r>
    </w:p>
    <w:p>
      <w:pPr>
        <w:pStyle w:val="Heading1"/>
      </w:pPr>
      <w:r>
        <w:t xml:space="preserve">5. Conclusion</w:t>
      </w:r>
    </w:p>
    <w:p>
      <w:pPr>
        <w:spacing w:after="80" w:before="0"/>
      </w:pPr>
      <w:r>
        <w:rPr>
          <w:sz w:val="21"/>
          <w:szCs w:val="21"/>
        </w:rPr>
        <w:t xml:space="preserve">L’architecture Control-M actif/passif répartie sur deux AZ, adossée à une base Oracle en réplication synchrone et à un failover automatique, satisfait les exigences de la classe Extreme. La nature actif/passif du moteur n’est pas un obstacle : le statut « All Active » porte sur les sites/AZ, eux-mêmes actifs. Deux éléments de preuve restent à produire avant validation définitive en comité : la procédure de Rebuild et la couverture du Restore Oracle.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7d4d52d85c71d2d76a5629c081b566b0df09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2026-06-02T14:15:52.903Z</dcterms:created>
  <dcterms:modified xsi:type="dcterms:W3CDTF">2026-06-02T14:15:52.903Z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