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05EB8"/>
          <w:sz w:val="40"/>
          <w:szCs w:val="40"/>
        </w:rPr>
        <w:t xml:space="preserve">SCENARIO PLANNING DASHBOARD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12B32"/>
          <w:sz w:val="24"/>
          <w:szCs w:val="24"/>
        </w:rPr>
        <w:t xml:space="preserve">Build Documentation — What-If Analysis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C6272"/>
          <w:sz w:val="21"/>
          <w:szCs w:val="21"/>
        </w:rPr>
        <w:t xml:space="preserve">Albion Care Network · Every step taken to build the scenario dashboard, and why</w:t>
      </w:r>
    </w:p>
    <w:p>
      <w:pPr>
        <w:pBdr>
          <w:bottom w:val="single" w:color="005EB8" w:sz="10" w:space="1"/>
        </w:pBdr>
        <w:spacing w:after="150" w:before="40"/>
      </w:pPr>
      <w:r>
        <w:rPr>
          <w:sz w:val="2"/>
          <w:szCs w:val="2"/>
        </w:rP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1.  Purpose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The operational dashboard answers “what is happening now?” The scenario dashboard answers a different question: “what happens if conditions change?” It lets a hospital planner model three stress conditions and see the impact on bed capacity immediately, before the pressure arrives.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This addresses the project's core objective directly: enabling planners to anticipate constraints rather than react to them.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The three scenarios modelled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models</w:t>
            </w:r>
          </w:p>
        </w:tc>
        <w:tc>
          <w:tcPr>
            <w:tcW w:type="dxa" w:w="3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Real-world trigger</w:t>
            </w:r>
          </w:p>
        </w:tc>
      </w:tr>
      <w:tr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Flu surge</w:t>
            </w:r>
          </w:p>
        </w:tc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More emergency admissions arrive</w:t>
            </w:r>
          </w:p>
        </w:tc>
        <w:tc>
          <w:tcPr>
            <w:tcW w:type="dxa" w:w="3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Winter flu season, epidemic</w:t>
            </w:r>
          </w:p>
        </w:tc>
      </w:tr>
      <w:tr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Delayed discharge</w:t>
            </w:r>
          </w:p>
        </w:tc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Patients stay longer than expected</w:t>
            </w:r>
          </w:p>
        </w:tc>
        <w:tc>
          <w:tcPr>
            <w:tcW w:type="dxa" w:w="3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Social-care bottlenecks, discharge delays</w:t>
            </w:r>
          </w:p>
        </w:tc>
      </w:tr>
      <w:tr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Bed closure</w:t>
            </w:r>
          </w:p>
        </w:tc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Fewer staffed beds are available</w:t>
            </w:r>
          </w:p>
        </w:tc>
        <w:tc>
          <w:tcPr>
            <w:tcW w:type="dxa" w:w="3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Staff shortage, ward closure, infection control</w:t>
            </w:r>
          </w:p>
        </w:tc>
      </w:tr>
    </w:tbl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2.  Design Decisions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Why a separate page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The scenario visuals were placed on their own page rather than added to the operational dashboard. Three reasons: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Different users, different questions.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A bed manager checking today's status does not want three sliders in the way. A planner asking “what if flu hits?” wants them front and centre.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One page, one question.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Mixing actuals and hypotheticals on a single screen muddles both.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The brief supports it.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“Build operational dashboard visuals” and “Scenario what-if analysis” are separate tasks with separate outputs.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Why only three visuals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Every element on this page responds to the sliders. Visuals that would not change when a slider moves — a trend line, the staffing chart, patient flow — were deliberately left off. They would fill space but teach nothing. Three responsive visuals beat five where two are inert.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3.  Build Steps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Step 1 — Create the what-if parameters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A What-If Parameter creates two things: a slider on the page, and a hidden table holding the range of values. When the slider moves, a measure reads the selected value and recalculates. Nothing in the underlying data changes — the scenario is modelled on top of it.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Created via Modeling → New parameter → Numeric range, three times: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2400"/>
      </w:tblGrid>
      <w:tr>
        <w:trPr>
          <w:tblHeader/>
        </w:trP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Increment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Emergency Surge %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50</w:t>
            </w:r>
          </w:p>
        </w:tc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LOS increase %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50</w:t>
            </w:r>
          </w:p>
        </w:tc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Bed Reduction %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5</w:t>
            </w:r>
          </w:p>
        </w:tc>
      </w:tr>
    </w:tbl>
    <w:p>
      <w:pPr>
        <w:spacing w:after="40" w:before="70"/>
      </w:pPr>
      <w:r>
        <w:rPr>
          <w:rFonts w:ascii="Calibri" w:cs="Calibri" w:eastAsia="Calibri" w:hAnsi="Calibri"/>
          <w:b/>
          <w:bCs/>
          <w:color w:val="9A6B00"/>
          <w:sz w:val="18"/>
          <w:szCs w:val="18"/>
        </w:rPr>
        <w:t xml:space="preserve">NOTE — the slicer must be added manually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Newer Power BI versions no longer offer an “Add slicer to this page” checkbox. The parameter table is still created; the slicer is added by dragging the parameter's value column into a Slicer visual and setting its style to Between (which renders it as a draggable slider).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Step 2 — Build the scenario measures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Each measure translates a slider value into an impact on occupancy. All three follow the same principle: start from the already-verified Occupancy Rate and add (or, for bed closure, reduce against) the scenario effect.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Scenario 1 — Flu surge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Scenario Occupancy Rate =
VAR SurgePct =
    DIVIDE('Emergency Surge %'[Emergency Surge % Value], 100)
VAR ExtraEmergency = [Emergency Admissions] * SurgePct
VAR ExtraBedHours = ExtraEmergency * [Avg Length of Stay]
VAR TotalStaffedBedHours =
    SUM(bed_inventory_occupancy[staffed_beds])
RETURN
[Occupancy Rate] + DIVIDE(ExtraBedHours, TotalStaffedBedHours)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The logic: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extra emergency patients × average length of stay = extra bed-hours. Divided by total staffed bed-hours, that is the additional occupancy the surge causes, added to the base rate.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Scenario 2 — Delayed discharge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Scenario Occupancy (Delayed Discharge) =
VAR LOSIncrease =
    DIVIDE('LOS increase %'[LOS increase % Value], 100)
VAR ExtraBedHours =
    [Total Admissions] * [Avg Length of Stay] * LOSIncrease
VAR TotalStaffedBedHours =
    SUM(bed_inventory_occupancy[staffed_beds])
RETURN
[Occupancy Rate] + DIVIDE(ExtraBedHours, TotalStaffedBedHours)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The logic: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if every patient stays 20% longer, that is 20% more bed-hours consumed. Applied to all admissions, not just emergency ones — discharge delays affect every patient.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Scenario 3 — Bed closure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Scenario Occupancy (Bed Closure) =
VAR Reduction =
    DIVIDE('Bed Reduction %'[Bed Reduction % Value], 100)
VAR ReducedStaffedBeds =
    SUM(bed_inventory_occupancy[staffed_beds]) * (1 - Reduction)
RETURN
DIVIDE(
    SUM(bed_inventory_occupancy[occupied_beds]),
    ReducedStaffedBeds
)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The logic: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this one works differently — instead of adding occupancy, it shrinks the denominator. The same patients now occupy a smaller pool of beds, so the occupancy rate rises. That is exactly what a ward closure does.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Bed Headroom — translating percentages into beds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Occupancy percentages are abstract. Planners act on bed counts. This measure converts the scenario into the number that matters: how many beds are spare, or how many short.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Bed Headroom (Scenario) =
VAR SurgePct =
    DIVIDE('Emergency Surge %'[Emergency Surge % Value], 100)
VAR ExtraBedsNeeded =
    DIVIDE(
        [Emergency Admissions] * SurgePct * [Avg Length of Stay],
        DISTINCTCOUNT(bed_inventory_occupancy[datetime])
    )
RETURN
[Beds Available] - ExtraBedsNeeded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Reading it: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positive = spare beds. Negative = short of beds. The moment it crosses zero is the point at which the network runs out of capacity.</w:t>
      </w:r>
    </w:p>
    <w:p>
      <w:r>
        <w:br w:type="pag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Step 3 — Verify the measures (the zero test)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07F3B"/>
          <w:sz w:val="18"/>
          <w:szCs w:val="18"/>
        </w:rPr>
        <w:t xml:space="preserve">THE MOST IMPORTANT STEP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Before trusting any scenario output, all three sliders were set to zero. At zero, every scenario measure must return exactly the actual occupancy rate — because a 0% change means no change. If it does not, the maths is wrong and the error will compound at higher slider values.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2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at all sliders = 0</w:t>
            </w:r>
          </w:p>
        </w:tc>
        <w:tc>
          <w:tcPr>
            <w:tcW w:type="dxa" w:w="2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Occupancy Rate (baseline)</w:t>
            </w:r>
          </w:p>
        </w:tc>
        <w:tc>
          <w:tcPr>
            <w:tcW w:type="dxa" w:w="2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74.6%</w:t>
            </w:r>
          </w:p>
        </w:tc>
        <w:tc>
          <w:tcPr>
            <w:tcW w:type="dxa" w:w="2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74.6%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Flu Surge</w:t>
            </w:r>
          </w:p>
        </w:tc>
        <w:tc>
          <w:tcPr>
            <w:tcW w:type="dxa" w:w="2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74.6%</w:t>
            </w:r>
          </w:p>
        </w:tc>
        <w:tc>
          <w:tcPr>
            <w:tcW w:type="dxa" w:w="2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74.6%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Delayed Discharge</w:t>
            </w:r>
          </w:p>
        </w:tc>
        <w:tc>
          <w:tcPr>
            <w:tcW w:type="dxa" w:w="2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74.6%</w:t>
            </w:r>
          </w:p>
        </w:tc>
        <w:tc>
          <w:tcPr>
            <w:tcW w:type="dxa" w:w="2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74.6%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Bed Closure</w:t>
            </w:r>
          </w:p>
        </w:tc>
        <w:tc>
          <w:tcPr>
            <w:tcW w:type="dxa" w:w="2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74.6%</w:t>
            </w:r>
          </w:p>
        </w:tc>
        <w:tc>
          <w:tcPr>
            <w:tcW w:type="dxa" w:w="2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74.6%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Bed Headroom</w:t>
            </w:r>
          </w:p>
        </w:tc>
        <w:tc>
          <w:tcPr>
            <w:tcW w:type="dxa" w:w="2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+191 beds</w:t>
            </w:r>
          </w:p>
        </w:tc>
        <w:tc>
          <w:tcPr>
            <w:tcW w:type="dxa" w:w="2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+191</w:t>
            </w:r>
          </w:p>
        </w:tc>
      </w:tr>
    </w:tbl>
    <w:p>
      <w:pPr>
        <w:spacing w:after="40" w:before="70"/>
      </w:pPr>
      <w:r>
        <w:rPr>
          <w:rFonts w:ascii="Calibri" w:cs="Calibri" w:eastAsia="Calibri" w:hAnsi="Calibri"/>
          <w:b/>
          <w:bCs/>
          <w:color w:val="9A6B00"/>
          <w:sz w:val="18"/>
          <w:szCs w:val="18"/>
        </w:rPr>
        <w:t xml:space="preserve">PROBLEM SOLVED — the drifting baseline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An earlier version of the flu-surge measure recalculated occupancy from scratch (averaging occupied and staffed beds across distinct timestamps) and returned 74.65% at zero surge instead of 74.6%. The small drift came from dividing by a distinct count of timestamps, which does not cleanly average across multiple wards and bed types per hour.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The fix: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rebuild the measure as an addition to the already-verified [Occupancy Rate], working entirely in bed-hours (the data's native grain). This guarantees the measure returns exactly the base rate at zero, with no drift to compound.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Principle: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when building a derived measure, anchor it to a measure you have already verified rather than recomputing the same thing a second way.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Step 4 — Build the visuals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Chart 1 — Occupancy under each scenario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Visual: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clustered column chart with all four occupancy measures (baseline plus the three scenarios) as values.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Constant line: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an 85% safe-operating limit added via the Analytics pane — red, dashed. This is the widely used benchmark above which patient flow deteriorates.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Why no conditional colour on the bars: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the chart shows four different measures, so a single “base field” rule would colour all four bars by one measure's value — misleading. The threshold line does the work instead: you can see which bars cross it.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Chart 2 — Where the surge lands (occupancy by ward)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Visual: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clustered bar chart — ward on the axis, Scenario Occupancy Rate as the value, with red/amber conditional formatting on the bars.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shows which wards break first under stress. As the surge slider climbs, wards light up in turn — telling a planner where the crisis lands, not just that one happens.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9A6B00"/>
          <w:sz w:val="18"/>
          <w:szCs w:val="18"/>
        </w:rPr>
        <w:t xml:space="preserve">DECISION — Day Case Unit excluded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Day Case Unit initially topped this chart, which was misleading. Day-case patients are discharged the same day and do not occupy inpatient beds, so a flu surge does not translate into day-case bed demand. Because the unit has very few staffed beds, a proportional surge produced a disproportionate percentage jump there.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Action: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Day Case Unit excluded via a visual-level filter. With it removed, ICU and General Medicine rise to the top — the clinically correct picture of where emergency surge pressure actually lands.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KPI cards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Five cards: the baseline, the three scenarios, and bed headroom. Each was renamed in the visual (Today, Flu Surge, Delayed Discharge, Bed Closure, Bed Headroom) so the labels are short and readable — the number is the message; the label only identifies it.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Step 5 — Conditional formatting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Colour is used as a signal, not decoration. Each card's rule is based on the measure that card displays — not a shared field. A card that displayed the surge figure but coloured itself by the baseline would be lying about the number next to it.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Occupancy cards (baseline and all three scenarios)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00"/>
      </w:tblGrid>
      <w:tr>
        <w:trPr>
          <w:tblHeader/>
        </w:trP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If value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Then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≥ 0.90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Red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Critical — well past safe operating limits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≥ 0.85 and &lt; 0.90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Amber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Approaching the safe ceiling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≥ 0 and &lt; 0.85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Blue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Within safe operating range</w:t>
            </w:r>
          </w:p>
        </w:tc>
      </w:tr>
    </w:tbl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Bed Headroom card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00"/>
      </w:tblGrid>
      <w:tr>
        <w:trPr>
          <w:tblHeader/>
        </w:trP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If value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Then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&lt; 0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Red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Short of beds — the network cannot cope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≥ 0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Blue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Spare capacity remains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Critical detail — decimals, not whole numbers: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the occupancy measures return a ratio between 0 and 1 and are only displayed as percentages. Rules must be written as 0.85, not 85, or they will never fire. Bed Headroom is a bed count, so its rule uses 0.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Why headroom uses only two bands: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occupancy is a gradient that gets progressively worse. Bed headroom is binary — you either have beds or you do not. Zero is the cliff edge.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4.  Results</w:t>
      </w:r>
    </w:p>
    <w:p>
      <w:pPr>
        <w:spacing w:after="105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All figures below were cross-verified against the source data.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Flu surge — the network's breaking point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Surge</w:t>
            </w:r>
          </w:p>
        </w:tc>
        <w:tc>
          <w:tcPr>
            <w:tcW w:type="dxa" w:w="2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Occupancy</w:t>
            </w:r>
          </w:p>
        </w:tc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Bed headroom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0% (today)</w:t>
            </w:r>
          </w:p>
        </w:tc>
        <w:tc>
          <w:tcPr>
            <w:tcW w:type="dxa" w:w="2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74.6%</w:t>
            </w:r>
          </w:p>
        </w:tc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+191 beds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Safe</w:t>
            </w:r>
          </w:p>
        </w:tc>
      </w:tr>
      <w:tr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81.2%</w:t>
            </w:r>
          </w:p>
        </w:tc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+142 beds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Safe</w:t>
            </w:r>
          </w:p>
        </w:tc>
      </w:tr>
      <w:tr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20%</w:t>
            </w:r>
          </w:p>
        </w:tc>
        <w:tc>
          <w:tcPr>
            <w:tcW w:type="dxa" w:w="2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87.8%</w:t>
            </w:r>
          </w:p>
        </w:tc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+92 beds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Past the 85% safe limit</w:t>
            </w:r>
          </w:p>
        </w:tc>
      </w:tr>
      <w:tr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30%</w:t>
            </w:r>
          </w:p>
        </w:tc>
        <w:tc>
          <w:tcPr>
            <w:tcW w:type="dxa" w:w="2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94.4%</w:t>
            </w:r>
          </w:p>
        </w:tc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+43 beds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40%</w:t>
            </w:r>
          </w:p>
        </w:tc>
        <w:tc>
          <w:tcPr>
            <w:tcW w:type="dxa" w:w="2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100.9%</w:t>
            </w:r>
          </w:p>
        </w:tc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−7 beds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Out of beds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Headline finding: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the network can absorb roughly a 38–40% emergency surge before running out of beds altogether — but occupancy becomes operationally unsafe long before that, crossing the 85% limit at around a 20% surge.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Delayed discharge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LOS increase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Occupancy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+10%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82.9%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Approaching the limit</w:t>
            </w:r>
          </w:p>
        </w:tc>
      </w:tr>
      <w:tr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+20%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91.1%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+30%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99.3%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Effectively full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Finding: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discharge delays are as damaging as a surge in admissions. A 20% increase in length of stay pushes occupancy to 91% without a single extra patient arriving.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Bed closure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Beds closed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Occupancy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10%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82.9%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Approaching the limit</w:t>
            </w:r>
          </w:p>
        </w:tc>
      </w:tr>
      <w:tr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20%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93.3%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30%</w:t>
            </w:r>
          </w:p>
        </w:tc>
        <w:tc>
          <w:tcPr>
            <w:tcW w:type="dxa" w:w="2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106.6%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Over capacity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Finding: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closing just 20% of staffed beds — through staff shortage or ward closure — pushes the network to 93% occupancy with no change in demand at all.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5.  Limitations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This is a planning scenario, not a forecast.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It models the arithmetic consequence of a stated assumption. It does not predict whether a surge will occur. Statistical forecasting is the Data Science track's deliverable.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Surge patients are assumed to behave like average patients —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same length of stay, same ward distribution. In reality a flu surge would skew toward respiratory and general medicine wards.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Scenarios are modelled independently.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The measures do not compound automatically; a combined “surge plus bed closure” would be worse than either alone.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Network-level view.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Bed headroom is a network average. Individual wards may run out well before the network does — which is why the ward chart exists alongside it.</w:t>
      </w:r>
    </w:p>
    <w:p>
      <w:pPr>
        <w:pBdr>
          <w:bottom w:val="single" w:color="005EB8" w:sz="10" w:space="1"/>
        </w:pBdr>
        <w:spacing w:after="150" w:before="40"/>
      </w:pPr>
      <w:r>
        <w:rPr>
          <w:sz w:val="2"/>
          <w:szCs w:val="2"/>
        </w:rPr>
        <w:t xml:space="preserve"/>
      </w:r>
    </w:p>
    <w:p>
      <w:r>
        <w:rPr>
          <w:rFonts w:ascii="Calibri" w:cs="Calibri" w:eastAsia="Calibri" w:hAnsi="Calibri"/>
          <w:i/>
          <w:iCs/>
          <w:color w:val="4C6272"/>
          <w:sz w:val="19"/>
          <w:szCs w:val="19"/>
        </w:rPr>
        <w:t xml:space="preserve">All scenario outputs verified against source data. Built in Power BI using What-If Parameters and DAX.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005EB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B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2026-07-14T18:43:23.651Z</dcterms:created>
  <dcterms:modified xsi:type="dcterms:W3CDTF">2026-07-14T18:43:23.663Z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