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32"/>
        </w:rPr>
        <w:t>TUGAS AKHIR</w:t>
      </w:r>
    </w:p>
    <w:p>
      <w:pPr>
        <w:spacing w:after="0"/>
        <w:jc w:val="center"/>
      </w:pPr>
      <w:r>
        <w:rPr>
          <w:b w:val="0"/>
          <w:i w:val="0"/>
          <w:sz w:val="32"/>
        </w:rPr>
      </w:r>
    </w:p>
    <w:p>
      <w:pPr>
        <w:spacing w:after="0"/>
        <w:jc w:val="center"/>
      </w:pPr>
      <w:r>
        <w:rPr>
          <w:b/>
          <w:i w:val="0"/>
          <w:sz w:val="32"/>
        </w:rPr>
        <w:t>IMPLEMENTASI DAN EVALUASI TOOL REGISTRY UNTUK</w:t>
      </w:r>
    </w:p>
    <w:p>
      <w:pPr>
        <w:spacing w:after="0"/>
        <w:jc w:val="center"/>
      </w:pPr>
      <w:r>
        <w:rPr>
          <w:b/>
          <w:i w:val="0"/>
          <w:sz w:val="32"/>
        </w:rPr>
        <w:t>SKALABILITAS AI AGENT MULTI-MODUL PADA PLATFORM</w:t>
      </w:r>
    </w:p>
    <w:p>
      <w:pPr>
        <w:spacing w:after="0"/>
        <w:jc w:val="center"/>
      </w:pPr>
      <w:r>
        <w:rPr>
          <w:b/>
          <w:i w:val="0"/>
          <w:sz w:val="32"/>
        </w:rPr>
        <w:t>ERP RESTORAN ZERLO.ID</w:t>
      </w:r>
    </w:p>
    <w:p>
      <w:pPr>
        <w:spacing w:after="0"/>
        <w:jc w:val="center"/>
      </w:pPr>
      <w:r>
        <w:rPr>
          <w:b w:val="0"/>
          <w:i w:val="0"/>
          <w:sz w:val="24"/>
        </w:rPr>
      </w:r>
    </w:p>
    <w:p>
      <w:pPr>
        <w:spacing w:after="0"/>
        <w:jc w:val="center"/>
      </w:pPr>
      <w:r>
        <w:rPr>
          <w:b w:val="0"/>
          <w:i w:val="0"/>
          <w:sz w:val="24"/>
        </w:rPr>
      </w:r>
    </w:p>
    <w:p>
      <w:pPr>
        <w:spacing w:after="0"/>
        <w:jc w:val="center"/>
      </w:pPr>
      <w:r>
        <w:rPr>
          <w:b w:val="0"/>
          <w:i w:val="0"/>
          <w:sz w:val="24"/>
        </w:rPr>
      </w:r>
    </w:p>
    <w:p>
      <w:pPr>
        <w:spacing w:after="0"/>
        <w:jc w:val="center"/>
      </w:pPr>
      <w:r>
        <w:rPr>
          <w:b w:val="0"/>
          <w:i w:val="0"/>
          <w:sz w:val="28"/>
        </w:rPr>
        <w:t>Sebagai Salah Satu Syarat untuk Memperoleh Gelar Sarjana Komputer pada</w:t>
      </w:r>
    </w:p>
    <w:p>
      <w:pPr>
        <w:spacing w:after="0"/>
        <w:jc w:val="center"/>
      </w:pPr>
      <w:r>
        <w:rPr>
          <w:b w:val="0"/>
          <w:i w:val="0"/>
          <w:sz w:val="28"/>
        </w:rPr>
        <w:t>Program Studi Sistem Informasi</w:t>
      </w:r>
    </w:p>
    <w:p>
      <w:pPr>
        <w:spacing w:after="0"/>
        <w:jc w:val="center"/>
      </w:pPr>
      <w:r>
        <w:rPr>
          <w:b w:val="0"/>
          <w:i w:val="0"/>
          <w:sz w:val="24"/>
        </w:rPr>
      </w:r>
    </w:p>
    <w:p>
      <w:pPr>
        <w:jc w:val="center"/>
      </w:pPr>
      <w:r>
        <w:drawing>
          <wp:inline xmlns:a="http://schemas.openxmlformats.org/drawingml/2006/main" xmlns:pic="http://schemas.openxmlformats.org/drawingml/2006/picture">
            <wp:extent cx="1260000" cy="1262972"/>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260000" cy="1262972"/>
                    </a:xfrm>
                    <a:prstGeom prst="rect"/>
                  </pic:spPr>
                </pic:pic>
              </a:graphicData>
            </a:graphic>
          </wp:inline>
        </w:drawing>
      </w:r>
    </w:p>
    <w:p>
      <w:pPr>
        <w:spacing w:after="0"/>
        <w:jc w:val="center"/>
      </w:pPr>
      <w:r>
        <w:rPr>
          <w:b w:val="0"/>
          <w:i w:val="0"/>
          <w:sz w:val="24"/>
        </w:rPr>
      </w:r>
    </w:p>
    <w:p>
      <w:pPr>
        <w:spacing w:after="0"/>
        <w:jc w:val="center"/>
      </w:pPr>
      <w:r>
        <w:rPr>
          <w:b/>
          <w:i w:val="0"/>
          <w:sz w:val="24"/>
        </w:rPr>
        <w:t>Oleh :</w:t>
      </w:r>
    </w:p>
    <w:p>
      <w:pPr>
        <w:spacing w:after="0"/>
        <w:jc w:val="center"/>
      </w:pPr>
      <w:r>
        <w:rPr>
          <w:b/>
          <w:i w:val="0"/>
          <w:sz w:val="24"/>
        </w:rPr>
        <w:t>220101010009, Muhammadridwan</w:t>
      </w:r>
    </w:p>
    <w:p>
      <w:pPr>
        <w:spacing w:after="0"/>
        <w:jc w:val="center"/>
      </w:pPr>
      <w:r>
        <w:rPr>
          <w:b w:val="0"/>
          <w:i w:val="0"/>
          <w:sz w:val="24"/>
        </w:rPr>
      </w:r>
    </w:p>
    <w:p>
      <w:pPr>
        <w:spacing w:after="0"/>
        <w:jc w:val="center"/>
      </w:pPr>
      <w:r>
        <w:rPr>
          <w:b w:val="0"/>
          <w:i w:val="0"/>
          <w:sz w:val="24"/>
        </w:rPr>
      </w:r>
    </w:p>
    <w:p>
      <w:pPr>
        <w:spacing w:after="0"/>
        <w:jc w:val="center"/>
      </w:pPr>
      <w:r>
        <w:rPr>
          <w:b/>
          <w:i w:val="0"/>
          <w:sz w:val="28"/>
        </w:rPr>
        <w:t>PROGRAM STUDI PJJ SISTEM INFORMASI</w:t>
      </w:r>
    </w:p>
    <w:p>
      <w:pPr>
        <w:spacing w:after="0"/>
        <w:jc w:val="center"/>
      </w:pPr>
      <w:r>
        <w:rPr>
          <w:b/>
          <w:i w:val="0"/>
          <w:sz w:val="28"/>
        </w:rPr>
        <w:t>UNIVERSITAS SIBER ASIA</w:t>
      </w:r>
    </w:p>
    <w:p>
      <w:pPr>
        <w:spacing w:after="0"/>
        <w:jc w:val="center"/>
      </w:pPr>
      <w:r>
        <w:rPr>
          <w:b/>
          <w:i w:val="0"/>
          <w:sz w:val="28"/>
        </w:rPr>
        <w:t>Juni 2026</w:t>
      </w:r>
    </w:p>
    <w:p>
      <w:pPr>
        <w:sectPr>
          <w:pgSz w:w="11906" w:h="16838"/>
          <w:pgMar w:top="1701" w:right="1701" w:bottom="1701" w:left="2268" w:header="720" w:footer="720" w:gutter="0"/>
          <w:cols w:space="720"/>
          <w:docGrid w:linePitch="360"/>
        </w:sectPr>
      </w:pPr>
    </w:p>
    <w:p>
      <w:pPr>
        <w:pStyle w:val="Heading1"/>
      </w:pPr>
      <w:r>
        <w:t>HALAMAN PERNYATAAN ORISINALITAS</w:t>
      </w:r>
    </w:p>
    <w:p>
      <w:pPr>
        <w:spacing w:after="0"/>
        <w:jc w:val="center"/>
      </w:pPr>
      <w:r>
        <w:rPr>
          <w:b w:val="0"/>
          <w:i w:val="0"/>
          <w:sz w:val="24"/>
        </w:rPr>
      </w:r>
    </w:p>
    <w:p>
      <w:pPr>
        <w:jc w:val="both"/>
      </w:pPr>
      <w:r>
        <w:t>Yang bertanda tangan di bawah ini:</w:t>
      </w:r>
    </w:p>
    <w:p>
      <w:r>
        <w:rPr>
          <w:b w:val="0"/>
        </w:rPr>
        <w:t>Nama</w:t>
      </w:r>
      <w:r>
        <w:tab/>
        <w:t xml:space="preserve">: </w:t>
      </w:r>
      <w:r>
        <w:t>Muhammadridwan</w:t>
      </w:r>
    </w:p>
    <w:p>
      <w:r>
        <w:rPr>
          <w:b w:val="0"/>
        </w:rPr>
        <w:t>NIM</w:t>
      </w:r>
      <w:r>
        <w:tab/>
        <w:t xml:space="preserve">: </w:t>
      </w:r>
      <w:r>
        <w:t>220101010009</w:t>
      </w:r>
    </w:p>
    <w:p>
      <w:r>
        <w:rPr>
          <w:b w:val="0"/>
        </w:rPr>
        <w:t>Judul Tugas Akhir</w:t>
      </w:r>
      <w:r>
        <w:tab/>
        <w:t xml:space="preserve">: </w:t>
      </w:r>
      <w:r>
        <w:t>IMPLEMENTASI DAN EVALUASI TOOL REGISTRY UNTUK SKALABILITAS AI AGENT MULTI-MODUL PADA PLATFORM ERP RESTORAN ZERLO.ID</w:t>
      </w:r>
    </w:p>
    <w:p>
      <w:pPr>
        <w:spacing w:after="0"/>
        <w:jc w:val="center"/>
      </w:pPr>
      <w:r>
        <w:rPr>
          <w:b w:val="0"/>
          <w:i w:val="0"/>
          <w:sz w:val="24"/>
        </w:rPr>
      </w:r>
    </w:p>
    <w:p>
      <w:pPr>
        <w:ind w:firstLine="720"/>
        <w:jc w:val="both"/>
      </w:pPr>
      <w:r>
        <w:t>Menyatakan dengan sesungguhnya bahwa Tugas Akhir ini merupakan hasil penelitian, pemikiran, dan pemaparan asli penulis sendiri. Penulis tidak mencantumkan tanpa pengakuan bahan-bahan yang telah dipublikasikan sebelumnya atau ditulis oleh orang lain, atau sebagai bahan yang pernah diajukan untuk gelar atau ijazah pada Universitas Siber Asia atau Perguruan Tinggi lainnya.</w:t>
      </w:r>
    </w:p>
    <w:p>
      <w:pPr>
        <w:ind w:firstLine="720"/>
        <w:jc w:val="both"/>
      </w:pPr>
      <w:r>
        <w:t>Apabila di kemudian hari terdapat penyimpangan dan ketidakbenaran dalam pernyataan ini, maka penulis bersedia menerima sanksi akademik sesuai dengan peraturan yang berlaku di Universitas Siber Asia.</w:t>
      </w:r>
    </w:p>
    <w:p>
      <w:pPr>
        <w:jc w:val="both"/>
      </w:pPr>
      <w:r>
        <w:t>Demikian pernyataan ini penulis buat.</w:t>
      </w:r>
    </w:p>
    <w:p>
      <w:pPr>
        <w:spacing w:after="0"/>
        <w:jc w:val="center"/>
      </w:pPr>
      <w:r>
        <w:rPr>
          <w:b w:val="0"/>
          <w:i w:val="0"/>
          <w:sz w:val="24"/>
        </w:rPr>
      </w:r>
    </w:p>
    <w:p>
      <w:pPr>
        <w:jc w:val="both"/>
      </w:pPr>
      <w:r>
        <w:t>Jakarta, ___/___/______</w:t>
      </w:r>
    </w:p>
    <w:p>
      <w:pPr>
        <w:jc w:val="both"/>
      </w:pPr>
      <w:r>
        <w:t>Yang membuat pernyataan,</w:t>
      </w:r>
    </w:p>
    <w:p>
      <w:pPr>
        <w:jc w:val="both"/>
      </w:pPr>
    </w:p>
    <w:p>
      <w:pPr>
        <w:jc w:val="both"/>
      </w:pPr>
    </w:p>
    <w:p>
      <w:pPr>
        <w:jc w:val="both"/>
      </w:pPr>
      <w:r>
        <w:t>(materai Rp10.000,-)</w:t>
      </w:r>
    </w:p>
    <w:p>
      <w:pPr>
        <w:spacing w:after="0"/>
        <w:jc w:val="center"/>
      </w:pPr>
      <w:r>
        <w:rPr>
          <w:b w:val="0"/>
          <w:i w:val="0"/>
          <w:sz w:val="24"/>
        </w:rPr>
      </w:r>
    </w:p>
    <w:p>
      <w:pPr>
        <w:jc w:val="both"/>
      </w:pPr>
      <w:r>
        <w:t>Muhammadridwan</w:t>
      </w:r>
    </w:p>
    <w:p>
      <w:r>
        <w:br w:type="page"/>
      </w:r>
    </w:p>
    <w:p>
      <w:pPr>
        <w:pStyle w:val="Heading1"/>
      </w:pPr>
      <w:r>
        <w:t>HALAMAN PENGESAHAN</w:t>
      </w:r>
    </w:p>
    <w:p>
      <w:pPr>
        <w:spacing w:after="0"/>
        <w:jc w:val="center"/>
      </w:pPr>
      <w:r>
        <w:rPr>
          <w:b w:val="0"/>
          <w:i w:val="0"/>
          <w:sz w:val="24"/>
        </w:rPr>
      </w:r>
    </w:p>
    <w:p>
      <w:pPr>
        <w:jc w:val="both"/>
      </w:pPr>
      <w:r>
        <w:t>Tugas Akhir ini diajukan oleh:</w:t>
      </w:r>
    </w:p>
    <w:p>
      <w:pPr>
        <w:ind w:left="567"/>
      </w:pPr>
      <w:r>
        <w:t>Nama</w:t>
      </w:r>
      <w:r>
        <w:tab/>
        <w:t xml:space="preserve">: </w:t>
      </w:r>
      <w:r>
        <w:t>Muhammadridwan</w:t>
      </w:r>
    </w:p>
    <w:p>
      <w:pPr>
        <w:ind w:left="567"/>
      </w:pPr>
      <w:r>
        <w:t>NIM</w:t>
      </w:r>
      <w:r>
        <w:tab/>
        <w:t xml:space="preserve">: </w:t>
      </w:r>
      <w:r>
        <w:t>220101010009</w:t>
      </w:r>
    </w:p>
    <w:p>
      <w:pPr>
        <w:ind w:left="567"/>
      </w:pPr>
      <w:r>
        <w:t>Program Studi</w:t>
      </w:r>
      <w:r>
        <w:tab/>
        <w:t xml:space="preserve">: </w:t>
      </w:r>
      <w:r>
        <w:t>Sistem Informasi</w:t>
      </w:r>
    </w:p>
    <w:p>
      <w:pPr>
        <w:ind w:left="567"/>
      </w:pPr>
      <w:r>
        <w:t>Judul Tugas Akhir</w:t>
      </w:r>
      <w:r>
        <w:tab/>
        <w:t xml:space="preserve">: </w:t>
      </w:r>
      <w:r>
        <w:t>IMPLEMENTASI DAN EVALUASI TOOL REGISTRY UNTUK SKALABILITAS AI AGENT MULTI-MODUL PADA PLATFORM ERP RESTORAN ZERLO.ID</w:t>
      </w:r>
    </w:p>
    <w:p>
      <w:pPr>
        <w:ind w:firstLine="720"/>
        <w:jc w:val="both"/>
      </w:pPr>
      <w:r>
        <w:t>Telah berhasil dipertahankan di hadapan Dewan Penguji dan diterima sebagai bagian persyaratan yang diperlukan untuk memperoleh gelar Sarjana Komputer pada Program Studi Sistem Informasi Universitas Siber Asia.</w:t>
      </w:r>
    </w:p>
    <w:p>
      <w:pPr>
        <w:spacing w:after="0"/>
        <w:jc w:val="center"/>
      </w:pPr>
      <w:r>
        <w:rPr>
          <w:b w:val="0"/>
          <w:i w:val="0"/>
          <w:sz w:val="24"/>
        </w:rPr>
      </w:r>
    </w:p>
    <w:tbl>
      <w:tblPr>
        <w:tblW w:type="auto" w:w="0"/>
        <w:jc w:val="center"/>
        <w:tblLook w:firstColumn="1" w:firstRow="1" w:lastColumn="0" w:lastRow="0" w:noHBand="0" w:noVBand="1" w:val="04A0"/>
      </w:tblPr>
      <w:tblGrid>
        <w:gridCol w:w="3968"/>
        <w:gridCol w:w="3968"/>
      </w:tblGrid>
      <w:tr>
        <w:trPr>
          <w:cantSplit/>
        </w:trPr>
        <w:tc>
          <w:tcPr>
            <w:tcW w:type="dxa" w:w="3968"/>
          </w:tcPr>
          <w:p>
            <w:pPr>
              <w:jc w:val="center"/>
            </w:pPr>
            <w:r>
              <w:t>Ketua Sidang / Dosen Penguji I</w:t>
            </w:r>
          </w:p>
        </w:tc>
        <w:tc>
          <w:tcPr>
            <w:tcW w:type="dxa" w:w="3968"/>
          </w:tcPr>
          <w:p>
            <w:pPr>
              <w:jc w:val="center"/>
            </w:pPr>
            <w:r>
              <w:t>Dosen Penguji II</w:t>
            </w:r>
          </w:p>
        </w:tc>
      </w:tr>
      <w:tr>
        <w:trPr>
          <w:cantSplit/>
        </w:trPr>
        <w:tc>
          <w:tcPr>
            <w:tcW w:type="dxa" w:w="3968"/>
          </w:tcPr>
          <w:p>
            <w:pPr>
              <w:spacing w:before="720"/>
              <w:jc w:val="center"/>
            </w:pPr>
            <w:r>
              <w:t>…………………………</w:t>
            </w:r>
          </w:p>
        </w:tc>
        <w:tc>
          <w:tcPr>
            <w:tcW w:type="dxa" w:w="3968"/>
          </w:tcPr>
          <w:p>
            <w:pPr>
              <w:spacing w:before="720"/>
              <w:jc w:val="center"/>
            </w:pPr>
            <w:r>
              <w:t>…………………………</w:t>
            </w:r>
          </w:p>
        </w:tc>
      </w:tr>
    </w:tbl>
    <w:p>
      <w:pPr>
        <w:spacing w:after="0"/>
        <w:jc w:val="center"/>
      </w:pPr>
      <w:r>
        <w:rPr>
          <w:b w:val="0"/>
          <w:i w:val="0"/>
          <w:sz w:val="24"/>
        </w:rPr>
      </w:r>
    </w:p>
    <w:tbl>
      <w:tblPr>
        <w:tblW w:type="auto" w:w="0"/>
        <w:jc w:val="center"/>
        <w:tblLook w:firstColumn="1" w:firstRow="1" w:lastColumn="0" w:lastRow="0" w:noHBand="0" w:noVBand="1" w:val="04A0"/>
      </w:tblPr>
      <w:tblGrid>
        <w:gridCol w:w="3968"/>
        <w:gridCol w:w="3968"/>
      </w:tblGrid>
      <w:tr>
        <w:trPr>
          <w:cantSplit/>
        </w:trPr>
        <w:tc>
          <w:tcPr>
            <w:tcW w:type="dxa" w:w="3968"/>
          </w:tcPr>
          <w:p>
            <w:pPr>
              <w:jc w:val="center"/>
            </w:pPr>
            <w:r>
              <w:t>Dosen Pembimbing I</w:t>
            </w:r>
          </w:p>
        </w:tc>
        <w:tc>
          <w:tcPr>
            <w:tcW w:type="dxa" w:w="3968"/>
          </w:tcPr>
          <w:p>
            <w:pPr>
              <w:jc w:val="center"/>
            </w:pPr>
            <w:r>
              <w:t>Dosen Pembimbing II</w:t>
            </w:r>
          </w:p>
        </w:tc>
      </w:tr>
      <w:tr>
        <w:trPr>
          <w:cantSplit/>
        </w:trPr>
        <w:tc>
          <w:tcPr>
            <w:tcW w:type="dxa" w:w="3968"/>
          </w:tcPr>
          <w:p>
            <w:pPr>
              <w:spacing w:before="720"/>
              <w:jc w:val="center"/>
            </w:pPr>
            <w:r>
              <w:t>Ikhwani Saputra, S.Kom., M.Kom.</w:t>
            </w:r>
          </w:p>
        </w:tc>
        <w:tc>
          <w:tcPr>
            <w:tcW w:type="dxa" w:w="3968"/>
          </w:tcPr>
          <w:p>
            <w:pPr>
              <w:spacing w:before="720"/>
              <w:jc w:val="center"/>
            </w:pPr>
            <w:r>
              <w:t>…………………………</w:t>
            </w:r>
          </w:p>
        </w:tc>
      </w:tr>
    </w:tbl>
    <w:p>
      <w:pPr>
        <w:spacing w:after="0"/>
        <w:jc w:val="center"/>
      </w:pPr>
      <w:r>
        <w:rPr>
          <w:b w:val="0"/>
          <w:i w:val="0"/>
          <w:sz w:val="24"/>
        </w:rPr>
      </w:r>
    </w:p>
    <w:p>
      <w:pPr>
        <w:spacing w:after="720"/>
        <w:jc w:val="center"/>
      </w:pPr>
      <w:r>
        <w:rPr>
          <w:b w:val="0"/>
          <w:i w:val="0"/>
          <w:sz w:val="24"/>
        </w:rPr>
        <w:t>Ketua Program Studi</w:t>
      </w:r>
    </w:p>
    <w:p>
      <w:pPr>
        <w:spacing w:after="0"/>
        <w:jc w:val="center"/>
      </w:pPr>
      <w:r>
        <w:rPr>
          <w:b w:val="0"/>
          <w:i w:val="0"/>
          <w:sz w:val="24"/>
        </w:rPr>
        <w:t>…………………………</w:t>
      </w:r>
    </w:p>
    <w:p>
      <w:pPr>
        <w:spacing w:after="0"/>
        <w:jc w:val="center"/>
      </w:pPr>
      <w:r>
        <w:rPr>
          <w:b w:val="0"/>
          <w:i w:val="0"/>
          <w:sz w:val="24"/>
        </w:rPr>
      </w:r>
    </w:p>
    <w:p>
      <w:pPr>
        <w:jc w:val="both"/>
      </w:pPr>
      <w:r>
        <w:t>Ditetapkan di : Jakarta</w:t>
      </w:r>
    </w:p>
    <w:p>
      <w:pPr>
        <w:jc w:val="both"/>
      </w:pPr>
      <w:r>
        <w:t>Tanggal         : _____/_____/202_</w:t>
      </w:r>
    </w:p>
    <w:p>
      <w:r>
        <w:br w:type="page"/>
      </w:r>
    </w:p>
    <w:p>
      <w:pPr>
        <w:pStyle w:val="Heading1"/>
      </w:pPr>
      <w:r>
        <w:t>ABSTRAK</w:t>
      </w:r>
    </w:p>
    <w:p>
      <w:pPr>
        <w:spacing w:line="240" w:lineRule="auto"/>
        <w:jc w:val="both"/>
      </w:pPr>
      <w:r>
        <w:rPr>
          <w:i/>
        </w:rPr>
        <w:t>[PLACEHOLDER — abstrak final ditulis setelah Bab IV selesai. Abstrak wajib dwibahasa (Indonesia &amp; Inggris), maksimal 200 kata per bahasa, satu paragraf, memuat: latar belakang, tujuan, metode, hasil (temuan baru), dan implikasi. Tidak boleh mengacu pustaka, gambar, atau tabel.]</w:t>
      </w:r>
    </w:p>
    <w:p>
      <w:pPr>
        <w:spacing w:after="0"/>
        <w:jc w:val="center"/>
      </w:pPr>
      <w:r>
        <w:rPr>
          <w:b w:val="0"/>
          <w:i w:val="0"/>
          <w:sz w:val="24"/>
        </w:rPr>
      </w:r>
    </w:p>
    <w:p>
      <w:pPr>
        <w:spacing w:line="240" w:lineRule="auto"/>
      </w:pPr>
      <w:r>
        <w:rPr>
          <w:b/>
        </w:rPr>
        <w:t xml:space="preserve">Kata Kunci : </w:t>
      </w:r>
      <w:r>
        <w:rPr>
          <w:i/>
        </w:rPr>
        <w:t>[maksimal 5 kata/frasa, urut abjad]</w:t>
      </w:r>
    </w:p>
    <w:p>
      <w:r>
        <w:br w:type="page"/>
      </w:r>
    </w:p>
    <w:p>
      <w:pPr>
        <w:pStyle w:val="Heading1"/>
      </w:pPr>
      <w:r>
        <w:t>KATA PENGANTAR</w:t>
      </w:r>
    </w:p>
    <w:p>
      <w:pPr>
        <w:spacing w:after="0"/>
        <w:jc w:val="center"/>
      </w:pPr>
      <w:r>
        <w:rPr>
          <w:b w:val="0"/>
          <w:i w:val="0"/>
          <w:sz w:val="24"/>
        </w:rPr>
      </w:r>
    </w:p>
    <w:p>
      <w:pPr>
        <w:ind w:firstLine="720"/>
        <w:jc w:val="both"/>
      </w:pPr>
      <w:r>
        <w:t>Puji syukur penulis panjatkan kepada Tuhan Yang Maha Esa, karena atas berkat dan rahmat-Nya penulis dapat menyelesaikan Tugas Akhir ini. Penulisan Tugas Akhir ini dilakukan dalam rangka memenuhi salah satu syarat untuk mencapai gelar Sarjana Komputer pada Program Studi Sistem Informasi Universitas Siber Asia.</w:t>
      </w:r>
    </w:p>
    <w:p>
      <w:pPr>
        <w:ind w:firstLine="720"/>
        <w:jc w:val="both"/>
      </w:pPr>
      <w:r>
        <w:t>Penulis menyadari bahwa tanpa bantuan dan bimbingan dari berbagai pihak, dari masa perkuliahan sampai pada penyusunan Tugas Akhir ini, sangatlah sulit bagi penulis untuk menyelesaikan Tugas Akhir ini. Oleh karena itu, penulis mengucapkan terima kasih kepada:</w:t>
      </w:r>
    </w:p>
    <w:p>
      <w:pPr>
        <w:pStyle w:val="ListNumber"/>
      </w:pPr>
      <w:r>
        <w:t>Ikhwani Saputra, S.Kom., M.Kom., selaku dosen pembimbing yang telah menyediakan waktu, tenaga, dan pikiran untuk mengarahkan penulis dalam penyusunan Tugas Akhir ini;</w:t>
      </w:r>
    </w:p>
    <w:p>
      <w:pPr>
        <w:pStyle w:val="ListNumber"/>
      </w:pPr>
      <w:r>
        <w:t>tim dan komunitas pengembang platform zerlo.id yang telah banyak membantu dalam penyediaan data dan lingkungan eksperimen;</w:t>
      </w:r>
    </w:p>
    <w:p>
      <w:pPr>
        <w:pStyle w:val="ListNumber"/>
      </w:pPr>
      <w:r>
        <w:t>orang tua dan keluarga penulis yang telah memberikan bantuan dukungan material dan moral; dan</w:t>
      </w:r>
    </w:p>
    <w:p>
      <w:pPr>
        <w:pStyle w:val="ListNumber"/>
      </w:pPr>
      <w:r>
        <w:t>sahabat yang telah banyak membantu penulis dalam menyelesaikan Tugas Akhir ini.</w:t>
      </w:r>
    </w:p>
    <w:p>
      <w:pPr>
        <w:ind w:firstLine="720"/>
        <w:jc w:val="both"/>
      </w:pPr>
      <w:r>
        <w:t>Akhir kata, penulis berharap Tuhan Yang Maha Esa berkenan membalas segala kebaikan semua pihak yang telah membantu. Semoga Tugas Akhir ini membawa manfaat bagi pengembangan ilmu.</w:t>
      </w:r>
    </w:p>
    <w:p>
      <w:pPr>
        <w:spacing w:after="0"/>
        <w:jc w:val="center"/>
      </w:pPr>
      <w:r>
        <w:rPr>
          <w:b w:val="0"/>
          <w:i w:val="0"/>
          <w:sz w:val="24"/>
        </w:rPr>
      </w:r>
    </w:p>
    <w:p>
      <w:pPr>
        <w:jc w:val="both"/>
      </w:pPr>
      <w:r>
        <w:t>Jakarta, Juni 2026</w:t>
      </w:r>
    </w:p>
    <w:p>
      <w:pPr>
        <w:jc w:val="both"/>
      </w:pPr>
      <w:r>
        <w:t>Penulis</w:t>
      </w:r>
    </w:p>
    <w:p>
      <w:r>
        <w:br w:type="page"/>
      </w:r>
    </w:p>
    <w:p>
      <w:pPr>
        <w:pStyle w:val="Heading1"/>
      </w:pPr>
      <w:r>
        <w:t>DAFTAR ISI</w:t>
      </w:r>
    </w:p>
    <w:p>
      <w:pPr>
        <w:spacing w:after="0"/>
        <w:jc w:val="center"/>
      </w:pPr>
      <w:r>
        <w:rPr>
          <w:b w:val="0"/>
          <w:i w:val="0"/>
          <w:sz w:val="24"/>
        </w:rPr>
      </w:r>
    </w:p>
    <w:p>
      <w:r>
        <w:fldChar w:fldCharType="begin"/>
        <w:instrText xml:space="preserve">TOC \o "1-3" \h \z \u</w:instrText>
        <w:fldChar w:fldCharType="separate"/>
        <w:t>Klik kanan di sini lalu pilih 'Update Field' untuk mengisi daftar.</w:t>
        <w:fldChar w:fldCharType="end"/>
      </w:r>
    </w:p>
    <w:p>
      <w:r>
        <w:rPr>
          <w:i/>
          <w:sz w:val="20"/>
        </w:rPr>
        <w:t>Daftar Isi otomatis: di Word tekan Ctrl+A lalu F9 untuk memperbarui.</w:t>
      </w:r>
    </w:p>
    <w:p>
      <w:r>
        <w:br w:type="page"/>
      </w:r>
    </w:p>
    <w:p>
      <w:pPr>
        <w:pStyle w:val="Heading1"/>
      </w:pPr>
      <w:r>
        <w:t>DAFTAR TABEL</w:t>
      </w:r>
    </w:p>
    <w:p>
      <w:pPr>
        <w:spacing w:after="0"/>
        <w:jc w:val="center"/>
      </w:pPr>
      <w:r>
        <w:rPr>
          <w:b w:val="0"/>
          <w:i w:val="0"/>
          <w:sz w:val="24"/>
        </w:rPr>
      </w:r>
    </w:p>
    <w:p>
      <w:r>
        <w:fldChar w:fldCharType="begin"/>
        <w:instrText xml:space="preserve">TOC \h \z \c "Tabel"</w:instrText>
        <w:fldChar w:fldCharType="separate"/>
        <w:t>Klik kanan di sini lalu pilih 'Update Field' untuk mengisi daftar.</w:t>
        <w:fldChar w:fldCharType="end"/>
      </w:r>
    </w:p>
    <w:p>
      <w:r>
        <w:rPr>
          <w:i/>
          <w:sz w:val="20"/>
        </w:rPr>
        <w:t>Terisi otomatis dari caption ber-SEQ; di Word tekan Ctrl+A lalu F9.</w:t>
      </w:r>
    </w:p>
    <w:p>
      <w:r>
        <w:br w:type="page"/>
      </w:r>
    </w:p>
    <w:p>
      <w:pPr>
        <w:pStyle w:val="Heading1"/>
      </w:pPr>
      <w:r>
        <w:t>DAFTAR GAMBAR</w:t>
      </w:r>
    </w:p>
    <w:p>
      <w:pPr>
        <w:spacing w:after="0"/>
        <w:jc w:val="center"/>
      </w:pPr>
      <w:r>
        <w:rPr>
          <w:b w:val="0"/>
          <w:i w:val="0"/>
          <w:sz w:val="24"/>
        </w:rPr>
      </w:r>
    </w:p>
    <w:p>
      <w:r>
        <w:fldChar w:fldCharType="begin"/>
        <w:instrText xml:space="preserve">TOC \h \z \c "Gambar"</w:instrText>
        <w:fldChar w:fldCharType="separate"/>
        <w:t>Klik kanan di sini lalu pilih 'Update Field' untuk mengisi daftar.</w:t>
        <w:fldChar w:fldCharType="end"/>
      </w:r>
    </w:p>
    <w:p>
      <w:r>
        <w:rPr>
          <w:i/>
          <w:sz w:val="20"/>
        </w:rPr>
        <w:t>Terisi otomatis dari caption ber-SEQ; di Word tekan Ctrl+A lalu F9.</w:t>
      </w:r>
    </w:p>
    <w:p>
      <w:pPr>
        <w:sectPr>
          <w:footerReference w:type="default" r:id="rId10"/>
          <w:pgSz w:w="11906" w:h="16838"/>
          <w:pgMar w:top="1701" w:right="1701" w:bottom="1701" w:left="2268" w:header="720" w:footer="720" w:gutter="0"/>
          <w:cols w:space="720"/>
          <w:docGrid w:linePitch="360"/>
          <w:pgNumType w:fmt="lowerRoman" w:start="2"/>
        </w:sectPr>
      </w:pPr>
    </w:p>
    <w:p>
      <w:pPr>
        <w:pStyle w:val="Heading1"/>
      </w:pPr>
      <w:r>
        <w:t>BAB I PENDAHULUAN</w:t>
      </w:r>
    </w:p>
    <w:p>
      <w:pPr>
        <w:pStyle w:val="Heading2"/>
      </w:pPr>
      <w:r>
        <w:t>1.1 Latar Belakang Masalah</w:t>
      </w:r>
    </w:p>
    <w:p>
      <w:pPr>
        <w:ind w:firstLine="720"/>
        <w:jc w:val="both"/>
      </w:pPr>
      <w:r>
        <w:t>Perkembangan kecerdasan buatan (</w:t>
      </w:r>
      <w:r>
        <w:rPr>
          <w:i/>
        </w:rPr>
        <w:t>artificial intelligence</w:t>
      </w:r>
      <w:r>
        <w:t xml:space="preserve">) pada dekade terakhir telah mendorong kemunculan sistem AI Agent yang mampu memanggil fungsi eksternal secara otonom untuk menyelesaikan tugas kompleks. Kemampuan ini, yang dikenal sebagai </w:t>
      </w:r>
      <w:r>
        <w:rPr>
          <w:i/>
        </w:rPr>
        <w:t>function calling</w:t>
      </w:r>
      <w:r>
        <w:t xml:space="preserve"> atau </w:t>
      </w:r>
      <w:r>
        <w:rPr>
          <w:i/>
        </w:rPr>
        <w:t>tool use</w:t>
      </w:r>
      <w:r>
        <w:t xml:space="preserve">, pertama kali diperkenalkan sebagai fitur siap produksi oleh OpenAI pada Juni 2023 [1] dan kemudian diadopsi oleh Google DeepMind melalui mekanisme </w:t>
      </w:r>
      <w:r>
        <w:rPr>
          <w:i/>
        </w:rPr>
        <w:t>FunctionDeclaration</w:t>
      </w:r>
      <w:r>
        <w:t xml:space="preserve"> pada Gemini [2]. Fondasi teoritis dari kemampuan ini diletakkan oleh Schick et al. (2023) melalui Toolformer [3], yang membuktikan bahwa LLM dapat belajar memanggil </w:t>
      </w:r>
      <w:r>
        <w:rPr>
          <w:i/>
        </w:rPr>
        <w:t>tools</w:t>
      </w:r>
      <w:r>
        <w:t xml:space="preserve"> secara </w:t>
      </w:r>
      <w:r>
        <w:rPr>
          <w:i/>
        </w:rPr>
        <w:t>self-supervised</w:t>
      </w:r>
      <w:r>
        <w:t>, serta oleh Yao et al. (2023) melalui kerangka ReAct [4] yang memodelkan siklus Thought→Action→Observation sebagai dasar perilaku agen.</w:t>
      </w:r>
    </w:p>
    <w:p>
      <w:pPr>
        <w:ind w:firstLine="720"/>
        <w:jc w:val="both"/>
      </w:pPr>
      <w:r>
        <w:t>Zerlo.id adalah platform ERP (</w:t>
      </w:r>
      <w:r>
        <w:rPr>
          <w:i/>
        </w:rPr>
        <w:t>Enterprise Resource Planning</w:t>
      </w:r>
      <w:r>
        <w:t>) berbasis AI yang dirancang khusus untuk usaha mikro, kecil, dan menengah (UMKM) di sektor F&amp;B (</w:t>
      </w:r>
      <w:r>
        <w:rPr>
          <w:i/>
        </w:rPr>
        <w:t>Food and Beverage</w:t>
      </w:r>
      <w:r>
        <w:t xml:space="preserve">) Indonesia. Platform ini mengoperasikan 38 modul bisnis dengan 1.176 </w:t>
      </w:r>
      <w:r>
        <w:rPr>
          <w:i/>
        </w:rPr>
        <w:t>endpoint</w:t>
      </w:r>
      <w:r>
        <w:t xml:space="preserve">, 11 AI Agent aktif, dan lebih dari 60 </w:t>
      </w:r>
      <w:r>
        <w:rPr>
          <w:i/>
        </w:rPr>
        <w:t>tools</w:t>
      </w:r>
      <w:r>
        <w:t xml:space="preserve"> produksi yang tersedia bagi agen. Setiap modul — mulai dari manajemen pemesanan, inventaris, akuntansi, hingga analitik penjualan — memiliki sejumlah </w:t>
      </w:r>
      <w:r>
        <w:rPr>
          <w:i/>
        </w:rPr>
        <w:t>tools</w:t>
      </w:r>
      <w:r>
        <w:t xml:space="preserve"> yang harus dapat dipanggil oleh AI Agent sesuai konteks permintaan pengguna. Pada tahap </w:t>
      </w:r>
      <w:r>
        <w:rPr>
          <w:i/>
        </w:rPr>
        <w:t>beta testing</w:t>
      </w:r>
      <w:r>
        <w:t xml:space="preserve"> saat ini, jumlah </w:t>
      </w:r>
      <w:r>
        <w:rPr>
          <w:i/>
        </w:rPr>
        <w:t>tools</w:t>
      </w:r>
      <w:r>
        <w:t xml:space="preserve"> terus bertambah sejalan dengan pengembangan fitur baru.</w:t>
      </w:r>
    </w:p>
    <w:p>
      <w:pPr>
        <w:ind w:firstLine="720"/>
        <w:jc w:val="both"/>
      </w:pPr>
      <w:r>
        <w:t xml:space="preserve">Pertumbuhan katalog </w:t>
      </w:r>
      <w:r>
        <w:rPr>
          <w:i/>
        </w:rPr>
        <w:t>tools</w:t>
      </w:r>
      <w:r>
        <w:t xml:space="preserve"> ini menimbulkan permasalahan fundamental yang disebut </w:t>
      </w:r>
      <w:r>
        <w:rPr>
          <w:i/>
        </w:rPr>
        <w:t>tool overload</w:t>
      </w:r>
      <w:r>
        <w:t xml:space="preserve">. Ketika seluruh daftar </w:t>
      </w:r>
      <w:r>
        <w:rPr>
          <w:i/>
        </w:rPr>
        <w:t>tools</w:t>
      </w:r>
      <w:r>
        <w:t xml:space="preserve"> dikirimkan kepada LLM sebagai bagian dari konteks (</w:t>
      </w:r>
      <w:r>
        <w:rPr>
          <w:i/>
        </w:rPr>
        <w:t>context window</w:t>
      </w:r>
      <w:r>
        <w:t xml:space="preserve">), jumlah token input meningkat secara proporsional terhadap ukuran katalog. Pada skenario S3 dengan 300 </w:t>
      </w:r>
      <w:r>
        <w:rPr>
          <w:i/>
        </w:rPr>
        <w:t>tools</w:t>
      </w:r>
      <w:r>
        <w:t xml:space="preserve">, pengukuran pada penelitian ini menunjukkan rata-rata konsumsi token mencapai 23.893 token per kueri hanya untuk mendefinisikan </w:t>
      </w:r>
      <w:r>
        <w:rPr>
          <w:i/>
        </w:rPr>
        <w:t>tools</w:t>
      </w:r>
      <w:r>
        <w:t xml:space="preserve"> yang tersedia — bahkan sebelum pertanyaan pengguna diproses. Kondisi ini berdampak langsung pada biaya komputasi, latensi respons, dan akurasi pemilihan </w:t>
      </w:r>
      <w:r>
        <w:rPr>
          <w:i/>
        </w:rPr>
        <w:t>tool</w:t>
      </w:r>
      <w:r>
        <w:t>.</w:t>
      </w:r>
    </w:p>
    <w:p>
      <w:pPr>
        <w:ind w:firstLine="720"/>
        <w:jc w:val="both"/>
      </w:pPr>
      <w:r>
        <w:t xml:space="preserve">Fenomena degradasi performa LLM akibat konteks yang terlalu panjang telah dibuktikan secara empiris oleh Liu et al. (2024) dalam penelitian "Lost in the Middle" [5]: model cenderung mengabaikan informasi yang berada di bagian tengah konteks panjang dan lebih mengandalkan informasi di awal atau akhir konteks. Temuan serupa dilaporkan oleh Timothy B. Lee (2025) [6], yang mengukur akurasi Claude 3.5 Sonnet menurun dari 88% menjadi 30% ketika konteks mencapai 32K token — sebuah fenomena yang disebut </w:t>
      </w:r>
      <w:r>
        <w:rPr>
          <w:i/>
        </w:rPr>
        <w:t>context rot</w:t>
      </w:r>
      <w:r>
        <w:t>. Rajasekaran et al. (2025) dari Anthropic memperkuat temuan ini dengan pernyataan bahwa "</w:t>
      </w:r>
      <w:r>
        <w:rPr>
          <w:i/>
        </w:rPr>
        <w:t>bloated tool sets cause agent failure</w:t>
      </w:r>
      <w:r>
        <w:t xml:space="preserve">" dan merekomendasikan prinsip </w:t>
      </w:r>
      <w:r>
        <w:rPr>
          <w:i/>
        </w:rPr>
        <w:t>minimal token set</w:t>
      </w:r>
      <w:r>
        <w:t xml:space="preserve"> [7].</w:t>
      </w:r>
    </w:p>
    <w:p>
      <w:pPr>
        <w:ind w:firstLine="720"/>
        <w:jc w:val="both"/>
      </w:pPr>
      <w:r>
        <w:t xml:space="preserve">Solusi yang berkembang di industri dan komunitas riset adalah pendekatan </w:t>
      </w:r>
      <w:r>
        <w:rPr>
          <w:i/>
        </w:rPr>
        <w:t>Tool RAG</w:t>
      </w:r>
      <w:r>
        <w:t xml:space="preserve"> (</w:t>
      </w:r>
      <w:r>
        <w:rPr>
          <w:i/>
        </w:rPr>
        <w:t>Retrieval-Augmented Generation</w:t>
      </w:r>
      <w:r>
        <w:t xml:space="preserve"> untuk </w:t>
      </w:r>
      <w:r>
        <w:rPr>
          <w:i/>
        </w:rPr>
        <w:t>tools</w:t>
      </w:r>
      <w:r>
        <w:t xml:space="preserve">): alih-alih menyertakan seluruh katalog, sistem mengambil hanya </w:t>
      </w:r>
      <w:r>
        <w:rPr>
          <w:i/>
        </w:rPr>
        <w:t>tools</w:t>
      </w:r>
      <w:r>
        <w:t xml:space="preserve"> yang paling relevan secara semantik sebelum memanggil LLM. Gorilla [8] dan ToolLLM [9] membuktikan bahwa LLM dapat dihubungkan dengan ribuan API nyata menggunakan mekanisme </w:t>
      </w:r>
      <w:r>
        <w:rPr>
          <w:i/>
        </w:rPr>
        <w:t>retrieval</w:t>
      </w:r>
      <w:r>
        <w:t>. Lumer (2024) melalui Toolshed [10] mencapai peningkatan Recall@5 sebesar 46–56% menggunakan fusi tiga fase RAG-</w:t>
      </w:r>
      <w:r>
        <w:rPr>
          <w:i/>
        </w:rPr>
        <w:t>tool</w:t>
      </w:r>
      <w:r>
        <w:t xml:space="preserve">. Namun pendekatan berbasis </w:t>
      </w:r>
      <w:r>
        <w:rPr>
          <w:i/>
        </w:rPr>
        <w:t>embedding</w:t>
      </w:r>
      <w:r>
        <w:t xml:space="preserve"> ini membawa kompleksitas infrastruktur tersendiri: diperlukan model </w:t>
      </w:r>
      <w:r>
        <w:rPr>
          <w:i/>
        </w:rPr>
        <w:t>embedding</w:t>
      </w:r>
      <w:r>
        <w:t xml:space="preserve">, basis data vektor, dan </w:t>
      </w:r>
      <w:r>
        <w:rPr>
          <w:i/>
        </w:rPr>
        <w:t>pipeline</w:t>
      </w:r>
      <w:r>
        <w:t xml:space="preserve"> sinkronisasi yang tidak selalu tersedia dalam konteks sistem ERP berukuran menengah.</w:t>
      </w:r>
    </w:p>
    <w:p>
      <w:pPr>
        <w:ind w:firstLine="720"/>
        <w:jc w:val="both"/>
      </w:pPr>
      <w:r>
        <w:t xml:space="preserve">Sebagai alternatif yang lebih deterministik dan ringan, konsep </w:t>
      </w:r>
      <w:r>
        <w:rPr>
          <w:i/>
        </w:rPr>
        <w:t>Tool Registry</w:t>
      </w:r>
      <w:r>
        <w:t xml:space="preserve"> menawarkan lapisan penyaringan berbasis metadata: setiap </w:t>
      </w:r>
      <w:r>
        <w:rPr>
          <w:i/>
        </w:rPr>
        <w:t>tool</w:t>
      </w:r>
      <w:r>
        <w:t xml:space="preserve"> didaftarkan bersama atribut modul, peran (</w:t>
      </w:r>
      <w:r>
        <w:rPr>
          <w:i/>
        </w:rPr>
        <w:t>role</w:t>
      </w:r>
      <w:r>
        <w:t>), tingkat langganan (</w:t>
      </w:r>
      <w:r>
        <w:rPr>
          <w:i/>
        </w:rPr>
        <w:t>subscription tier</w:t>
      </w:r>
      <w:r>
        <w:t>), kata kunci (</w:t>
      </w:r>
      <w:r>
        <w:rPr>
          <w:i/>
        </w:rPr>
        <w:t>keywords</w:t>
      </w:r>
      <w:r>
        <w:t>), dan batas anggaran token (</w:t>
      </w:r>
      <w:r>
        <w:rPr>
          <w:i/>
        </w:rPr>
        <w:t>token budget</w:t>
      </w:r>
      <w:r>
        <w:t xml:space="preserve">). Sebelum LLM dipanggil, registry memfilter katalog berdasarkan konteks permintaan sehingga hanya subset </w:t>
      </w:r>
      <w:r>
        <w:rPr>
          <w:i/>
        </w:rPr>
        <w:t>tools</w:t>
      </w:r>
      <w:r>
        <w:t xml:space="preserve"> yang relevan yang diteruskan. Gaurav et al. (2025) menunjukkan bahwa pemuatan </w:t>
      </w:r>
      <w:r>
        <w:rPr>
          <w:i/>
        </w:rPr>
        <w:t>tool</w:t>
      </w:r>
      <w:r>
        <w:t xml:space="preserve"> yang dinamis dapat mengurangi beban pemuatan </w:t>
      </w:r>
      <w:r>
        <w:rPr>
          <w:i/>
        </w:rPr>
        <w:t>tool</w:t>
      </w:r>
      <w:r>
        <w:t xml:space="preserve"> hingga 50% sambil mempertahankan akurasi [11]. Jia dan Li (AAAI 2026) melalui AutoTool [12] membuktikan bahwa pola penggunaan </w:t>
      </w:r>
      <w:r>
        <w:rPr>
          <w:i/>
        </w:rPr>
        <w:t>tools</w:t>
      </w:r>
      <w:r>
        <w:t xml:space="preserve"> bersifat sekuensial dan dapat diprediksi, mendukung preseleksi sebelum inferensi. Wang et al. (ACL 2026) melalui MCP-Flow [13] melaporkan validasi skala industri dengan 11.536 </w:t>
      </w:r>
      <w:r>
        <w:rPr>
          <w:i/>
        </w:rPr>
        <w:t>tools</w:t>
      </w:r>
      <w:r>
        <w:t xml:space="preserve"> di 1.166 server MCP. Di tingkat </w:t>
      </w:r>
      <w:r>
        <w:rPr>
          <w:i/>
        </w:rPr>
        <w:t>hyperscaler</w:t>
      </w:r>
      <w:r>
        <w:t xml:space="preserve">, AWS telah mengadopsi pola ini sebagai AWS Agent Registry dengan </w:t>
      </w:r>
      <w:r>
        <w:rPr>
          <w:i/>
        </w:rPr>
        <w:t>hybrid search</w:t>
      </w:r>
      <w:r>
        <w:t xml:space="preserve"> dan integrasi IAM [14].</w:t>
      </w:r>
    </w:p>
    <w:p>
      <w:pPr>
        <w:ind w:firstLine="720"/>
        <w:jc w:val="both"/>
      </w:pPr>
      <w:r>
        <w:t xml:space="preserve">Pada ekosistem Pydantic AI — kerangka AI Agent yang digunakan zerlo.id — tersedia antarmuka </w:t>
      </w:r>
      <w:r>
        <w:rPr>
          <w:rFonts w:ascii="Courier New" w:hAnsi="Courier New"/>
        </w:rPr>
        <w:t>FilteredToolset</w:t>
      </w:r>
      <w:r>
        <w:t xml:space="preserve"> yang memungkinkan penyaringan </w:t>
      </w:r>
      <w:r>
        <w:rPr>
          <w:i/>
        </w:rPr>
        <w:t>tools</w:t>
      </w:r>
      <w:r>
        <w:t xml:space="preserve"> berdasarkan predikat tunggal. Namun antarmuka ini tidak mendukung penyaringan multi-kriteria (modul + peran + tier + anggaran token) yang diperlukan oleh platform ERP multi-modul. Kesenjangan ini menjadi motivasi utama perancangan Tool Registry khusus yang menjadi objek penelitian ini.</w:t>
      </w:r>
    </w:p>
    <w:p>
      <w:pPr>
        <w:ind w:firstLine="720"/>
        <w:jc w:val="both"/>
      </w:pPr>
      <w:r>
        <w:t xml:space="preserve">Berdasarkan pemaparan di atas, penelitian ini membangun dan mengevaluasi Tool Registry deterministik berbasis metadata pada platform zerlo.id, dengan mengukur dampaknya terhadap efisiensi token, akurasi pemilihan </w:t>
      </w:r>
      <w:r>
        <w:rPr>
          <w:i/>
        </w:rPr>
        <w:t>tool</w:t>
      </w:r>
      <w:r>
        <w:t>, dan skalabilitas AI Agent secara kuantitatif. Sejauh pengetahuan penulis, belum ada penelitian yang secara eksplisit mengukur dan mempublikasikan hasil evaluasi kuantitatif Tool Registry berbasis metadata pada kerangka Pydantic AI 1.x.</w:t>
      </w:r>
    </w:p>
    <w:p>
      <w:pPr>
        <w:pStyle w:val="Heading2"/>
      </w:pPr>
      <w:r>
        <w:t>1.2 Rumusan Masalah</w:t>
      </w:r>
    </w:p>
    <w:p>
      <w:pPr>
        <w:ind w:firstLine="720"/>
        <w:jc w:val="both"/>
      </w:pPr>
      <w:r>
        <w:t>Berdasarkan latar belakang yang telah dipaparkan, rumusan masalah penelitian ini dinyatakan sebagai berikut.</w:t>
      </w:r>
    </w:p>
    <w:p>
      <w:pPr>
        <w:ind w:left="567" w:hanging="283"/>
        <w:jc w:val="both"/>
      </w:pPr>
      <w:r>
        <w:t xml:space="preserve">1. Diperlukan rancangan Tool Registry yang mampu menyimpan metadata </w:t>
      </w:r>
      <w:r>
        <w:rPr>
          <w:i/>
        </w:rPr>
        <w:t>tool</w:t>
      </w:r>
      <w:r>
        <w:t xml:space="preserve"> secara terstruktur pada platform ERP multi-modul zerlo.id.</w:t>
      </w:r>
    </w:p>
    <w:p>
      <w:pPr>
        <w:ind w:left="567" w:hanging="283"/>
        <w:jc w:val="both"/>
      </w:pPr>
      <w:r>
        <w:t xml:space="preserve">2. Diperlukan mekanisme penyaringan </w:t>
      </w:r>
      <w:r>
        <w:rPr>
          <w:i/>
        </w:rPr>
        <w:t>tool</w:t>
      </w:r>
      <w:r>
        <w:t xml:space="preserve"> (</w:t>
      </w:r>
      <w:r>
        <w:rPr>
          <w:i/>
        </w:rPr>
        <w:t>filtering</w:t>
      </w:r>
      <w:r>
        <w:t>) secara dinamis berdasarkan modul, peran, tingkat langganan, dan anggaran token pada AI Agent.</w:t>
      </w:r>
    </w:p>
    <w:p>
      <w:pPr>
        <w:ind w:left="567" w:hanging="283"/>
        <w:jc w:val="both"/>
      </w:pPr>
      <w:r>
        <w:t>3. Dampak penerapan Tool Registry terhadap penggunaan token (</w:t>
      </w:r>
      <w:r>
        <w:rPr>
          <w:i/>
        </w:rPr>
        <w:t>token usage</w:t>
      </w:r>
      <w:r>
        <w:t>), latensi (</w:t>
      </w:r>
      <w:r>
        <w:rPr>
          <w:i/>
        </w:rPr>
        <w:t>latency</w:t>
      </w:r>
      <w:r>
        <w:t xml:space="preserve">), dan akurasi pemilihan </w:t>
      </w:r>
      <w:r>
        <w:rPr>
          <w:i/>
        </w:rPr>
        <w:t>tool</w:t>
      </w:r>
      <w:r>
        <w:t xml:space="preserve"> (</w:t>
      </w:r>
      <w:r>
        <w:rPr>
          <w:i/>
        </w:rPr>
        <w:t>tool selection accuracy</w:t>
      </w:r>
      <w:r>
        <w:t xml:space="preserve">) dibandingkan dengan pendekatan </w:t>
      </w:r>
      <w:r>
        <w:rPr>
          <w:i/>
        </w:rPr>
        <w:t>baseline</w:t>
      </w:r>
      <w:r>
        <w:t xml:space="preserve"> tanpa penyaringan belum diketahui dan perlu diukur secara kuantitatif.</w:t>
      </w:r>
    </w:p>
    <w:p>
      <w:pPr>
        <w:ind w:left="567" w:hanging="283"/>
        <w:jc w:val="both"/>
      </w:pPr>
      <w:r>
        <w:t xml:space="preserve">4. Kemampuan Tool Registry dalam mendukung skalabilitas AI Agent pada platform ERP restoran ketika jumlah </w:t>
      </w:r>
      <w:r>
        <w:rPr>
          <w:i/>
        </w:rPr>
        <w:t>tools</w:t>
      </w:r>
      <w:r>
        <w:t xml:space="preserve"> dalam katalog bertambah secara signifikan perlu dibuktikan.</w:t>
      </w:r>
    </w:p>
    <w:p>
      <w:pPr>
        <w:pStyle w:val="Heading2"/>
      </w:pPr>
      <w:r>
        <w:t>1.3 Batasan Masalah</w:t>
      </w:r>
    </w:p>
    <w:p>
      <w:pPr>
        <w:ind w:firstLine="720"/>
        <w:jc w:val="both"/>
      </w:pPr>
      <w:r>
        <w:t>Agar penelitian ini terfokus dan hasilnya dapat diukur secara valid, ditetapkan batasan-batasan sebagai berikut.</w:t>
      </w:r>
    </w:p>
    <w:p>
      <w:pPr>
        <w:ind w:left="567" w:hanging="283"/>
        <w:jc w:val="both"/>
      </w:pPr>
      <w:r>
        <w:t xml:space="preserve">1. Penyedia LLM yang digunakan adalah Google Gemini 2.5 Flash Lite melalui Google Gen AI SDK dengan mekanisme </w:t>
      </w:r>
      <w:r>
        <w:rPr>
          <w:i/>
        </w:rPr>
        <w:t>native function calling</w:t>
      </w:r>
      <w:r>
        <w:t xml:space="preserve"> (FunctionDeclaration, mode=ANY, temperature=0). Eksperimen multi-model (MiniMax-M2.7 dan Claude Sonnet 4.6) disertakan sebagai bukti generalisabilitas, bukan sebagai hasil utama.</w:t>
      </w:r>
    </w:p>
    <w:p>
      <w:pPr>
        <w:ind w:left="567" w:hanging="283"/>
        <w:jc w:val="both"/>
      </w:pPr>
      <w:r>
        <w:t xml:space="preserve">2. Dataset evaluasi terdiri dari 100 kueri berbahasa Indonesia yang mencakup tiga kategori: 50 kueri </w:t>
      </w:r>
      <w:r>
        <w:rPr>
          <w:i/>
        </w:rPr>
        <w:t>single-domain</w:t>
      </w:r>
      <w:r>
        <w:t xml:space="preserve">, 30 kueri </w:t>
      </w:r>
      <w:r>
        <w:rPr>
          <w:i/>
        </w:rPr>
        <w:t>cross-domain</w:t>
      </w:r>
      <w:r>
        <w:t>, dan 20 kueri adversarial. Setiap kueri diulang sebanyak tiga kali per skenario (</w:t>
      </w:r>
      <w:r>
        <w:rPr>
          <w:i/>
        </w:rPr>
        <w:t>repeat runs</w:t>
      </w:r>
      <w:r>
        <w:t>).</w:t>
      </w:r>
    </w:p>
    <w:p>
      <w:pPr>
        <w:ind w:left="567" w:hanging="283"/>
        <w:jc w:val="both"/>
      </w:pPr>
      <w:r>
        <w:t xml:space="preserve">3. Evaluasi dilakukan pada tiga skenario katalog: S1 (30 </w:t>
      </w:r>
      <w:r>
        <w:rPr>
          <w:i/>
        </w:rPr>
        <w:t>tools</w:t>
      </w:r>
      <w:r>
        <w:t xml:space="preserve">), S2 (100 </w:t>
      </w:r>
      <w:r>
        <w:rPr>
          <w:i/>
        </w:rPr>
        <w:t>tools</w:t>
      </w:r>
      <w:r>
        <w:t xml:space="preserve">), dan S3 (300 </w:t>
      </w:r>
      <w:r>
        <w:rPr>
          <w:i/>
        </w:rPr>
        <w:t>tools</w:t>
      </w:r>
      <w:r>
        <w:t xml:space="preserve">). Skenario S4 (1.000 </w:t>
      </w:r>
      <w:r>
        <w:rPr>
          <w:i/>
        </w:rPr>
        <w:t>tools</w:t>
      </w:r>
      <w:r>
        <w:t xml:space="preserve">) hanya disimulasikan secara deterministik, tidak dijalankan secara </w:t>
      </w:r>
      <w:r>
        <w:rPr>
          <w:i/>
        </w:rPr>
        <w:t>live</w:t>
      </w:r>
      <w:r>
        <w:t>.</w:t>
      </w:r>
    </w:p>
    <w:p>
      <w:pPr>
        <w:ind w:left="567" w:hanging="283"/>
        <w:jc w:val="both"/>
      </w:pPr>
      <w:r>
        <w:t xml:space="preserve">4. Batas </w:t>
      </w:r>
      <w:r>
        <w:rPr>
          <w:i/>
        </w:rPr>
        <w:t>tool budget</w:t>
      </w:r>
      <w:r>
        <w:t xml:space="preserve"> yang diteruskan ke LLM ditetapkan maksimal 15 </w:t>
      </w:r>
      <w:r>
        <w:rPr>
          <w:i/>
        </w:rPr>
        <w:t>tools</w:t>
      </w:r>
      <w:r>
        <w:t xml:space="preserve"> per panggilan registry.</w:t>
      </w:r>
    </w:p>
    <w:p>
      <w:pPr>
        <w:ind w:left="567" w:hanging="283"/>
        <w:jc w:val="both"/>
      </w:pPr>
      <w:r>
        <w:t>5. Penelitian tidak mengukur kualitas linguistik dari respons yang dihasilkan LLM.</w:t>
      </w:r>
    </w:p>
    <w:p>
      <w:pPr>
        <w:ind w:left="567" w:hanging="283"/>
        <w:jc w:val="both"/>
      </w:pPr>
      <w:r>
        <w:t xml:space="preserve">6. Pendekatan </w:t>
      </w:r>
      <w:r>
        <w:rPr>
          <w:i/>
        </w:rPr>
        <w:t>Tool RAG</w:t>
      </w:r>
      <w:r>
        <w:t xml:space="preserve"> berbasis </w:t>
      </w:r>
      <w:r>
        <w:rPr>
          <w:i/>
        </w:rPr>
        <w:t>embedding</w:t>
      </w:r>
      <w:r>
        <w:t xml:space="preserve"> dibahas sebagai </w:t>
      </w:r>
      <w:r>
        <w:rPr>
          <w:i/>
        </w:rPr>
        <w:t>future work</w:t>
      </w:r>
      <w:r>
        <w:t>, bukan sebagai bagian dari implementasi utama.</w:t>
      </w:r>
    </w:p>
    <w:p>
      <w:pPr>
        <w:pStyle w:val="Heading2"/>
      </w:pPr>
      <w:r>
        <w:t>1.4 Tujuan Penelitian</w:t>
      </w:r>
    </w:p>
    <w:p>
      <w:pPr>
        <w:ind w:firstLine="720"/>
        <w:jc w:val="both"/>
      </w:pPr>
      <w:r>
        <w:t>Penelitian ini bertujuan untuk:</w:t>
      </w:r>
    </w:p>
    <w:p>
      <w:pPr>
        <w:ind w:left="567" w:hanging="283"/>
        <w:jc w:val="both"/>
      </w:pPr>
      <w:r>
        <w:t>1. merancang Tool Registry dengan metadata terstruktur (ToolMeta) yang mencakup atribut modul, tipe operasi, kata kunci, peran, dan tingkat langganan;</w:t>
      </w:r>
    </w:p>
    <w:p>
      <w:pPr>
        <w:ind w:left="567" w:hanging="283"/>
        <w:jc w:val="both"/>
      </w:pPr>
      <w:r>
        <w:t xml:space="preserve">2. mengimplementasikan mekanisme penyaringan dinamis berbasis multi-kriteria (modul, peran, tier, token budget) sebagai lapisan antara katalog </w:t>
      </w:r>
      <w:r>
        <w:rPr>
          <w:i/>
        </w:rPr>
        <w:t>tools</w:t>
      </w:r>
      <w:r>
        <w:t xml:space="preserve"> dan LLM pada AI Agent zerlo.id;</w:t>
      </w:r>
    </w:p>
    <w:p>
      <w:pPr>
        <w:ind w:left="567" w:hanging="283"/>
        <w:jc w:val="both"/>
      </w:pPr>
      <w:r>
        <w:t xml:space="preserve">3. mengukur dampak penerapan Tool Registry terhadap penggunaan token, latensi, dan akurasi pemilihan </w:t>
      </w:r>
      <w:r>
        <w:rPr>
          <w:i/>
        </w:rPr>
        <w:t>tool</w:t>
      </w:r>
      <w:r>
        <w:t xml:space="preserve"> secara kuantitatif menggunakan uji statistik Wilcoxon </w:t>
      </w:r>
      <w:r>
        <w:rPr>
          <w:i/>
        </w:rPr>
        <w:t>signed-rank</w:t>
      </w:r>
      <w:r>
        <w:t xml:space="preserve">, Cohen's d, dan </w:t>
      </w:r>
      <w:r>
        <w:rPr>
          <w:i/>
        </w:rPr>
        <w:t>confidence interval</w:t>
      </w:r>
      <w:r>
        <w:t xml:space="preserve"> 95%;</w:t>
      </w:r>
    </w:p>
    <w:p>
      <w:pPr>
        <w:ind w:left="567" w:hanging="283"/>
        <w:jc w:val="both"/>
      </w:pPr>
      <w:r>
        <w:t xml:space="preserve">4. membuktikan sifat skalabilitas </w:t>
      </w:r>
      <w:r>
        <w:rPr>
          <w:i/>
        </w:rPr>
        <w:t>sub-linear</w:t>
      </w:r>
      <w:r>
        <w:t xml:space="preserve"> Tool Registry — yaitu bahwa jumlah </w:t>
      </w:r>
      <w:r>
        <w:rPr>
          <w:i/>
        </w:rPr>
        <w:t>tools</w:t>
      </w:r>
      <w:r>
        <w:t xml:space="preserve"> yang terlihat oleh LLM tetap konstan (O(1) terhadap budget) meskipun ukuran katalog bertambah dari 30 ke 100 ke 300 </w:t>
      </w:r>
      <w:r>
        <w:rPr>
          <w:i/>
        </w:rPr>
        <w:t>tools</w:t>
      </w:r>
      <w:r>
        <w:t>.</w:t>
      </w:r>
    </w:p>
    <w:p>
      <w:pPr>
        <w:pStyle w:val="Heading2"/>
      </w:pPr>
      <w:r>
        <w:t>1.5 Manfaat Penelitian</w:t>
      </w:r>
    </w:p>
    <w:p>
      <w:pPr>
        <w:ind w:firstLine="720"/>
        <w:jc w:val="both"/>
      </w:pPr>
      <w:r>
        <w:t>Penelitian ini memberikan manfaat pada tiga dimensi berikut.</w:t>
      </w:r>
    </w:p>
    <w:p>
      <w:pPr>
        <w:ind w:firstLine="720"/>
        <w:jc w:val="both"/>
      </w:pPr>
      <w:r>
        <w:rPr>
          <w:b/>
        </w:rPr>
        <w:t>Manfaat Akademik.</w:t>
      </w:r>
      <w:r>
        <w:t xml:space="preserve"> Penelitian ini menghasilkan </w:t>
      </w:r>
      <w:r>
        <w:rPr>
          <w:i/>
        </w:rPr>
        <w:t>baseline</w:t>
      </w:r>
      <w:r>
        <w:t xml:space="preserve"> kuantitatif pertama evaluasi Tool Registry berbasis metadata pada kerangka Pydantic AI 1.x. Metodologi eksperimen — 100 kueri × 3 pengulangan × 3 skenario dengan uji Wilcoxon dan Cohen's d — dapat dijadikan acuan bagi penelitian serupa yang membandingkan strategi penyaringan </w:t>
      </w:r>
      <w:r>
        <w:rPr>
          <w:i/>
        </w:rPr>
        <w:t>tool</w:t>
      </w:r>
      <w:r>
        <w:t xml:space="preserve"> pada sistem AI Agent enterprise.</w:t>
      </w:r>
    </w:p>
    <w:p>
      <w:pPr>
        <w:ind w:firstLine="720"/>
        <w:jc w:val="both"/>
      </w:pPr>
      <w:r>
        <w:rPr>
          <w:b/>
        </w:rPr>
        <w:t>Manfaat Praktis.</w:t>
      </w:r>
      <w:r>
        <w:t xml:space="preserve"> Bagi platform zerlo.id, hasil penelitian ini memberikan bukti kuantitatif bahwa Tool Registry mampu menekan konsumsi token hingga 95% (skenario S3) tanpa degradasi akurasi, sehingga platform dapat diskalakan ke ratusan modul tanpa mengalami </w:t>
      </w:r>
      <w:r>
        <w:rPr>
          <w:i/>
        </w:rPr>
        <w:t>context rot</w:t>
      </w:r>
      <w:r>
        <w:t xml:space="preserve"> atau lonjakan biaya inferensi yang proporsional.</w:t>
      </w:r>
    </w:p>
    <w:p>
      <w:pPr>
        <w:ind w:firstLine="720"/>
        <w:jc w:val="both"/>
      </w:pPr>
      <w:r>
        <w:rPr>
          <w:b/>
        </w:rPr>
        <w:t>Manfaat bagi Komunitas Pengembang.</w:t>
      </w:r>
      <w:r>
        <w:t xml:space="preserve"> Pola arsitektur Tool Registry deterministik berbasis metadata yang dikembangkan dalam penelitian ini dapat direplikasi oleh pengembang sistem AI Agent enterprise lain yang memerlukan solusi </w:t>
      </w:r>
      <w:r>
        <w:rPr>
          <w:i/>
        </w:rPr>
        <w:t>tool management</w:t>
      </w:r>
      <w:r>
        <w:t xml:space="preserve"> tanpa ketergantungan pada infrastruktur </w:t>
      </w:r>
      <w:r>
        <w:rPr>
          <w:i/>
        </w:rPr>
        <w:t>embedding</w:t>
      </w:r>
      <w:r>
        <w:t xml:space="preserve"> dan basis data vektor.</w:t>
      </w:r>
    </w:p>
    <w:p>
      <w:pPr>
        <w:pStyle w:val="Heading2"/>
      </w:pPr>
      <w:r>
        <w:t>1.6 Metode Penelitian</w:t>
      </w:r>
    </w:p>
    <w:p>
      <w:pPr>
        <w:ind w:firstLine="720"/>
        <w:jc w:val="both"/>
      </w:pPr>
      <w:r>
        <w:t xml:space="preserve">Penelitian ini menggunakan pendekatan </w:t>
      </w:r>
      <w:r>
        <w:rPr>
          <w:i/>
        </w:rPr>
        <w:t>Design Science Research</w:t>
      </w:r>
      <w:r>
        <w:t xml:space="preserve"> (DSR) sebagaimana dikemukakan oleh Hevner et al. (2004) [15], yang terdiri dari lima tahap: identifikasi masalah (</w:t>
      </w:r>
      <w:r>
        <w:rPr>
          <w:i/>
        </w:rPr>
        <w:t>problem identification</w:t>
      </w:r>
      <w:r>
        <w:t>), penetapan tujuan solusi (</w:t>
      </w:r>
      <w:r>
        <w:rPr>
          <w:i/>
        </w:rPr>
        <w:t>objective of solution</w:t>
      </w:r>
      <w:r>
        <w:t>), perancangan dan pengembangan artefak (</w:t>
      </w:r>
      <w:r>
        <w:rPr>
          <w:i/>
        </w:rPr>
        <w:t>design and development</w:t>
      </w:r>
      <w:r>
        <w:t>), demonstrasi (</w:t>
      </w:r>
      <w:r>
        <w:rPr>
          <w:i/>
        </w:rPr>
        <w:t>demonstration</w:t>
      </w:r>
      <w:r>
        <w:t>), dan evaluasi (</w:t>
      </w:r>
      <w:r>
        <w:rPr>
          <w:i/>
        </w:rPr>
        <w:t>evaluation</w:t>
      </w:r>
      <w:r>
        <w:t>).</w:t>
      </w:r>
    </w:p>
    <w:p>
      <w:pPr>
        <w:ind w:firstLine="720"/>
        <w:jc w:val="both"/>
      </w:pPr>
      <w:r>
        <w:rPr>
          <w:b/>
        </w:rPr>
        <w:t>Tahap Identifikasi Masalah.</w:t>
      </w:r>
      <w:r>
        <w:t xml:space="preserve"> Fenomena </w:t>
      </w:r>
      <w:r>
        <w:rPr>
          <w:i/>
        </w:rPr>
        <w:t>tool overload</w:t>
      </w:r>
      <w:r>
        <w:t xml:space="preserve"> diidentifikasi dari data operasional zerlo.id: 60+ </w:t>
      </w:r>
      <w:r>
        <w:rPr>
          <w:i/>
        </w:rPr>
        <w:t>tools</w:t>
      </w:r>
      <w:r>
        <w:t xml:space="preserve"> aktif di lingkungan produksi dengan proyeksi pertumbuhan sejalan ekspansi modul. Literatur empiris ("Lost in the Middle" [5], </w:t>
      </w:r>
      <w:r>
        <w:rPr>
          <w:i/>
        </w:rPr>
        <w:t>context rot</w:t>
      </w:r>
      <w:r>
        <w:t xml:space="preserve"> [6]) dikutip sebagai justifikasi akademik.</w:t>
      </w:r>
    </w:p>
    <w:p>
      <w:pPr>
        <w:ind w:firstLine="720"/>
        <w:jc w:val="both"/>
      </w:pPr>
      <w:r>
        <w:rPr>
          <w:b/>
        </w:rPr>
        <w:t>Tahap Perancangan Artefak.</w:t>
      </w:r>
      <w:r>
        <w:t xml:space="preserve"> Artefak utama yang dirancang adalah: (a) </w:t>
      </w:r>
      <w:r>
        <w:rPr>
          <w:i/>
        </w:rPr>
        <w:t>dataclass</w:t>
      </w:r>
      <w:r>
        <w:t xml:space="preserve"> ToolMeta sebagai skema metadata </w:t>
      </w:r>
      <w:r>
        <w:rPr>
          <w:i/>
        </w:rPr>
        <w:t>tool</w:t>
      </w:r>
      <w:r>
        <w:t xml:space="preserve">, (b) kelas ToolRegistry sebagai </w:t>
      </w:r>
      <w:r>
        <w:rPr>
          <w:i/>
        </w:rPr>
        <w:t>singleton</w:t>
      </w:r>
      <w:r>
        <w:t xml:space="preserve"> penyimpan katalog, dan (c) fungsi </w:t>
      </w:r>
      <w:r>
        <w:rPr>
          <w:rFonts w:ascii="Courier New" w:hAnsi="Courier New"/>
        </w:rPr>
        <w:t>registry_filter()</w:t>
      </w:r>
      <w:r>
        <w:t xml:space="preserve"> sebagai </w:t>
      </w:r>
      <w:r>
        <w:rPr>
          <w:i/>
        </w:rPr>
        <w:t>pipeline</w:t>
      </w:r>
      <w:r>
        <w:t xml:space="preserve"> penyaringan berbasis </w:t>
      </w:r>
      <w:r>
        <w:rPr>
          <w:i/>
        </w:rPr>
        <w:t>keyword scoring</w:t>
      </w:r>
      <w:r>
        <w:t xml:space="preserve"> dan </w:t>
      </w:r>
      <w:r>
        <w:rPr>
          <w:i/>
        </w:rPr>
        <w:t>budget cap</w:t>
      </w:r>
      <w:r>
        <w:t xml:space="preserve">. Artefak pendukung mencakup </w:t>
      </w:r>
      <w:r>
        <w:rPr>
          <w:i/>
        </w:rPr>
        <w:t>framework</w:t>
      </w:r>
      <w:r>
        <w:t xml:space="preserve"> evaluasi: </w:t>
      </w:r>
      <w:r>
        <w:rPr>
          <w:i/>
        </w:rPr>
        <w:t>runner</w:t>
      </w:r>
      <w:r>
        <w:t xml:space="preserve"> JSONL inkremental, modul pengukuran statistik, dan </w:t>
      </w:r>
      <w:r>
        <w:rPr>
          <w:i/>
        </w:rPr>
        <w:t>report generator</w:t>
      </w:r>
      <w:r>
        <w:t>.</w:t>
      </w:r>
    </w:p>
    <w:p>
      <w:pPr>
        <w:ind w:firstLine="720"/>
        <w:jc w:val="both"/>
      </w:pPr>
      <w:r>
        <w:rPr>
          <w:b/>
        </w:rPr>
        <w:t>Tahap Demonstrasi.</w:t>
      </w:r>
      <w:r>
        <w:t xml:space="preserve"> Tool Registry diintegrasikan ke dalam AI Agent berbasis Pydantic AI dan diuji pada tiga skenario katalog (S1/S2/S3) menggunakan dataset 100 kueri berbahasa Indonesia.</w:t>
      </w:r>
    </w:p>
    <w:p>
      <w:pPr>
        <w:ind w:firstLine="720"/>
        <w:jc w:val="both"/>
      </w:pPr>
      <w:r>
        <w:rPr>
          <w:b/>
        </w:rPr>
        <w:t>Tahap Evaluasi.</w:t>
      </w:r>
      <w:r>
        <w:t xml:space="preserve"> Hasil eksperimen dianalisis menggunakan:</w:t>
      </w:r>
    </w:p>
    <w:p>
      <w:pPr>
        <w:ind w:firstLine="720"/>
        <w:jc w:val="both"/>
      </w:pPr>
      <w:r>
        <w:t xml:space="preserve">(a) pengujian statistik Wilcoxon </w:t>
      </w:r>
      <w:r>
        <w:rPr>
          <w:i/>
        </w:rPr>
        <w:t>signed-rank</w:t>
      </w:r>
      <w:r>
        <w:t xml:space="preserve"> berpasangan (satu arah) untuk menguji signifikansi penurunan token;</w:t>
      </w:r>
    </w:p>
    <w:p>
      <w:pPr>
        <w:ind w:firstLine="720"/>
        <w:jc w:val="both"/>
      </w:pPr>
      <w:r>
        <w:t>(b) Cohen's d untuk mengukur besar efek (</w:t>
      </w:r>
      <w:r>
        <w:rPr>
          <w:i/>
        </w:rPr>
        <w:t>effect size</w:t>
      </w:r>
      <w:r>
        <w:t>);</w:t>
      </w:r>
    </w:p>
    <w:p>
      <w:pPr>
        <w:ind w:firstLine="720"/>
        <w:jc w:val="both"/>
      </w:pPr>
      <w:r>
        <w:t xml:space="preserve">(c) </w:t>
      </w:r>
      <w:r>
        <w:rPr>
          <w:i/>
        </w:rPr>
        <w:t>confidence interval</w:t>
      </w:r>
      <w:r>
        <w:t xml:space="preserve"> 95% untuk estimasi rentang penurunan;</w:t>
      </w:r>
    </w:p>
    <w:p>
      <w:pPr>
        <w:ind w:firstLine="720"/>
        <w:jc w:val="both"/>
      </w:pPr>
      <w:r>
        <w:t xml:space="preserve">(d) analisis perbandingan akurasi pemilihan </w:t>
      </w:r>
      <w:r>
        <w:rPr>
          <w:i/>
        </w:rPr>
        <w:t>tool</w:t>
      </w:r>
      <w:r>
        <w:t xml:space="preserve"> antara mode </w:t>
      </w:r>
      <w:r>
        <w:rPr>
          <w:i/>
        </w:rPr>
        <w:t>baseline</w:t>
      </w:r>
      <w:r>
        <w:t xml:space="preserve"> dan </w:t>
      </w:r>
      <w:r>
        <w:rPr>
          <w:i/>
        </w:rPr>
        <w:t>registry</w:t>
      </w:r>
      <w:r>
        <w:t>.</w:t>
      </w:r>
    </w:p>
    <w:p>
      <w:pPr>
        <w:ind w:firstLine="720"/>
        <w:jc w:val="both"/>
      </w:pPr>
      <w:r>
        <w:t>Seluruh data eksperimen disimpan dalam format JSONL yang dapat dilanjutkan (</w:t>
      </w:r>
      <w:r>
        <w:rPr>
          <w:i/>
        </w:rPr>
        <w:t>resume-safe</w:t>
      </w:r>
      <w:r>
        <w:t xml:space="preserve">) untuk memastikan reprodusibilitas. Total rekaman yang dihasilkan adalah n=558 (279 </w:t>
      </w:r>
      <w:r>
        <w:rPr>
          <w:i/>
        </w:rPr>
        <w:t>baseline</w:t>
      </w:r>
      <w:r>
        <w:t xml:space="preserve"> + 279 </w:t>
      </w:r>
      <w:r>
        <w:rPr>
          <w:i/>
        </w:rPr>
        <w:t>registry</w:t>
      </w:r>
      <w:r>
        <w:t>) dari eksperimen resmi Gemini Native v2.</w:t>
      </w:r>
    </w:p>
    <w:p>
      <w:pPr>
        <w:keepNext/>
        <w:spacing w:before="240"/>
      </w:pPr>
      <w:r>
        <w:rPr>
          <w:b/>
        </w:rPr>
        <w:t>Referensi Bab I</w:t>
      </w:r>
    </w:p>
    <w:p>
      <w:pPr>
        <w:keepLines/>
        <w:spacing w:after="120"/>
        <w:ind w:left="567" w:hanging="567"/>
        <w:jc w:val="both"/>
      </w:pPr>
      <w:r>
        <w:t>[1] OpenAI, "Function calling," OpenAI Developer Documentation, Jun. 2023. [Online]. Tersedia: https://platform.openai.com/docs/guides/function-calling</w:t>
      </w:r>
    </w:p>
    <w:p>
      <w:pPr>
        <w:keepLines/>
        <w:spacing w:after="120"/>
        <w:ind w:left="567" w:hanging="567"/>
        <w:jc w:val="both"/>
      </w:pPr>
      <w:r>
        <w:t>[2] Google DeepMind, "Gemini API function calling," Google AI Developer Documentation, 2024. [Online]. Tersedia: https://ai.google.dev/gemini-api/docs/function-calling</w:t>
      </w:r>
    </w:p>
    <w:p>
      <w:pPr>
        <w:keepLines/>
        <w:spacing w:after="120"/>
        <w:ind w:left="567" w:hanging="567"/>
        <w:jc w:val="both"/>
      </w:pPr>
      <w:r>
        <w:t xml:space="preserve">[3] T. Schick, J. Dwivedi-Yu, R. Dessi, R. Raileanu, M. Lomeli, E. Hambro, L. Zettlemoyer, N. Cancedda, dan T. Scialom, "Toolformer: Language models can teach themselves to use tools," in </w:t>
      </w:r>
      <w:r>
        <w:rPr>
          <w:i/>
        </w:rPr>
        <w:t>Proc. Adv. Neural Inf. Process. Syst. (NeurIPS)</w:t>
      </w:r>
      <w:r>
        <w:t>, 2023.</w:t>
      </w:r>
    </w:p>
    <w:p>
      <w:pPr>
        <w:keepLines/>
        <w:spacing w:after="120"/>
        <w:ind w:left="567" w:hanging="567"/>
        <w:jc w:val="both"/>
      </w:pPr>
      <w:r>
        <w:t xml:space="preserve">[4] S. Yao, J. Zhao, D. Yu, N. Du, I. Shafran, K. Narasimhan, dan Y. Cao, "ReAct: Synergizing reasoning and acting in language models," in </w:t>
      </w:r>
      <w:r>
        <w:rPr>
          <w:i/>
        </w:rPr>
        <w:t>Proc. Int. Conf. Learn. Representations (ICLR)</w:t>
      </w:r>
      <w:r>
        <w:t>, 2023. arXiv:2210.03629.</w:t>
      </w:r>
    </w:p>
    <w:p>
      <w:pPr>
        <w:keepLines/>
        <w:spacing w:after="120"/>
        <w:ind w:left="567" w:hanging="567"/>
        <w:jc w:val="both"/>
      </w:pPr>
      <w:r>
        <w:t xml:space="preserve">[5] N.F. Liu, K. Lin, J. Hewitt, A. Paranjape, M. Bevilacqua, F. Petroni, dan P. Liang, "Lost in the middle: How language models use long contexts," </w:t>
      </w:r>
      <w:r>
        <w:rPr>
          <w:i/>
        </w:rPr>
        <w:t>Trans. Assoc. Comput. Linguistics</w:t>
      </w:r>
      <w:r>
        <w:t>, vol. 12, pp. 157–173, 2024. arXiv:2307.03172.</w:t>
      </w:r>
    </w:p>
    <w:p>
      <w:pPr>
        <w:keepLines/>
        <w:spacing w:after="120"/>
        <w:ind w:left="567" w:hanging="567"/>
        <w:jc w:val="both"/>
      </w:pPr>
      <w:r>
        <w:t xml:space="preserve">[6] T.B. Lee, "How long contexts hurt AI performance," </w:t>
      </w:r>
      <w:r>
        <w:rPr>
          <w:i/>
        </w:rPr>
        <w:t>Understanding AI</w:t>
      </w:r>
      <w:r>
        <w:t xml:space="preserve"> (Newsletter), Nov. 2025. [Online]. Tersedia: https://www.understandingai.org/p/how-long-contexts-hurt-ai-performance</w:t>
      </w:r>
    </w:p>
    <w:p>
      <w:pPr>
        <w:keepLines/>
        <w:spacing w:after="120"/>
        <w:ind w:left="567" w:hanging="567"/>
        <w:jc w:val="both"/>
      </w:pPr>
      <w:r>
        <w:t xml:space="preserve">[7] P. Rajasekaran, E. Dixon, C. Ryan, dan J. Hadfield, "Effective context engineering for AI agents," </w:t>
      </w:r>
      <w:r>
        <w:rPr>
          <w:i/>
        </w:rPr>
        <w:t>Anthropic Engineering Blog</w:t>
      </w:r>
      <w:r>
        <w:t>, Sep. 2025.</w:t>
      </w:r>
    </w:p>
    <w:p>
      <w:pPr>
        <w:keepLines/>
        <w:spacing w:after="120"/>
        <w:ind w:left="567" w:hanging="567"/>
        <w:jc w:val="both"/>
      </w:pPr>
      <w:r>
        <w:t xml:space="preserve">[8] S.G. Patil, T. Zhang, X. Wang, dan J.E. Gonzalez, "Gorilla: Large language model connected with massive APIs," in </w:t>
      </w:r>
      <w:r>
        <w:rPr>
          <w:i/>
        </w:rPr>
        <w:t>Proc. Adv. Neural Inf. Process. Syst. (NeurIPS)</w:t>
      </w:r>
      <w:r>
        <w:t>, 2024. arXiv:2305.15334.</w:t>
      </w:r>
    </w:p>
    <w:p>
      <w:pPr>
        <w:keepLines/>
        <w:spacing w:after="120"/>
        <w:ind w:left="567" w:hanging="567"/>
        <w:jc w:val="both"/>
      </w:pPr>
      <w:r>
        <w:t xml:space="preserve">[9] Y. Qin et al., "ToolLLM: Facilitating large language models to master 16000+ real-world APIs," in </w:t>
      </w:r>
      <w:r>
        <w:rPr>
          <w:i/>
        </w:rPr>
        <w:t>Proc. Int. Conf. Learn. Representations (ICLR)</w:t>
      </w:r>
      <w:r>
        <w:t>, 2024. arXiv:2307.16789.</w:t>
      </w:r>
    </w:p>
    <w:p>
      <w:pPr>
        <w:keepLines/>
        <w:spacing w:after="120"/>
        <w:ind w:left="567" w:hanging="567"/>
        <w:jc w:val="both"/>
      </w:pPr>
      <w:r>
        <w:t>[10] E. Lumer, "Toolshed: Scale tool-equipped agents with advanced RAG-tool fusion and tool knowledge bases," arXiv:2410.14594, 2024.</w:t>
      </w:r>
    </w:p>
    <w:p>
      <w:pPr>
        <w:keepLines/>
        <w:spacing w:after="120"/>
        <w:ind w:left="567" w:hanging="567"/>
        <w:jc w:val="both"/>
      </w:pPr>
      <w:r>
        <w:t>[11] N. Gaurav, A. Akarsh, A. Ranjan, dan M. Bajaj, "Dynamic ReAct: Scalable tool selection for large-scale MCP environments," arXiv:2509.20386, 2025.</w:t>
      </w:r>
    </w:p>
    <w:p>
      <w:pPr>
        <w:keepLines/>
        <w:spacing w:after="120"/>
        <w:ind w:left="567" w:hanging="567"/>
        <w:jc w:val="both"/>
      </w:pPr>
      <w:r>
        <w:t xml:space="preserve">[12] J. Jia dan Q. Li, "AutoTool: Efficient tool selection for large language model agents," in </w:t>
      </w:r>
      <w:r>
        <w:rPr>
          <w:i/>
        </w:rPr>
        <w:t>Proc. AAAI Conf. Artif. Intell. (AAAI)</w:t>
      </w:r>
      <w:r>
        <w:t>, 2026. arXiv:2511.14650.</w:t>
      </w:r>
    </w:p>
    <w:p>
      <w:pPr>
        <w:keepLines/>
        <w:spacing w:after="120"/>
        <w:ind w:left="567" w:hanging="567"/>
        <w:jc w:val="both"/>
      </w:pPr>
      <w:r>
        <w:t xml:space="preserve">[13] W. Wang et al., "MCP-Flow: Facilitating LLM agents to master real-world, diverse and scaling MCP tools," in </w:t>
      </w:r>
      <w:r>
        <w:rPr>
          <w:i/>
        </w:rPr>
        <w:t>Proc. Assoc. Comput. Linguistics (ACL)</w:t>
      </w:r>
      <w:r>
        <w:t>, 2026. arXiv:2510.24284.</w:t>
      </w:r>
    </w:p>
    <w:p>
      <w:pPr>
        <w:keepLines/>
        <w:spacing w:after="120"/>
        <w:ind w:left="567" w:hanging="567"/>
        <w:jc w:val="both"/>
      </w:pPr>
      <w:r>
        <w:t xml:space="preserve">[14] P. CN, "Build scalable AI agent systems using Amazon Bedrock agent registry," </w:t>
      </w:r>
      <w:r>
        <w:rPr>
          <w:i/>
        </w:rPr>
        <w:t>AWS Machine Learning Blog</w:t>
      </w:r>
      <w:r>
        <w:t>, Apr. 2026.</w:t>
      </w:r>
    </w:p>
    <w:p>
      <w:pPr>
        <w:keepLines/>
        <w:spacing w:after="120"/>
        <w:ind w:left="567" w:hanging="567"/>
        <w:jc w:val="both"/>
      </w:pPr>
      <w:r>
        <w:t xml:space="preserve">[15] A.R. Hevner, S.T. March, J. Park, dan S. Ram, "Design science in information systems research," </w:t>
      </w:r>
      <w:r>
        <w:rPr>
          <w:i/>
        </w:rPr>
        <w:t>MIS Quarterly</w:t>
      </w:r>
      <w:r>
        <w:t>, vol. 28, no. 1, pp. 75–105, Mar. 2004.</w:t>
      </w:r>
    </w:p>
    <w:p>
      <w:r>
        <w:br w:type="page"/>
      </w:r>
    </w:p>
    <w:p>
      <w:pPr>
        <w:pStyle w:val="Heading1"/>
      </w:pPr>
      <w:r>
        <w:t>BAB II LANDASAN TEORI</w:t>
      </w:r>
    </w:p>
    <w:p>
      <w:pPr>
        <w:ind w:firstLine="720"/>
        <w:jc w:val="both"/>
      </w:pPr>
      <w:r>
        <w:t xml:space="preserve">Bab ini menguraikan landasan teori dan tinjauan pustaka yang menjadi dasar penelitian. Pembahasan dimulai dari konsep dasar pemanggilan fungsi oleh </w:t>
      </w:r>
      <w:r>
        <w:rPr>
          <w:i/>
        </w:rPr>
        <w:t>Large Language Model</w:t>
      </w:r>
      <w:r>
        <w:t xml:space="preserve"> (LLM), fenomena degradasi performa akibat konteks panjang, pendekatan </w:t>
      </w:r>
      <w:r>
        <w:rPr>
          <w:i/>
        </w:rPr>
        <w:t>Tool RAG</w:t>
      </w:r>
      <w:r>
        <w:t xml:space="preserve"> dan </w:t>
      </w:r>
      <w:r>
        <w:rPr>
          <w:i/>
        </w:rPr>
        <w:t>Tool Registry</w:t>
      </w:r>
      <w:r>
        <w:t xml:space="preserve"> sebagai solusi, posisi penelitian terhadap antarmuka </w:t>
      </w:r>
      <w:r>
        <w:rPr>
          <w:i/>
        </w:rPr>
        <w:t>native</w:t>
      </w:r>
      <w:r>
        <w:t xml:space="preserve"> kerangka Pydantic AI, serta kerangka metodologis </w:t>
      </w:r>
      <w:r>
        <w:rPr>
          <w:i/>
        </w:rPr>
        <w:t>Design Science Research</w:t>
      </w:r>
      <w:r>
        <w:t>. Bab ditutup dengan tabel perbandingan penelitian terdahulu untuk menegaskan kebaruan penelitian ini.</w:t>
      </w:r>
    </w:p>
    <w:p>
      <w:pPr>
        <w:pStyle w:val="Heading2"/>
      </w:pPr>
      <w:r>
        <w:t>2.1 LLM dan Pemanggilan Fungsi (Tool-Calling)</w:t>
      </w:r>
    </w:p>
    <w:p>
      <w:pPr>
        <w:ind w:firstLine="720"/>
        <w:jc w:val="both"/>
      </w:pPr>
      <w:r>
        <w:t xml:space="preserve">Kemampuan LLM untuk memanggil fungsi eksternal merupakan fondasi dari sistem AI Agent modern. Schick et al. (2023) melalui Toolformer [1] membuktikan bahwa LLM dapat belajar memutuskan </w:t>
      </w:r>
      <w:r>
        <w:rPr>
          <w:i/>
        </w:rPr>
        <w:t>tool</w:t>
      </w:r>
      <w:r>
        <w:t xml:space="preserve"> mana yang dipanggil, kapan memanggilnya, argumen apa yang diberikan, serta bagaimana mengintegrasikan hasilnya ke dalam prediksi token berikutnya — seluruhnya secara </w:t>
      </w:r>
      <w:r>
        <w:rPr>
          <w:i/>
        </w:rPr>
        <w:t>self-supervised</w:t>
      </w:r>
      <w:r>
        <w:t xml:space="preserve"> tanpa anotasi manusia dalam skala besar. Temuan ini mengatasi keterbatasan fundamental LLM dalam aritmetika dan pencarian fakta, sekaligus membuktikan bahwa kapabilitas </w:t>
      </w:r>
      <w:r>
        <w:rPr>
          <w:i/>
        </w:rPr>
        <w:t>tool use</w:t>
      </w:r>
      <w:r>
        <w:t xml:space="preserve"> dapat ditanamkan ke dalam LLM dengan </w:t>
      </w:r>
      <w:r>
        <w:rPr>
          <w:i/>
        </w:rPr>
        <w:t>overhead</w:t>
      </w:r>
      <w:r>
        <w:t xml:space="preserve"> pelatihan yang minimal.</w:t>
      </w:r>
    </w:p>
    <w:p>
      <w:pPr>
        <w:ind w:firstLine="720"/>
        <w:jc w:val="both"/>
      </w:pPr>
      <w:r>
        <w:t>Kemampuan tersebut dioperasionalkan ke dalam sebuah arsitektur agen melalui kerangka ReAct yang diperkenalkan oleh Yao et al. (2023) [2]. ReAct menggabungkan penalaran berantai (</w:t>
      </w:r>
      <w:r>
        <w:rPr>
          <w:i/>
        </w:rPr>
        <w:t>chain-of-thought reasoning</w:t>
      </w:r>
      <w:r>
        <w:t xml:space="preserve">) dengan aksi pemanggilan </w:t>
      </w:r>
      <w:r>
        <w:rPr>
          <w:i/>
        </w:rPr>
        <w:t>tool</w:t>
      </w:r>
      <w:r>
        <w:t xml:space="preserve"> secara berselang-seling melalui siklus Thought→Action→Observation. Model menyusun rencana (</w:t>
      </w:r>
      <w:r>
        <w:rPr>
          <w:i/>
        </w:rPr>
        <w:t>Thought</w:t>
      </w:r>
      <w:r>
        <w:t xml:space="preserve">), memanggil sebuah </w:t>
      </w:r>
      <w:r>
        <w:rPr>
          <w:i/>
        </w:rPr>
        <w:t>tool</w:t>
      </w:r>
      <w:r>
        <w:t xml:space="preserve"> (</w:t>
      </w:r>
      <w:r>
        <w:rPr>
          <w:i/>
        </w:rPr>
        <w:t>Action</w:t>
      </w:r>
      <w:r>
        <w:t>), mengamati hasilnya (</w:t>
      </w:r>
      <w:r>
        <w:rPr>
          <w:i/>
        </w:rPr>
        <w:t>Observation</w:t>
      </w:r>
      <w:r>
        <w:t xml:space="preserve">), lalu memperbarui rencana pada iterasi berikutnya. Pada </w:t>
      </w:r>
      <w:r>
        <w:rPr>
          <w:i/>
        </w:rPr>
        <w:t>benchmark</w:t>
      </w:r>
      <w:r>
        <w:t xml:space="preserve"> ALFWorld dan WebShop, ReAct mengungguli pendekatan </w:t>
      </w:r>
      <w:r>
        <w:rPr>
          <w:i/>
        </w:rPr>
        <w:t>imitation learning</w:t>
      </w:r>
      <w:r>
        <w:t xml:space="preserve"> dan </w:t>
      </w:r>
      <w:r>
        <w:rPr>
          <w:i/>
        </w:rPr>
        <w:t>reinforcement learning</w:t>
      </w:r>
      <w:r>
        <w:t xml:space="preserve"> dengan margin absolut masing-masing 34% dan 10%. Kerangka ini menjadi rujukan standar bagi arsitektur AI Agent modern, termasuk agen yang dibangun pada platform zerlo.id.</w:t>
      </w:r>
    </w:p>
    <w:p>
      <w:pPr>
        <w:ind w:firstLine="720"/>
        <w:jc w:val="both"/>
      </w:pPr>
      <w:r>
        <w:t xml:space="preserve">Secara industri, kemampuan </w:t>
      </w:r>
      <w:r>
        <w:rPr>
          <w:i/>
        </w:rPr>
        <w:t>tool-calling</w:t>
      </w:r>
      <w:r>
        <w:t xml:space="preserve"> dijadikan fitur siap produksi pertama kali oleh OpenAI pada Juni 2023 [3]. Pengumuman tersebut memungkinkan pengembang mendefinisikan fungsi dan memperoleh keluaran JSON terstruktur berisi argumen pemanggilan fungsi dari model yang telah di-</w:t>
      </w:r>
      <w:r>
        <w:rPr>
          <w:i/>
        </w:rPr>
        <w:t>fine-tune</w:t>
      </w:r>
      <w:r>
        <w:t xml:space="preserve"> untuk mendeteksi kapan sebuah fungsi perlu dipanggil. Standar </w:t>
      </w:r>
      <w:r>
        <w:rPr>
          <w:i/>
        </w:rPr>
        <w:t>de facto</w:t>
      </w:r>
      <w:r>
        <w:t xml:space="preserve"> ini kemudian diadopsi oleh Anthropic dan Google. Google DeepMind menyediakan mekanisme </w:t>
      </w:r>
      <w:r>
        <w:rPr>
          <w:i/>
        </w:rPr>
        <w:t>native function calling</w:t>
      </w:r>
      <w:r>
        <w:t xml:space="preserve"> pada Gemini melalui </w:t>
      </w:r>
      <w:r>
        <w:rPr>
          <w:i/>
        </w:rPr>
        <w:t>FunctionDeclaration</w:t>
      </w:r>
      <w:r>
        <w:t xml:space="preserve"> [4], di mana skema </w:t>
      </w:r>
      <w:r>
        <w:rPr>
          <w:i/>
        </w:rPr>
        <w:t>tool</w:t>
      </w:r>
      <w:r>
        <w:t xml:space="preserve"> didefinisikan sebagai JSON Schema yang diteruskan ke model sebelum inferensi, dan model memutuskan </w:t>
      </w:r>
      <w:r>
        <w:rPr>
          <w:i/>
        </w:rPr>
        <w:t>tool</w:t>
      </w:r>
      <w:r>
        <w:t xml:space="preserve"> yang dipanggil berdasarkan konteks percakapan. Penelitian ini menggunakan mekanisme </w:t>
      </w:r>
      <w:r>
        <w:rPr>
          <w:i/>
        </w:rPr>
        <w:t>native function calling</w:t>
      </w:r>
      <w:r>
        <w:t xml:space="preserve"> Gemini 2.5 Flash Lite sebagai </w:t>
      </w:r>
      <w:r>
        <w:rPr>
          <w:i/>
        </w:rPr>
        <w:t>backend</w:t>
      </w:r>
      <w:r>
        <w:t xml:space="preserve"> pengukuran, sehingga pemahaman atas cara </w:t>
      </w:r>
      <w:r>
        <w:rPr>
          <w:i/>
        </w:rPr>
        <w:t>tool</w:t>
      </w:r>
      <w:r>
        <w:t xml:space="preserve"> didefinisikan dan dipilih oleh model menjadi fondasi teknis langsung bagi evaluasi Tool Registry.</w:t>
      </w:r>
    </w:p>
    <w:p>
      <w:pPr>
        <w:pStyle w:val="Heading2"/>
      </w:pPr>
      <w:r>
        <w:t>2.2 Rekayasa Konteks dan Context Rot</w:t>
      </w:r>
    </w:p>
    <w:p>
      <w:pPr>
        <w:ind w:firstLine="720"/>
        <w:jc w:val="both"/>
      </w:pPr>
      <w:r>
        <w:t xml:space="preserve">Penyertaan seluruh definisi </w:t>
      </w:r>
      <w:r>
        <w:rPr>
          <w:i/>
        </w:rPr>
        <w:t>tool</w:t>
      </w:r>
      <w:r>
        <w:t xml:space="preserve"> ke dalam jendela konteks (</w:t>
      </w:r>
      <w:r>
        <w:rPr>
          <w:i/>
        </w:rPr>
        <w:t>context window</w:t>
      </w:r>
      <w:r>
        <w:t xml:space="preserve">) LLM menimbulkan konsekuensi yang telah dibuktikan secara empiris. Liu et al. (2024) dalam penelitian "Lost in the Middle" [5] menemukan bahwa performa LLM optimal ketika informasi relevan berada di awal atau akhir konteks, namun menurun signifikan ketika informasi tersebut berada di bagian tengah konteks panjang. Efek ini muncul bahkan pada model yang secara eksplisit dirancang untuk konteks panjang. Implikasinya langsung bagi penelitian ini: pemberian 300 definisi </w:t>
      </w:r>
      <w:r>
        <w:rPr>
          <w:i/>
        </w:rPr>
        <w:t>tool</w:t>
      </w:r>
      <w:r>
        <w:t xml:space="preserve"> sekaligus kepada LLM — sebagaimana terjadi pada skenario S3 </w:t>
      </w:r>
      <w:r>
        <w:rPr>
          <w:i/>
        </w:rPr>
        <w:t>baseline</w:t>
      </w:r>
      <w:r>
        <w:t xml:space="preserve"> yang mengonsumsi 23.893 token — secara inheren menurunkan akurasi pemilihan </w:t>
      </w:r>
      <w:r>
        <w:rPr>
          <w:i/>
        </w:rPr>
        <w:t>tool</w:t>
      </w:r>
      <w:r>
        <w:t xml:space="preserve"> karena sebagian definisi pasti berada di posisi tengah yang rawan diabaikan.</w:t>
      </w:r>
    </w:p>
    <w:p>
      <w:pPr>
        <w:ind w:firstLine="720"/>
        <w:jc w:val="both"/>
      </w:pPr>
      <w:r>
        <w:t xml:space="preserve">Fenomena degradasi ini dikenal sebagai </w:t>
      </w:r>
      <w:r>
        <w:rPr>
          <w:i/>
        </w:rPr>
        <w:t>context rot</w:t>
      </w:r>
      <w:r>
        <w:t xml:space="preserve">. Lee (2025) [6] mendokumentasikan bahwa akurasi Claude 3.5 Sonnet menurun dari 88% menjadi 30% pada penalaran </w:t>
      </w:r>
      <w:r>
        <w:rPr>
          <w:i/>
        </w:rPr>
        <w:t>two-hop</w:t>
      </w:r>
      <w:r>
        <w:t xml:space="preserve"> ketika konteks diperpanjang hingga 32.000 token, dan menjelaskan akar arsitekturalnya: mekanisme </w:t>
      </w:r>
      <w:r>
        <w:rPr>
          <w:i/>
        </w:rPr>
        <w:t>attention</w:t>
      </w:r>
      <w:r>
        <w:t xml:space="preserve"> memiliki sifat penskalaan kuadratik (O(n²)) sehingga setiap token tambahan meningkatkan beban komputasi dan menurunkan kemampuan model merecall informasi secara akurat. Penelitian lanjutan [7] memperkuat temuan ini dengan memisahkan efek panjang konteks dari kualitas </w:t>
      </w:r>
      <w:r>
        <w:rPr>
          <w:i/>
        </w:rPr>
        <w:t>retrieval</w:t>
      </w:r>
      <w:r>
        <w:t xml:space="preserve"> — dengan mengendalikan </w:t>
      </w:r>
      <w:r>
        <w:rPr>
          <w:i/>
        </w:rPr>
        <w:t>perfect retrieval</w:t>
      </w:r>
      <w:r>
        <w:t xml:space="preserve"> (informasi relevan selalu tersedia) dan hanya memvariasikan panjang konteks total, degradasi performa tetap terjadi semata-mata karena konteks lebih panjang. Temuan ini membantah anggapan bahwa jendela konteks yang besar sudah memadai.</w:t>
      </w:r>
    </w:p>
    <w:p>
      <w:pPr>
        <w:ind w:firstLine="720"/>
        <w:jc w:val="both"/>
      </w:pPr>
      <w:r>
        <w:t xml:space="preserve">Sebagai respons, Rajasekaran et al. (2025) dari Anthropic [8] mendefinisikan </w:t>
      </w:r>
      <w:r>
        <w:rPr>
          <w:i/>
        </w:rPr>
        <w:t>context engineering</w:t>
      </w:r>
      <w:r>
        <w:t xml:space="preserve"> sebagai strategi mengkurasi dan mempertahankan himpunan token optimal selama inferensi LLM. Tiga prinsip yang dikemukakan relevan langsung bagi penelitian ini: (1) kemampuan model merecall informasi menurun seiring bertambahnya jumlah token (</w:t>
      </w:r>
      <w:r>
        <w:rPr>
          <w:i/>
        </w:rPr>
        <w:t>context rot</w:t>
      </w:r>
      <w:r>
        <w:t xml:space="preserve">); (2) himpunan </w:t>
      </w:r>
      <w:r>
        <w:rPr>
          <w:i/>
        </w:rPr>
        <w:t>tool</w:t>
      </w:r>
      <w:r>
        <w:t xml:space="preserve"> yang membengkak (</w:t>
      </w:r>
      <w:r>
        <w:rPr>
          <w:i/>
        </w:rPr>
        <w:t>bloated tool sets</w:t>
      </w:r>
      <w:r>
        <w:t>) menyebabkan titik keputusan ambigu dan kegagalan agen; serta (3) tujuan optimal adalah menemukan himpunan token bersinyal-tinggi sekecil mungkin (</w:t>
      </w:r>
      <w:r>
        <w:rPr>
          <w:i/>
        </w:rPr>
        <w:t>smallest possible set of high-signal tokens</w:t>
      </w:r>
      <w:r>
        <w:t>). Tool Registry yang dievaluasi pada penelitian ini merupakan implementasi langsung dari prinsip ketiga tersebut.</w:t>
      </w:r>
    </w:p>
    <w:p>
      <w:pPr>
        <w:pStyle w:val="Heading2"/>
      </w:pPr>
      <w:r>
        <w:t>2.3 Tool RAG — Retrieval Tool Berbasis Vektor</w:t>
      </w:r>
    </w:p>
    <w:p>
      <w:pPr>
        <w:ind w:firstLine="720"/>
        <w:jc w:val="both"/>
      </w:pPr>
      <w:r>
        <w:t xml:space="preserve">Pendekatan dominan untuk mengatasi </w:t>
      </w:r>
      <w:r>
        <w:rPr>
          <w:i/>
        </w:rPr>
        <w:t>tool overload</w:t>
      </w:r>
      <w:r>
        <w:t xml:space="preserve"> di komunitas riset adalah </w:t>
      </w:r>
      <w:r>
        <w:rPr>
          <w:i/>
        </w:rPr>
        <w:t>Tool RAG</w:t>
      </w:r>
      <w:r>
        <w:t xml:space="preserve"> (</w:t>
      </w:r>
      <w:r>
        <w:rPr>
          <w:i/>
        </w:rPr>
        <w:t>Retrieval-Augmented Generation</w:t>
      </w:r>
      <w:r>
        <w:t xml:space="preserve"> untuk </w:t>
      </w:r>
      <w:r>
        <w:rPr>
          <w:i/>
        </w:rPr>
        <w:t>tools</w:t>
      </w:r>
      <w:r>
        <w:t xml:space="preserve">): alih-alih menyertakan seluruh katalog, sistem mengambil hanya </w:t>
      </w:r>
      <w:r>
        <w:rPr>
          <w:i/>
        </w:rPr>
        <w:t>tool</w:t>
      </w:r>
      <w:r>
        <w:t xml:space="preserve"> yang paling relevan secara semantik sebelum memanggil LLM. Patil et al. (2023) melalui Gorilla [9] menjadi rujukan fondasional pendekatan ini dengan membuktikan bahwa GPT-4 sering berhalusinasi nama dan argumen API ketika diberikan katalog besar. Dengan menggabungkan </w:t>
      </w:r>
      <w:r>
        <w:rPr>
          <w:i/>
        </w:rPr>
        <w:t>document retriever</w:t>
      </w:r>
      <w:r>
        <w:t>, Gorilla — model berbasis LLaMA yang di-</w:t>
      </w:r>
      <w:r>
        <w:rPr>
          <w:i/>
        </w:rPr>
        <w:t>fine-tune</w:t>
      </w:r>
      <w:r>
        <w:t xml:space="preserve"> atas lebih dari 11.000 pasangan instruksi-API — mampu beradaptasi terhadap perubahan dokumentasi API secara </w:t>
      </w:r>
      <w:r>
        <w:rPr>
          <w:i/>
        </w:rPr>
        <w:t>real-time</w:t>
      </w:r>
      <w:r>
        <w:t xml:space="preserve">. Proyek ini juga melahirkan </w:t>
      </w:r>
      <w:r>
        <w:rPr>
          <w:i/>
        </w:rPr>
        <w:t>Berkeley Function Calling Leaderboard</w:t>
      </w:r>
      <w:r>
        <w:t xml:space="preserve"> (BFCL) yang menjadi standar evaluasi </w:t>
      </w:r>
      <w:r>
        <w:rPr>
          <w:i/>
        </w:rPr>
        <w:t>tool-calling</w:t>
      </w:r>
      <w:r>
        <w:t>.</w:t>
      </w:r>
    </w:p>
    <w:p>
      <w:pPr>
        <w:ind w:firstLine="720"/>
        <w:jc w:val="both"/>
      </w:pPr>
      <w:r>
        <w:t xml:space="preserve">Pada skala yang lebih besar, Qin et al. (2023) melalui ToolLLM [10] menunjukkan bahwa LLM sumber terbuka dapat di-augmentasi dengan </w:t>
      </w:r>
      <w:r>
        <w:rPr>
          <w:i/>
        </w:rPr>
        <w:t>neural API retriever</w:t>
      </w:r>
      <w:r>
        <w:t xml:space="preserve"> untuk menangani lebih dari 16.000 API nyata — skala yang jauh melampaui kapasitas pemuatan jendela konteks sekaligus. Penelitian tersebut membuktikan bahwa tanpa </w:t>
      </w:r>
      <w:r>
        <w:rPr>
          <w:i/>
        </w:rPr>
        <w:t>retriever</w:t>
      </w:r>
      <w:r>
        <w:t xml:space="preserve">, performa pemilihan </w:t>
      </w:r>
      <w:r>
        <w:rPr>
          <w:i/>
        </w:rPr>
        <w:t>tool</w:t>
      </w:r>
      <w:r>
        <w:t xml:space="preserve"> menurun drastis pada skala ribuan </w:t>
      </w:r>
      <w:r>
        <w:rPr>
          <w:i/>
        </w:rPr>
        <w:t>tool</w:t>
      </w:r>
      <w:r>
        <w:t xml:space="preserve">. Lumer (2024) melalui Toolshed [11] memperkenalkan konsep </w:t>
      </w:r>
      <w:r>
        <w:rPr>
          <w:i/>
        </w:rPr>
        <w:t>Tool Knowledge Base</w:t>
      </w:r>
      <w:r>
        <w:t xml:space="preserve"> (basis data vektor khusus </w:t>
      </w:r>
      <w:r>
        <w:rPr>
          <w:i/>
        </w:rPr>
        <w:t>tool</w:t>
      </w:r>
      <w:r>
        <w:t xml:space="preserve">) dan </w:t>
      </w:r>
      <w:r>
        <w:rPr>
          <w:i/>
        </w:rPr>
        <w:t>Advanced RAG-Tool Fusion</w:t>
      </w:r>
      <w:r>
        <w:t xml:space="preserve"> berupa tiga fase </w:t>
      </w:r>
      <w:r>
        <w:rPr>
          <w:i/>
        </w:rPr>
        <w:t>retrieval</w:t>
      </w:r>
      <w:r>
        <w:t xml:space="preserve"> tanpa </w:t>
      </w:r>
      <w:r>
        <w:rPr>
          <w:i/>
        </w:rPr>
        <w:t>fine-tuning</w:t>
      </w:r>
      <w:r>
        <w:t xml:space="preserve">, yang mencapai peningkatan Recall@5 sebesar 46–56% dibandingkan </w:t>
      </w:r>
      <w:r>
        <w:rPr>
          <w:i/>
        </w:rPr>
        <w:t>baseline</w:t>
      </w:r>
      <w:r>
        <w:t>. Arsitektur Toolshed paling dekat analoginya dengan lapisan penyaringan yang diteliti pada thesis ini.</w:t>
      </w:r>
    </w:p>
    <w:p>
      <w:pPr>
        <w:ind w:firstLine="720"/>
        <w:jc w:val="both"/>
      </w:pPr>
      <w:r>
        <w:t xml:space="preserve">Penelitian lanjutan mengidentifikasi keterbatasan </w:t>
      </w:r>
      <w:r>
        <w:rPr>
          <w:i/>
        </w:rPr>
        <w:t>retrieval</w:t>
      </w:r>
      <w:r>
        <w:t xml:space="preserve"> berbasis kesamaan semantik murni. COLT [12] menunjukkan bahwa pendekatan </w:t>
      </w:r>
      <w:r>
        <w:rPr>
          <w:i/>
        </w:rPr>
        <w:t>similarity</w:t>
      </w:r>
      <w:r>
        <w:t xml:space="preserve"> cenderung mengambil </w:t>
      </w:r>
      <w:r>
        <w:rPr>
          <w:i/>
        </w:rPr>
        <w:t>tool</w:t>
      </w:r>
      <w:r>
        <w:t xml:space="preserve"> yang redundan alih-alih komplementer, dan mengusulkan </w:t>
      </w:r>
      <w:r>
        <w:rPr>
          <w:i/>
        </w:rPr>
        <w:t>dual-view graph collaborative learning</w:t>
      </w:r>
      <w:r>
        <w:t xml:space="preserve"> untuk menangkap relasi kolaboratif antar-</w:t>
      </w:r>
      <w:r>
        <w:rPr>
          <w:i/>
        </w:rPr>
        <w:t>tool</w:t>
      </w:r>
      <w:r>
        <w:t xml:space="preserve">; hasilnya, BERT-mini (11M parameter) mengungguli BERT-large (340M parameter) pada </w:t>
      </w:r>
      <w:r>
        <w:rPr>
          <w:i/>
        </w:rPr>
        <w:t>benchmark</w:t>
      </w:r>
      <w:r>
        <w:t xml:space="preserve"> ToolLens. Temuan ini menegaskan bahwa kualitas </w:t>
      </w:r>
      <w:r>
        <w:rPr>
          <w:i/>
        </w:rPr>
        <w:t>retrieval</w:t>
      </w:r>
      <w:r>
        <w:t xml:space="preserve"> lebih ditentukan oleh strategi daripada ukuran model. Adapun BFCL [13] dalam perkembangannya menjadi </w:t>
      </w:r>
      <w:r>
        <w:rPr>
          <w:i/>
        </w:rPr>
        <w:t>benchmark</w:t>
      </w:r>
      <w:r>
        <w:t xml:space="preserve"> holistik yang mengevaluasi </w:t>
      </w:r>
      <w:r>
        <w:rPr>
          <w:i/>
        </w:rPr>
        <w:t>tool-calling</w:t>
      </w:r>
      <w:r>
        <w:t xml:space="preserve"> melalui </w:t>
      </w:r>
      <w:r>
        <w:rPr>
          <w:i/>
        </w:rPr>
        <w:t>single-turn calls</w:t>
      </w:r>
      <w:r>
        <w:t xml:space="preserve">, deteksi halusinasi, sensitivitas format, dan interaksi </w:t>
      </w:r>
      <w:r>
        <w:rPr>
          <w:i/>
        </w:rPr>
        <w:t>multi-turn</w:t>
      </w:r>
      <w:r>
        <w:t xml:space="preserve">; metodologi penilaian akurasi pada penelitian ini — yakni menilai apakah LLM memilih </w:t>
      </w:r>
      <w:r>
        <w:rPr>
          <w:i/>
        </w:rPr>
        <w:t>tool</w:t>
      </w:r>
      <w:r>
        <w:t xml:space="preserve"> yang tepat — mengikuti semangat evaluasi BFCL. Meskipun demikian, pendekatan berbasis </w:t>
      </w:r>
      <w:r>
        <w:rPr>
          <w:i/>
        </w:rPr>
        <w:t>embedding</w:t>
      </w:r>
      <w:r>
        <w:t xml:space="preserve"> membawa kompleksitas infrastruktur tersendiri (model </w:t>
      </w:r>
      <w:r>
        <w:rPr>
          <w:i/>
        </w:rPr>
        <w:t>embedding</w:t>
      </w:r>
      <w:r>
        <w:t xml:space="preserve">, basis data vektor, </w:t>
      </w:r>
      <w:r>
        <w:rPr>
          <w:i/>
        </w:rPr>
        <w:t>pipeline</w:t>
      </w:r>
      <w:r>
        <w:t xml:space="preserve"> sinkronisasi) yang tidak selalu tersedia pada sistem ERP berukuran menengah, sehingga </w:t>
      </w:r>
      <w:r>
        <w:rPr>
          <w:i/>
        </w:rPr>
        <w:t>Tool RAG</w:t>
      </w:r>
      <w:r>
        <w:t xml:space="preserve"> diposisikan sebagai </w:t>
      </w:r>
      <w:r>
        <w:rPr>
          <w:i/>
        </w:rPr>
        <w:t>future work</w:t>
      </w:r>
      <w:r>
        <w:t xml:space="preserve"> dalam penelitian ini.</w:t>
      </w:r>
    </w:p>
    <w:p>
      <w:pPr>
        <w:pStyle w:val="Heading2"/>
      </w:pPr>
      <w:r>
        <w:t>2.4 Tool Registry dan Manajemen Tool</w:t>
      </w:r>
    </w:p>
    <w:p>
      <w:pPr>
        <w:ind w:firstLine="720"/>
        <w:jc w:val="both"/>
      </w:pPr>
      <w:r>
        <w:t xml:space="preserve">Sebagai alternatif yang lebih deterministik dan ringan dibanding </w:t>
      </w:r>
      <w:r>
        <w:rPr>
          <w:i/>
        </w:rPr>
        <w:t>Tool RAG</w:t>
      </w:r>
      <w:r>
        <w:t xml:space="preserve">, konsep </w:t>
      </w:r>
      <w:r>
        <w:rPr>
          <w:i/>
        </w:rPr>
        <w:t>Tool Registry</w:t>
      </w:r>
      <w:r>
        <w:t xml:space="preserve"> menerapkan penyaringan berbasis metadata terstruktur tanpa ketergantungan pada </w:t>
      </w:r>
      <w:r>
        <w:rPr>
          <w:i/>
        </w:rPr>
        <w:t>embedding</w:t>
      </w:r>
      <w:r>
        <w:t xml:space="preserve">. Gaurav et al. (2025) melalui Dynamic ReAct [14] mengatasi persoalan yang serupa dengan penelitian ini — keterbatasan konteks LLM yang tidak mampu menampung ratusan hingga ribuan </w:t>
      </w:r>
      <w:r>
        <w:rPr>
          <w:i/>
        </w:rPr>
        <w:t>tool</w:t>
      </w:r>
      <w:r>
        <w:t xml:space="preserve"> MCP — dan membuktikan bahwa pemuatan </w:t>
      </w:r>
      <w:r>
        <w:rPr>
          <w:i/>
        </w:rPr>
        <w:t>tool</w:t>
      </w:r>
      <w:r>
        <w:t xml:space="preserve"> secara dinamis mengurangi beban pemuatan hingga 50% sambil mempertahankan akurasi penyelesaian tugas. Hasil ini sejajar langsung dengan temuan penelitian ini, yakni pengurangan </w:t>
      </w:r>
      <w:r>
        <w:rPr>
          <w:i/>
        </w:rPr>
        <w:t>visible tools</w:t>
      </w:r>
      <w:r>
        <w:t xml:space="preserve"> dari 300 menjadi 15 (−95%) tanpa degradasi akurasi.</w:t>
      </w:r>
    </w:p>
    <w:p>
      <w:pPr>
        <w:ind w:firstLine="720"/>
        <w:jc w:val="both"/>
      </w:pPr>
      <w:r>
        <w:t xml:space="preserve">Justifikasi teoritis tambahan diberikan oleh Jia dan Li (2025) melalui AutoTool [15] yang memperkenalkan konsep </w:t>
      </w:r>
      <w:r>
        <w:rPr>
          <w:i/>
        </w:rPr>
        <w:t>tool usage inertia</w:t>
      </w:r>
      <w:r>
        <w:t xml:space="preserve"> — kecenderungan pemanggilan </w:t>
      </w:r>
      <w:r>
        <w:rPr>
          <w:i/>
        </w:rPr>
        <w:t>tool</w:t>
      </w:r>
      <w:r>
        <w:t xml:space="preserve"> mengikuti pola sekuensial yang dapat diprediksi. Dengan memodelkan pola tersebut sebagai </w:t>
      </w:r>
      <w:r>
        <w:rPr>
          <w:i/>
        </w:rPr>
        <w:t>directed graph</w:t>
      </w:r>
      <w:r>
        <w:t xml:space="preserve"> dari trajektori historis agen, AutoTool mengurangi biaya inferensi hingga 30% sambil mempertahankan tingkat penyelesaian tugas. Apabila pemanggilan </w:t>
      </w:r>
      <w:r>
        <w:rPr>
          <w:i/>
        </w:rPr>
        <w:t>tool</w:t>
      </w:r>
      <w:r>
        <w:t xml:space="preserve"> memang berpola, maka penyaringan berbasis modul, peran, dan tingkat langganan sebagaimana diterapkan zerlo.id telah menangkap sebagian besar inersia tersebut secara deterministik. Pada arah evolusi sistem, ScaleMCP [16] mengusulkan </w:t>
      </w:r>
      <w:r>
        <w:rPr>
          <w:i/>
        </w:rPr>
        <w:t>registry</w:t>
      </w:r>
      <w:r>
        <w:t xml:space="preserve"> yang melakukan auto-sinkronisasi melalui operasi CRUD agar katalog </w:t>
      </w:r>
      <w:r>
        <w:rPr>
          <w:i/>
        </w:rPr>
        <w:t>tool</w:t>
      </w:r>
      <w:r>
        <w:t xml:space="preserve"> selalu mutakhir, sebuah visi jangka panjang yang relevan bagi pengembangan lanjutan zerlo.id.</w:t>
      </w:r>
    </w:p>
    <w:p>
      <w:pPr>
        <w:ind w:firstLine="720"/>
        <w:jc w:val="both"/>
      </w:pPr>
      <w:r>
        <w:t xml:space="preserve">Skala persoalan ini divalidasi pada tingkat industri oleh Wang et al. (2025) melalui MCP-Flow [17], yang mendokumentasikan 11.536 </w:t>
      </w:r>
      <w:r>
        <w:rPr>
          <w:i/>
        </w:rPr>
        <w:t>tool</w:t>
      </w:r>
      <w:r>
        <w:t xml:space="preserve"> pada 1.166 server MCP — membuktikan bahwa penskalaan katalog </w:t>
      </w:r>
      <w:r>
        <w:rPr>
          <w:i/>
        </w:rPr>
        <w:t>tool</w:t>
      </w:r>
      <w:r>
        <w:t xml:space="preserve"> ke ribuan entri merupakan tantangan nyata, bukan skenario hipotetis. Adopsi pola ini juga telah mencapai tingkat </w:t>
      </w:r>
      <w:r>
        <w:rPr>
          <w:i/>
        </w:rPr>
        <w:t>hyperscaler</w:t>
      </w:r>
      <w:r>
        <w:t xml:space="preserve">: AWS Agent Registry [18] menyediakan manajemen metadata, kendali akses berbasis IAM, pelacakan siklus hidup, dan </w:t>
      </w:r>
      <w:r>
        <w:rPr>
          <w:i/>
        </w:rPr>
        <w:t>hybrid search</w:t>
      </w:r>
      <w:r>
        <w:t xml:space="preserve"> (kata kunci + semantik). Pada tataran konseptual, TrueFoundry [19] mendefinisikan enam fungsi inti </w:t>
      </w:r>
      <w:r>
        <w:rPr>
          <w:i/>
        </w:rPr>
        <w:t>agent registry</w:t>
      </w:r>
      <w:r>
        <w:t xml:space="preserve"> — registrasi, penemuan (</w:t>
      </w:r>
      <w:r>
        <w:rPr>
          <w:i/>
        </w:rPr>
        <w:t>discovery</w:t>
      </w:r>
      <w:r>
        <w:t xml:space="preserve">), manajemen metadata, pemantauan kesehatan, kendali akses, dan pencatatan audit — yang memberikan kerangka untuk mengevaluasi kelengkapan implementasi. Kolchinsky dari Red Hat (2025) [20] secara independen sampai pada kesimpulan yang sama dengan penelitian ini, yakni bahwa pemberian seluruh </w:t>
      </w:r>
      <w:r>
        <w:rPr>
          <w:i/>
        </w:rPr>
        <w:t>tool</w:t>
      </w:r>
      <w:r>
        <w:t xml:space="preserve"> sekaligus menurunkan akurasi secara drastis, dan menyatakan bahwa </w:t>
      </w:r>
      <w:r>
        <w:rPr>
          <w:i/>
        </w:rPr>
        <w:t>retrieval tool</w:t>
      </w:r>
      <w:r>
        <w:t xml:space="preserve"> yang cerdas dapat melipattigakan akurasi </w:t>
      </w:r>
      <w:r>
        <w:rPr>
          <w:i/>
        </w:rPr>
        <w:t>invocation</w:t>
      </w:r>
      <w:r>
        <w:t xml:space="preserve"> sambil mempersingkat </w:t>
      </w:r>
      <w:r>
        <w:rPr>
          <w:i/>
        </w:rPr>
        <w:t>prompt</w:t>
      </w:r>
      <w:r>
        <w:t xml:space="preserve"> — selaras dengan temuan penelitian ini berupa peningkatan akurasi 6,3 pp dengan pengurangan </w:t>
      </w:r>
      <w:r>
        <w:rPr>
          <w:i/>
        </w:rPr>
        <w:t>prompt</w:t>
      </w:r>
      <w:r>
        <w:t xml:space="preserve"> 63–95%.</w:t>
      </w:r>
    </w:p>
    <w:p>
      <w:pPr>
        <w:pStyle w:val="Heading2"/>
      </w:pPr>
      <w:r>
        <w:t>2.5 Antarmuka Native Pydantic AI vs Tool Registry zerlo.id</w:t>
      </w:r>
    </w:p>
    <w:p>
      <w:pPr>
        <w:ind w:firstLine="720"/>
        <w:jc w:val="both"/>
      </w:pPr>
      <w:r>
        <w:t xml:space="preserve">Platform zerlo.id membangun AI Agent di atas kerangka Pydantic AI [21], yang menyediakan abstraksi </w:t>
      </w:r>
      <w:r>
        <w:rPr>
          <w:rFonts w:ascii="Courier New" w:hAnsi="Courier New"/>
        </w:rPr>
        <w:t>AbstractToolset</w:t>
      </w:r>
      <w:r>
        <w:t xml:space="preserve"> sebagai kontrak pengelolaan himpunan </w:t>
      </w:r>
      <w:r>
        <w:rPr>
          <w:i/>
        </w:rPr>
        <w:t>tool</w:t>
      </w:r>
      <w:r>
        <w:t xml:space="preserve">. Salah satu implementasi turunannya, </w:t>
      </w:r>
      <w:r>
        <w:rPr>
          <w:rFonts w:ascii="Courier New" w:hAnsi="Courier New"/>
        </w:rPr>
        <w:t>FilteredToolset</w:t>
      </w:r>
      <w:r>
        <w:t xml:space="preserve">, memungkinkan penyaringan </w:t>
      </w:r>
      <w:r>
        <w:rPr>
          <w:i/>
        </w:rPr>
        <w:t>tool</w:t>
      </w:r>
      <w:r>
        <w:t xml:space="preserve"> berdasarkan sebuah predikat tunggal (</w:t>
      </w:r>
      <w:r>
        <w:rPr>
          <w:i/>
        </w:rPr>
        <w:t>single predicate</w:t>
      </w:r>
      <w:r>
        <w:t xml:space="preserve">) — misalnya menyaring </w:t>
      </w:r>
      <w:r>
        <w:rPr>
          <w:i/>
        </w:rPr>
        <w:t>tool</w:t>
      </w:r>
      <w:r>
        <w:t xml:space="preserve"> berdasarkan satu atribut konteks pemanggilan. Antarmuka ini memadai untuk kebutuhan penyaringan sederhana, namun tidak dirancang untuk penyaringan multi-kriteria yang dibutuhkan platform ERP multi-modul.</w:t>
      </w:r>
    </w:p>
    <w:p>
      <w:pPr>
        <w:ind w:firstLine="720"/>
        <w:jc w:val="both"/>
      </w:pPr>
      <w:r>
        <w:t xml:space="preserve">Tool Registry zerlo.id memposisikan diri sebagai lapisan multi-kriteria di atas antarmuka </w:t>
      </w:r>
      <w:r>
        <w:rPr>
          <w:i/>
        </w:rPr>
        <w:t>native</w:t>
      </w:r>
      <w:r>
        <w:t xml:space="preserve"> tersebut. Berbeda dengan </w:t>
      </w:r>
      <w:r>
        <w:rPr>
          <w:rFonts w:ascii="Courier New" w:hAnsi="Courier New"/>
        </w:rPr>
        <w:t>FilteredToolset</w:t>
      </w:r>
      <w:r>
        <w:t xml:space="preserve"> yang mengevaluasi satu predikat, Tool Registry menyaring katalog berdasarkan kombinasi modul, peran (</w:t>
      </w:r>
      <w:r>
        <w:rPr>
          <w:i/>
        </w:rPr>
        <w:t>role</w:t>
      </w:r>
      <w:r>
        <w:t>), tingkat langganan (</w:t>
      </w:r>
      <w:r>
        <w:rPr>
          <w:i/>
        </w:rPr>
        <w:t>subscription tier</w:t>
      </w:r>
      <w:r>
        <w:t>), kata kunci (</w:t>
      </w:r>
      <w:r>
        <w:rPr>
          <w:i/>
        </w:rPr>
        <w:t>keywords</w:t>
      </w:r>
      <w:r>
        <w:t>), dan batas anggaran token (</w:t>
      </w:r>
      <w:r>
        <w:rPr>
          <w:i/>
        </w:rPr>
        <w:t>token budget</w:t>
      </w:r>
      <w:r>
        <w:t xml:space="preserve">) secara simultan, lalu menerapkan </w:t>
      </w:r>
      <w:r>
        <w:rPr>
          <w:i/>
        </w:rPr>
        <w:t>budget cap</w:t>
      </w:r>
      <w:r>
        <w:t xml:space="preserve"> untuk membatasi jumlah </w:t>
      </w:r>
      <w:r>
        <w:rPr>
          <w:i/>
        </w:rPr>
        <w:t>tool</w:t>
      </w:r>
      <w:r>
        <w:t xml:space="preserve"> yang diteruskan ke LLM. Dengan demikian, kontribusi penelitian ini bukan menggantikan abstraksi Pydantic AI, melainkan memperluasnya menjadi </w:t>
      </w:r>
      <w:r>
        <w:rPr>
          <w:i/>
        </w:rPr>
        <w:t>pipeline</w:t>
      </w:r>
      <w:r>
        <w:t xml:space="preserve"> penyaringan deterministik berbasis metadata yang sesuai dengan karakteristik ERP. Kesenjangan antara kemampuan predikat tunggal </w:t>
      </w:r>
      <w:r>
        <w:rPr>
          <w:rFonts w:ascii="Courier New" w:hAnsi="Courier New"/>
        </w:rPr>
        <w:t>FilteredToolset</w:t>
      </w:r>
      <w:r>
        <w:t xml:space="preserve"> dan kebutuhan penyaringan multi-kriteria inilah yang menjadi motivasi utama perancangan artefak pada Bab III.</w:t>
      </w:r>
    </w:p>
    <w:p>
      <w:pPr>
        <w:pStyle w:val="Heading2"/>
      </w:pPr>
      <w:r>
        <w:t>2.6 Design Science Research</w:t>
      </w:r>
    </w:p>
    <w:p>
      <w:pPr>
        <w:ind w:firstLine="720"/>
        <w:jc w:val="both"/>
      </w:pPr>
      <w:r>
        <w:t xml:space="preserve">Penelitian ini menggunakan kerangka </w:t>
      </w:r>
      <w:r>
        <w:rPr>
          <w:i/>
        </w:rPr>
        <w:t>Design Science Research</w:t>
      </w:r>
      <w:r>
        <w:t xml:space="preserve"> (DSR) sebagaimana dikemukakan oleh Hevner et al. (2004) [22]. DSR merupakan paradigma penelitian sistem informasi yang berorientasi pada penciptaan dan evaluasi artefak (</w:t>
      </w:r>
      <w:r>
        <w:rPr>
          <w:i/>
        </w:rPr>
        <w:t>artifact</w:t>
      </w:r>
      <w:r>
        <w:t>) untuk menyelesaikan masalah organisasi yang teridentifikasi. Kerangka ini terdiri dari lima tahap berurutan: identifikasi masalah (</w:t>
      </w:r>
      <w:r>
        <w:rPr>
          <w:i/>
        </w:rPr>
        <w:t>problem identification</w:t>
      </w:r>
      <w:r>
        <w:t>), penetapan tujuan solusi (</w:t>
      </w:r>
      <w:r>
        <w:rPr>
          <w:i/>
        </w:rPr>
        <w:t>objective of solution</w:t>
      </w:r>
      <w:r>
        <w:t>), perancangan dan pengembangan artefak (</w:t>
      </w:r>
      <w:r>
        <w:rPr>
          <w:i/>
        </w:rPr>
        <w:t>design and development</w:t>
      </w:r>
      <w:r>
        <w:t>), demonstrasi (</w:t>
      </w:r>
      <w:r>
        <w:rPr>
          <w:i/>
        </w:rPr>
        <w:t>demonstration</w:t>
      </w:r>
      <w:r>
        <w:t>), dan evaluasi (</w:t>
      </w:r>
      <w:r>
        <w:rPr>
          <w:i/>
        </w:rPr>
        <w:t>evaluation</w:t>
      </w:r>
      <w:r>
        <w:t>), yang ditutup dengan komunikasi hasil (</w:t>
      </w:r>
      <w:r>
        <w:rPr>
          <w:i/>
        </w:rPr>
        <w:t>communication</w:t>
      </w:r>
      <w:r>
        <w:t>). Alur tahapan tersebut beserta titik iterasi perbaikan diilustrasikan pada Gambar 2.1.</w:t>
      </w:r>
    </w:p>
    <w:p>
      <w:pPr>
        <w:keepNext/>
        <w:spacing w:before="120"/>
        <w:jc w:val="center"/>
      </w:pPr>
      <w:r>
        <w:drawing>
          <wp:inline xmlns:a="http://schemas.openxmlformats.org/drawingml/2006/main" xmlns:pic="http://schemas.openxmlformats.org/drawingml/2006/picture">
            <wp:extent cx="3718794" cy="6479999"/>
            <wp:docPr id="2" name="Picture 2"/>
            <wp:cNvGraphicFramePr>
              <a:graphicFrameLocks noChangeAspect="1"/>
            </wp:cNvGraphicFramePr>
            <a:graphic>
              <a:graphicData uri="http://schemas.openxmlformats.org/drawingml/2006/picture">
                <pic:pic>
                  <pic:nvPicPr>
                    <pic:cNvPr id="0" name="alur-penelitian-dsr.png"/>
                    <pic:cNvPicPr/>
                  </pic:nvPicPr>
                  <pic:blipFill>
                    <a:blip r:embed="rId12"/>
                    <a:stretch>
                      <a:fillRect/>
                    </a:stretch>
                  </pic:blipFill>
                  <pic:spPr>
                    <a:xfrm>
                      <a:off x="0" y="0"/>
                      <a:ext cx="3718794" cy="6479999"/>
                    </a:xfrm>
                    <a:prstGeom prst="rect"/>
                  </pic:spPr>
                </pic:pic>
              </a:graphicData>
            </a:graphic>
          </wp:inline>
        </w:drawing>
      </w:r>
    </w:p>
    <w:p>
      <w:pPr>
        <w:pStyle w:val="Caption"/>
        <w:jc w:val="center"/>
      </w:pPr>
      <w:r>
        <w:t>Gambar 2.</w:t>
      </w:r>
      <w:fldSimple w:instr=" SEQ Gambar \* ARABIC \s 1 ">
        <w:r>
          <w:t>1</w:t>
        </w:r>
      </w:fldSimple>
      <w:r>
        <w:t xml:space="preserve"> Tahapan Design Science Research pada Penelitian Ini.</w:t>
      </w:r>
    </w:p>
    <w:p>
      <w:pPr>
        <w:ind w:firstLine="720"/>
        <w:jc w:val="both"/>
      </w:pPr>
      <w:r>
        <w:t xml:space="preserve">DSR dipilih karena karakteristik penelitian ini yang menghasilkan artefak perangkat lunak konkret — </w:t>
      </w:r>
      <w:r>
        <w:rPr>
          <w:i/>
        </w:rPr>
        <w:t>dataclass</w:t>
      </w:r>
      <w:r>
        <w:t xml:space="preserve"> </w:t>
      </w:r>
      <w:r>
        <w:rPr>
          <w:rFonts w:ascii="Courier New" w:hAnsi="Courier New"/>
        </w:rPr>
        <w:t>ToolMeta</w:t>
      </w:r>
      <w:r>
        <w:t xml:space="preserve">, kelas </w:t>
      </w:r>
      <w:r>
        <w:rPr>
          <w:rFonts w:ascii="Courier New" w:hAnsi="Courier New"/>
        </w:rPr>
        <w:t>ToolRegistry</w:t>
      </w:r>
      <w:r>
        <w:t xml:space="preserve">, dan fungsi </w:t>
      </w:r>
      <w:r>
        <w:rPr>
          <w:rFonts w:ascii="Courier New" w:hAnsi="Courier New"/>
        </w:rPr>
        <w:t>registry_filter()</w:t>
      </w:r>
      <w:r>
        <w:t xml:space="preserve"> — sekaligus mengukur dampaknya secara kuantitatif. Tahap identifikasi masalah memetakan fenomena </w:t>
      </w:r>
      <w:r>
        <w:rPr>
          <w:i/>
        </w:rPr>
        <w:t>tool overload</w:t>
      </w:r>
      <w:r>
        <w:t xml:space="preserve"> dari data operasional zerlo.id; tahap perancangan menghasilkan artefak Tool Registry beserta kerangka evaluasinya; tahap demonstrasi mengintegrasikan artefak ke dalam AI Agent dan menjalankannya pada tiga skenario katalog; dan tahap evaluasi menganalisis hasil menggunakan uji statistik Wilcoxon </w:t>
      </w:r>
      <w:r>
        <w:rPr>
          <w:i/>
        </w:rPr>
        <w:t>signed-rank</w:t>
      </w:r>
      <w:r>
        <w:t xml:space="preserve">, Cohen's d, dan </w:t>
      </w:r>
      <w:r>
        <w:rPr>
          <w:i/>
        </w:rPr>
        <w:t>confidence interval</w:t>
      </w:r>
      <w:r>
        <w:t xml:space="preserve"> 95%. Pemetaan tahapan DSR secara rinci diuraikan pada Bab III.</w:t>
      </w:r>
    </w:p>
    <w:p>
      <w:pPr>
        <w:ind w:firstLine="720"/>
        <w:jc w:val="both"/>
      </w:pPr>
      <w:r>
        <w:t xml:space="preserve">Secara arsitektural, Tool Registry juga mengadaptasi pola rekayasa perangkat lunak yang telah matang dari ranah </w:t>
      </w:r>
      <w:r>
        <w:rPr>
          <w:i/>
        </w:rPr>
        <w:t>microservices</w:t>
      </w:r>
      <w:r>
        <w:t xml:space="preserve"> [23], yakni </w:t>
      </w:r>
      <w:r>
        <w:rPr>
          <w:i/>
        </w:rPr>
        <w:t>service registry</w:t>
      </w:r>
      <w:r>
        <w:t xml:space="preserve"> dan </w:t>
      </w:r>
      <w:r>
        <w:rPr>
          <w:i/>
        </w:rPr>
        <w:t>API gateway</w:t>
      </w:r>
      <w:r>
        <w:t xml:space="preserve">. Pada pola tersebut, </w:t>
      </w:r>
      <w:r>
        <w:rPr>
          <w:i/>
        </w:rPr>
        <w:t>service registry</w:t>
      </w:r>
      <w:r>
        <w:t xml:space="preserve"> menyimpan metadata layanan (lokasi, kapabilitas, status) untuk memungkinkan </w:t>
      </w:r>
      <w:r>
        <w:rPr>
          <w:i/>
        </w:rPr>
        <w:t>service discovery</w:t>
      </w:r>
      <w:r>
        <w:t xml:space="preserve">, sementara </w:t>
      </w:r>
      <w:r>
        <w:rPr>
          <w:i/>
        </w:rPr>
        <w:t>API gateway</w:t>
      </w:r>
      <w:r>
        <w:t xml:space="preserve"> berperan sebagai titik masuk tunggal yang merutekan permintaan ke layanan yang tepat. Tool Registry mengadaptasi pola ini ke domain AI Agent: LLM berperan sebagai </w:t>
      </w:r>
      <w:r>
        <w:rPr>
          <w:i/>
        </w:rPr>
        <w:t>client</w:t>
      </w:r>
      <w:r>
        <w:t xml:space="preserve">, </w:t>
      </w:r>
      <w:r>
        <w:rPr>
          <w:i/>
        </w:rPr>
        <w:t>tools</w:t>
      </w:r>
      <w:r>
        <w:t xml:space="preserve"> berperan sebagai </w:t>
      </w:r>
      <w:r>
        <w:rPr>
          <w:i/>
        </w:rPr>
        <w:t>services</w:t>
      </w:r>
      <w:r>
        <w:t xml:space="preserve">, dan Tool Registry menggabungkan fungsi </w:t>
      </w:r>
      <w:r>
        <w:rPr>
          <w:i/>
        </w:rPr>
        <w:t>service registry</w:t>
      </w:r>
      <w:r>
        <w:t xml:space="preserve"> dan </w:t>
      </w:r>
      <w:r>
        <w:rPr>
          <w:i/>
        </w:rPr>
        <w:t>API gateway</w:t>
      </w:r>
      <w:r>
        <w:t xml:space="preserve"> dengan menyaring </w:t>
      </w:r>
      <w:r>
        <w:rPr>
          <w:i/>
        </w:rPr>
        <w:t>tool</w:t>
      </w:r>
      <w:r>
        <w:t xml:space="preserve"> berdasarkan metadata sebelum diteruskan ke model.</w:t>
      </w:r>
    </w:p>
    <w:p>
      <w:pPr>
        <w:pStyle w:val="Heading2"/>
      </w:pPr>
      <w:r>
        <w:t>2.7 Penelitian Terdahulu</w:t>
      </w:r>
    </w:p>
    <w:p>
      <w:pPr>
        <w:ind w:firstLine="720"/>
        <w:jc w:val="both"/>
      </w:pPr>
      <w:r>
        <w:t xml:space="preserve">Untuk menegaskan posisi dan kebaruan penelitian, Tabel 2.1 membandingkan penelitian terdahulu yang relevan berdasarkan pendekatan penyaringan </w:t>
      </w:r>
      <w:r>
        <w:rPr>
          <w:i/>
        </w:rPr>
        <w:t>tool</w:t>
      </w:r>
      <w:r>
        <w:t>, mekanisme yang digunakan, skala evaluasi, dan ketersediaan pengukuran kuantitatif.</w:t>
      </w:r>
    </w:p>
    <w:p>
      <w:pPr>
        <w:pStyle w:val="Caption"/>
        <w:keepNext/>
        <w:jc w:val="center"/>
      </w:pPr>
      <w:r>
        <w:t>Tabel 2.</w:t>
      </w:r>
      <w:fldSimple w:instr=" SEQ Tabel \* ARABIC \s 1 ">
        <w:r>
          <w:t>1</w:t>
        </w:r>
      </w:fldSimple>
      <w:r>
        <w:t xml:space="preserve"> Perbandingan Penelitian Terdahulu</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1587"/>
        <w:gridCol w:w="1587"/>
        <w:gridCol w:w="1587"/>
        <w:gridCol w:w="1587"/>
        <w:gridCol w:w="1587"/>
      </w:tblGrid>
      <w:tr>
        <w:trPr>
          <w:cantSplit/>
          <w:tblHeader/>
        </w:trPr>
        <w:tc>
          <w:tcPr>
            <w:tcW w:type="dxa" w:w="1587"/>
            <w:tcBorders>
              <w:top w:val="none"/>
              <w:bottom w:val="single" w:sz="8" w:space="0" w:color="000000"/>
              <w:left w:val="none"/>
              <w:right w:val="none"/>
            </w:tcBorders>
          </w:tcPr>
          <w:p>
            <w:pPr>
              <w:spacing w:line="240" w:lineRule="auto" w:after="0"/>
            </w:pPr>
            <w:r>
              <w:rPr>
                <w:b/>
                <w:sz w:val="20"/>
              </w:rPr>
            </w:r>
            <w:r>
              <w:rPr>
                <w:b/>
                <w:sz w:val="20"/>
              </w:rPr>
              <w:t>Penelitian</w:t>
            </w:r>
          </w:p>
        </w:tc>
        <w:tc>
          <w:tcPr>
            <w:tcW w:type="dxa" w:w="1587"/>
            <w:tcBorders>
              <w:top w:val="none"/>
              <w:bottom w:val="single" w:sz="8" w:space="0" w:color="000000"/>
              <w:left w:val="none"/>
              <w:right w:val="none"/>
            </w:tcBorders>
          </w:tcPr>
          <w:p>
            <w:pPr>
              <w:spacing w:line="240" w:lineRule="auto" w:after="0"/>
            </w:pPr>
            <w:r>
              <w:rPr>
                <w:b/>
                <w:sz w:val="20"/>
              </w:rPr>
            </w:r>
            <w:r>
              <w:rPr>
                <w:b/>
                <w:sz w:val="20"/>
              </w:rPr>
              <w:t>Pendekatan</w:t>
            </w:r>
          </w:p>
        </w:tc>
        <w:tc>
          <w:tcPr>
            <w:tcW w:type="dxa" w:w="1587"/>
            <w:tcBorders>
              <w:top w:val="none"/>
              <w:bottom w:val="single" w:sz="8" w:space="0" w:color="000000"/>
              <w:left w:val="none"/>
              <w:right w:val="none"/>
            </w:tcBorders>
          </w:tcPr>
          <w:p>
            <w:pPr>
              <w:spacing w:line="240" w:lineRule="auto" w:after="0"/>
            </w:pPr>
            <w:r>
              <w:rPr>
                <w:b/>
                <w:sz w:val="20"/>
              </w:rPr>
            </w:r>
            <w:r>
              <w:rPr>
                <w:b/>
                <w:sz w:val="20"/>
              </w:rPr>
              <w:t>Mekanisme</w:t>
            </w:r>
          </w:p>
        </w:tc>
        <w:tc>
          <w:tcPr>
            <w:tcW w:type="dxa" w:w="1587"/>
            <w:tcBorders>
              <w:top w:val="none"/>
              <w:bottom w:val="single" w:sz="8" w:space="0" w:color="000000"/>
              <w:left w:val="none"/>
              <w:right w:val="none"/>
            </w:tcBorders>
          </w:tcPr>
          <w:p>
            <w:pPr>
              <w:spacing w:line="240" w:lineRule="auto" w:after="0"/>
            </w:pPr>
            <w:r>
              <w:rPr>
                <w:b/>
                <w:sz w:val="20"/>
              </w:rPr>
            </w:r>
            <w:r>
              <w:rPr>
                <w:b/>
                <w:sz w:val="20"/>
              </w:rPr>
              <w:t>Skala Evaluasi</w:t>
            </w:r>
          </w:p>
        </w:tc>
        <w:tc>
          <w:tcPr>
            <w:tcW w:type="dxa" w:w="1587"/>
            <w:tcBorders>
              <w:top w:val="none"/>
              <w:bottom w:val="single" w:sz="8" w:space="0" w:color="000000"/>
              <w:left w:val="none"/>
              <w:right w:val="none"/>
            </w:tcBorders>
          </w:tcPr>
          <w:p>
            <w:pPr>
              <w:spacing w:line="240" w:lineRule="auto" w:after="0"/>
            </w:pPr>
            <w:r>
              <w:rPr>
                <w:b/>
                <w:sz w:val="20"/>
              </w:rPr>
            </w:r>
            <w:r>
              <w:rPr>
                <w:b/>
                <w:sz w:val="20"/>
              </w:rPr>
              <w:t>Evaluasi Kuantitatif</w:t>
            </w:r>
          </w:p>
        </w:tc>
      </w:tr>
      <w:tr>
        <w:trPr>
          <w:cantSplit/>
        </w:trPr>
        <w:tc>
          <w:tcPr>
            <w:tcW w:type="dxa" w:w="1587"/>
          </w:tcPr>
          <w:p>
            <w:pPr>
              <w:spacing w:line="240" w:lineRule="auto" w:after="0"/>
            </w:pPr>
            <w:r>
              <w:rPr>
                <w:sz w:val="20"/>
              </w:rPr>
            </w:r>
            <w:r>
              <w:rPr>
                <w:sz w:val="20"/>
              </w:rPr>
              <w:t>Gorilla [9]</w:t>
            </w:r>
          </w:p>
        </w:tc>
        <w:tc>
          <w:tcPr>
            <w:tcW w:type="dxa" w:w="1587"/>
          </w:tcPr>
          <w:p>
            <w:pPr>
              <w:spacing w:line="240" w:lineRule="auto" w:after="0"/>
            </w:pPr>
            <w:r>
              <w:rPr>
                <w:sz w:val="20"/>
              </w:rPr>
            </w:r>
            <w:r>
              <w:rPr>
                <w:sz w:val="20"/>
              </w:rPr>
              <w:t>Tool RAG</w:t>
            </w:r>
          </w:p>
        </w:tc>
        <w:tc>
          <w:tcPr>
            <w:tcW w:type="dxa" w:w="1587"/>
          </w:tcPr>
          <w:p>
            <w:pPr>
              <w:spacing w:line="240" w:lineRule="auto" w:after="0"/>
            </w:pPr>
            <w:r>
              <w:rPr>
                <w:sz w:val="20"/>
              </w:rPr>
            </w:r>
            <w:r>
              <w:rPr>
                <w:i/>
                <w:sz w:val="20"/>
              </w:rPr>
              <w:t>Document retriever</w:t>
            </w:r>
            <w:r>
              <w:rPr>
                <w:sz w:val="20"/>
              </w:rPr>
              <w:t xml:space="preserve"> + </w:t>
            </w:r>
            <w:r>
              <w:rPr>
                <w:i/>
                <w:sz w:val="20"/>
              </w:rPr>
              <w:t>fine-tuning</w:t>
            </w:r>
          </w:p>
        </w:tc>
        <w:tc>
          <w:tcPr>
            <w:tcW w:type="dxa" w:w="1587"/>
          </w:tcPr>
          <w:p>
            <w:pPr>
              <w:spacing w:line="240" w:lineRule="auto" w:after="0"/>
            </w:pPr>
            <w:r>
              <w:rPr>
                <w:sz w:val="20"/>
              </w:rPr>
            </w:r>
            <w:r>
              <w:rPr>
                <w:sz w:val="20"/>
              </w:rPr>
              <w:t>&gt;11.000 API</w:t>
            </w:r>
          </w:p>
        </w:tc>
        <w:tc>
          <w:tcPr>
            <w:tcW w:type="dxa" w:w="1587"/>
          </w:tcPr>
          <w:p>
            <w:pPr>
              <w:spacing w:line="240" w:lineRule="auto" w:after="0"/>
            </w:pPr>
            <w:r>
              <w:rPr>
                <w:sz w:val="20"/>
              </w:rPr>
            </w:r>
            <w:r>
              <w:rPr>
                <w:sz w:val="20"/>
              </w:rPr>
              <w:t xml:space="preserve">Akurasi </w:t>
            </w:r>
            <w:r>
              <w:rPr>
                <w:i/>
                <w:sz w:val="20"/>
              </w:rPr>
              <w:t>API call</w:t>
            </w:r>
          </w:p>
        </w:tc>
      </w:tr>
      <w:tr>
        <w:trPr>
          <w:cantSplit/>
        </w:trPr>
        <w:tc>
          <w:tcPr>
            <w:tcW w:type="dxa" w:w="1587"/>
          </w:tcPr>
          <w:p>
            <w:pPr>
              <w:spacing w:line="240" w:lineRule="auto" w:after="0"/>
            </w:pPr>
            <w:r>
              <w:rPr>
                <w:sz w:val="20"/>
              </w:rPr>
            </w:r>
            <w:r>
              <w:rPr>
                <w:sz w:val="20"/>
              </w:rPr>
              <w:t>ToolLLM [10]</w:t>
            </w:r>
          </w:p>
        </w:tc>
        <w:tc>
          <w:tcPr>
            <w:tcW w:type="dxa" w:w="1587"/>
          </w:tcPr>
          <w:p>
            <w:pPr>
              <w:spacing w:line="240" w:lineRule="auto" w:after="0"/>
            </w:pPr>
            <w:r>
              <w:rPr>
                <w:sz w:val="20"/>
              </w:rPr>
            </w:r>
            <w:r>
              <w:rPr>
                <w:sz w:val="20"/>
              </w:rPr>
              <w:t>Tool RAG</w:t>
            </w:r>
          </w:p>
        </w:tc>
        <w:tc>
          <w:tcPr>
            <w:tcW w:type="dxa" w:w="1587"/>
          </w:tcPr>
          <w:p>
            <w:pPr>
              <w:spacing w:line="240" w:lineRule="auto" w:after="0"/>
            </w:pPr>
            <w:r>
              <w:rPr>
                <w:sz w:val="20"/>
              </w:rPr>
            </w:r>
            <w:r>
              <w:rPr>
                <w:i/>
                <w:sz w:val="20"/>
              </w:rPr>
              <w:t>Neural API retriever</w:t>
            </w:r>
          </w:p>
        </w:tc>
        <w:tc>
          <w:tcPr>
            <w:tcW w:type="dxa" w:w="1587"/>
          </w:tcPr>
          <w:p>
            <w:pPr>
              <w:spacing w:line="240" w:lineRule="auto" w:after="0"/>
            </w:pPr>
            <w:r>
              <w:rPr>
                <w:sz w:val="20"/>
              </w:rPr>
            </w:r>
            <w:r>
              <w:rPr>
                <w:sz w:val="20"/>
              </w:rPr>
              <w:t>&gt;16.000 API</w:t>
            </w:r>
          </w:p>
        </w:tc>
        <w:tc>
          <w:tcPr>
            <w:tcW w:type="dxa" w:w="1587"/>
          </w:tcPr>
          <w:p>
            <w:pPr>
              <w:spacing w:line="240" w:lineRule="auto" w:after="0"/>
            </w:pPr>
            <w:r>
              <w:rPr>
                <w:sz w:val="20"/>
              </w:rPr>
            </w:r>
            <w:r>
              <w:rPr>
                <w:sz w:val="20"/>
              </w:rPr>
              <w:t>Pass rate, win rate</w:t>
            </w:r>
          </w:p>
        </w:tc>
      </w:tr>
      <w:tr>
        <w:trPr>
          <w:cantSplit/>
        </w:trPr>
        <w:tc>
          <w:tcPr>
            <w:tcW w:type="dxa" w:w="1587"/>
          </w:tcPr>
          <w:p>
            <w:pPr>
              <w:spacing w:line="240" w:lineRule="auto" w:after="0"/>
            </w:pPr>
            <w:r>
              <w:rPr>
                <w:sz w:val="20"/>
              </w:rPr>
            </w:r>
            <w:r>
              <w:rPr>
                <w:sz w:val="20"/>
              </w:rPr>
              <w:t>Toolshed [11]</w:t>
            </w:r>
          </w:p>
        </w:tc>
        <w:tc>
          <w:tcPr>
            <w:tcW w:type="dxa" w:w="1587"/>
          </w:tcPr>
          <w:p>
            <w:pPr>
              <w:spacing w:line="240" w:lineRule="auto" w:after="0"/>
            </w:pPr>
            <w:r>
              <w:rPr>
                <w:sz w:val="20"/>
              </w:rPr>
            </w:r>
            <w:r>
              <w:rPr>
                <w:sz w:val="20"/>
              </w:rPr>
              <w:t>Tool RAG</w:t>
            </w:r>
          </w:p>
        </w:tc>
        <w:tc>
          <w:tcPr>
            <w:tcW w:type="dxa" w:w="1587"/>
          </w:tcPr>
          <w:p>
            <w:pPr>
              <w:spacing w:line="240" w:lineRule="auto" w:after="0"/>
            </w:pPr>
            <w:r>
              <w:rPr>
                <w:sz w:val="20"/>
              </w:rPr>
            </w:r>
            <w:r>
              <w:rPr>
                <w:i/>
                <w:sz w:val="20"/>
              </w:rPr>
              <w:t>RAG-Tool Fusion</w:t>
            </w:r>
            <w:r>
              <w:rPr>
                <w:sz w:val="20"/>
              </w:rPr>
              <w:t xml:space="preserve"> 3 fase</w:t>
            </w:r>
          </w:p>
        </w:tc>
        <w:tc>
          <w:tcPr>
            <w:tcW w:type="dxa" w:w="1587"/>
          </w:tcPr>
          <w:p>
            <w:pPr>
              <w:spacing w:line="240" w:lineRule="auto" w:after="0"/>
            </w:pPr>
            <w:r>
              <w:rPr>
                <w:sz w:val="20"/>
              </w:rPr>
            </w:r>
            <w:r>
              <w:rPr>
                <w:sz w:val="20"/>
              </w:rPr>
              <w:t xml:space="preserve">Katalog </w:t>
            </w:r>
            <w:r>
              <w:rPr>
                <w:i/>
                <w:sz w:val="20"/>
              </w:rPr>
              <w:t>tool</w:t>
            </w:r>
            <w:r>
              <w:rPr>
                <w:sz w:val="20"/>
              </w:rPr>
              <w:t xml:space="preserve"> besar</w:t>
            </w:r>
          </w:p>
        </w:tc>
        <w:tc>
          <w:tcPr>
            <w:tcW w:type="dxa" w:w="1587"/>
          </w:tcPr>
          <w:p>
            <w:pPr>
              <w:spacing w:line="240" w:lineRule="auto" w:after="0"/>
            </w:pPr>
            <w:r>
              <w:rPr>
                <w:sz w:val="20"/>
              </w:rPr>
            </w:r>
            <w:r>
              <w:rPr>
                <w:sz w:val="20"/>
              </w:rPr>
              <w:t>Recall@5 (+46–56%)</w:t>
            </w:r>
          </w:p>
        </w:tc>
      </w:tr>
      <w:tr>
        <w:trPr>
          <w:cantSplit/>
        </w:trPr>
        <w:tc>
          <w:tcPr>
            <w:tcW w:type="dxa" w:w="1587"/>
          </w:tcPr>
          <w:p>
            <w:pPr>
              <w:spacing w:line="240" w:lineRule="auto" w:after="0"/>
            </w:pPr>
            <w:r>
              <w:rPr>
                <w:sz w:val="20"/>
              </w:rPr>
            </w:r>
            <w:r>
              <w:rPr>
                <w:sz w:val="20"/>
              </w:rPr>
              <w:t>COLT [12]</w:t>
            </w:r>
          </w:p>
        </w:tc>
        <w:tc>
          <w:tcPr>
            <w:tcW w:type="dxa" w:w="1587"/>
          </w:tcPr>
          <w:p>
            <w:pPr>
              <w:spacing w:line="240" w:lineRule="auto" w:after="0"/>
            </w:pPr>
            <w:r>
              <w:rPr>
                <w:sz w:val="20"/>
              </w:rPr>
            </w:r>
            <w:r>
              <w:rPr>
                <w:sz w:val="20"/>
              </w:rPr>
              <w:t>Tool RAG</w:t>
            </w:r>
          </w:p>
        </w:tc>
        <w:tc>
          <w:tcPr>
            <w:tcW w:type="dxa" w:w="1587"/>
          </w:tcPr>
          <w:p>
            <w:pPr>
              <w:spacing w:line="240" w:lineRule="auto" w:after="0"/>
            </w:pPr>
            <w:r>
              <w:rPr>
                <w:sz w:val="20"/>
              </w:rPr>
            </w:r>
            <w:r>
              <w:rPr>
                <w:i/>
                <w:sz w:val="20"/>
              </w:rPr>
              <w:t>Graph collaborative learning</w:t>
            </w:r>
          </w:p>
        </w:tc>
        <w:tc>
          <w:tcPr>
            <w:tcW w:type="dxa" w:w="1587"/>
          </w:tcPr>
          <w:p>
            <w:pPr>
              <w:spacing w:line="240" w:lineRule="auto" w:after="0"/>
            </w:pPr>
            <w:r>
              <w:rPr>
                <w:sz w:val="20"/>
              </w:rPr>
            </w:r>
            <w:r>
              <w:rPr>
                <w:i/>
                <w:sz w:val="20"/>
              </w:rPr>
              <w:t>Benchmark</w:t>
            </w:r>
            <w:r>
              <w:rPr>
                <w:sz w:val="20"/>
              </w:rPr>
              <w:t xml:space="preserve"> ToolLens</w:t>
            </w:r>
          </w:p>
        </w:tc>
        <w:tc>
          <w:tcPr>
            <w:tcW w:type="dxa" w:w="1587"/>
          </w:tcPr>
          <w:p>
            <w:pPr>
              <w:spacing w:line="240" w:lineRule="auto" w:after="0"/>
            </w:pPr>
            <w:r>
              <w:rPr>
                <w:sz w:val="20"/>
              </w:rPr>
            </w:r>
            <w:r>
              <w:rPr>
                <w:sz w:val="20"/>
              </w:rPr>
              <w:t>Completeness metric</w:t>
            </w:r>
          </w:p>
        </w:tc>
      </w:tr>
      <w:tr>
        <w:trPr>
          <w:cantSplit/>
        </w:trPr>
        <w:tc>
          <w:tcPr>
            <w:tcW w:type="dxa" w:w="1587"/>
          </w:tcPr>
          <w:p>
            <w:pPr>
              <w:spacing w:line="240" w:lineRule="auto" w:after="0"/>
            </w:pPr>
            <w:r>
              <w:rPr>
                <w:sz w:val="20"/>
              </w:rPr>
            </w:r>
            <w:r>
              <w:rPr>
                <w:sz w:val="20"/>
              </w:rPr>
              <w:t>Dynamic ReAct [14]</w:t>
            </w:r>
          </w:p>
        </w:tc>
        <w:tc>
          <w:tcPr>
            <w:tcW w:type="dxa" w:w="1587"/>
          </w:tcPr>
          <w:p>
            <w:pPr>
              <w:spacing w:line="240" w:lineRule="auto" w:after="0"/>
            </w:pPr>
            <w:r>
              <w:rPr>
                <w:sz w:val="20"/>
              </w:rPr>
            </w:r>
            <w:r>
              <w:rPr>
                <w:i/>
                <w:sz w:val="20"/>
              </w:rPr>
              <w:t>Dynamic loading</w:t>
            </w:r>
          </w:p>
        </w:tc>
        <w:tc>
          <w:tcPr>
            <w:tcW w:type="dxa" w:w="1587"/>
          </w:tcPr>
          <w:p>
            <w:pPr>
              <w:spacing w:line="240" w:lineRule="auto" w:after="0"/>
            </w:pPr>
            <w:r>
              <w:rPr>
                <w:sz w:val="20"/>
              </w:rPr>
            </w:r>
            <w:r>
              <w:rPr>
                <w:i/>
                <w:sz w:val="20"/>
              </w:rPr>
              <w:t>Search-and-load</w:t>
            </w:r>
            <w:r>
              <w:rPr>
                <w:sz w:val="20"/>
              </w:rPr>
              <w:t xml:space="preserve"> MCP</w:t>
            </w:r>
          </w:p>
        </w:tc>
        <w:tc>
          <w:tcPr>
            <w:tcW w:type="dxa" w:w="1587"/>
          </w:tcPr>
          <w:p>
            <w:pPr>
              <w:spacing w:line="240" w:lineRule="auto" w:after="0"/>
            </w:pPr>
            <w:r>
              <w:rPr>
                <w:sz w:val="20"/>
              </w:rPr>
            </w:r>
            <w:r>
              <w:rPr>
                <w:sz w:val="20"/>
              </w:rPr>
              <w:t>Lingkungan MCP</w:t>
            </w:r>
          </w:p>
        </w:tc>
        <w:tc>
          <w:tcPr>
            <w:tcW w:type="dxa" w:w="1587"/>
          </w:tcPr>
          <w:p>
            <w:pPr>
              <w:spacing w:line="240" w:lineRule="auto" w:after="0"/>
            </w:pPr>
            <w:r>
              <w:rPr>
                <w:sz w:val="20"/>
              </w:rPr>
            </w:r>
            <w:r>
              <w:rPr>
                <w:i/>
                <w:sz w:val="20"/>
              </w:rPr>
              <w:t>Tool loading</w:t>
            </w:r>
            <w:r>
              <w:rPr>
                <w:sz w:val="20"/>
              </w:rPr>
              <w:t xml:space="preserve"> (−50%)</w:t>
            </w:r>
          </w:p>
        </w:tc>
      </w:tr>
      <w:tr>
        <w:trPr>
          <w:cantSplit/>
        </w:trPr>
        <w:tc>
          <w:tcPr>
            <w:tcW w:type="dxa" w:w="1587"/>
          </w:tcPr>
          <w:p>
            <w:pPr>
              <w:spacing w:line="240" w:lineRule="auto" w:after="0"/>
            </w:pPr>
            <w:r>
              <w:rPr>
                <w:sz w:val="20"/>
              </w:rPr>
            </w:r>
            <w:r>
              <w:rPr>
                <w:sz w:val="20"/>
              </w:rPr>
              <w:t>AutoTool [15]</w:t>
            </w:r>
          </w:p>
        </w:tc>
        <w:tc>
          <w:tcPr>
            <w:tcW w:type="dxa" w:w="1587"/>
          </w:tcPr>
          <w:p>
            <w:pPr>
              <w:spacing w:line="240" w:lineRule="auto" w:after="0"/>
            </w:pPr>
            <w:r>
              <w:rPr>
                <w:sz w:val="20"/>
              </w:rPr>
            </w:r>
            <w:r>
              <w:rPr>
                <w:i/>
                <w:sz w:val="20"/>
              </w:rPr>
              <w:t>Pattern-based</w:t>
            </w:r>
          </w:p>
        </w:tc>
        <w:tc>
          <w:tcPr>
            <w:tcW w:type="dxa" w:w="1587"/>
          </w:tcPr>
          <w:p>
            <w:pPr>
              <w:spacing w:line="240" w:lineRule="auto" w:after="0"/>
            </w:pPr>
            <w:r>
              <w:rPr>
                <w:sz w:val="20"/>
              </w:rPr>
            </w:r>
            <w:r>
              <w:rPr>
                <w:i/>
                <w:sz w:val="20"/>
              </w:rPr>
              <w:t>Directed graph</w:t>
            </w:r>
            <w:r>
              <w:rPr>
                <w:sz w:val="20"/>
              </w:rPr>
              <w:t xml:space="preserve"> inersia</w:t>
            </w:r>
          </w:p>
        </w:tc>
        <w:tc>
          <w:tcPr>
            <w:tcW w:type="dxa" w:w="1587"/>
          </w:tcPr>
          <w:p>
            <w:pPr>
              <w:spacing w:line="240" w:lineRule="auto" w:after="0"/>
            </w:pPr>
            <w:r>
              <w:rPr>
                <w:sz w:val="20"/>
              </w:rPr>
            </w:r>
            <w:r>
              <w:rPr>
                <w:sz w:val="20"/>
              </w:rPr>
              <w:t>Trajektori agen</w:t>
            </w:r>
          </w:p>
        </w:tc>
        <w:tc>
          <w:tcPr>
            <w:tcW w:type="dxa" w:w="1587"/>
          </w:tcPr>
          <w:p>
            <w:pPr>
              <w:spacing w:line="240" w:lineRule="auto" w:after="0"/>
            </w:pPr>
            <w:r>
              <w:rPr>
                <w:sz w:val="20"/>
              </w:rPr>
            </w:r>
            <w:r>
              <w:rPr>
                <w:sz w:val="20"/>
              </w:rPr>
              <w:t>Biaya inferensi (−30%)</w:t>
            </w:r>
          </w:p>
        </w:tc>
      </w:tr>
      <w:tr>
        <w:trPr>
          <w:cantSplit/>
        </w:trPr>
        <w:tc>
          <w:tcPr>
            <w:tcW w:type="dxa" w:w="1587"/>
          </w:tcPr>
          <w:p>
            <w:pPr>
              <w:spacing w:line="240" w:lineRule="auto" w:after="0"/>
            </w:pPr>
            <w:r>
              <w:rPr>
                <w:sz w:val="20"/>
              </w:rPr>
            </w:r>
            <w:r>
              <w:rPr>
                <w:sz w:val="20"/>
              </w:rPr>
              <w:t>AWS Agent Registry [18]</w:t>
            </w:r>
          </w:p>
        </w:tc>
        <w:tc>
          <w:tcPr>
            <w:tcW w:type="dxa" w:w="1587"/>
          </w:tcPr>
          <w:p>
            <w:pPr>
              <w:spacing w:line="240" w:lineRule="auto" w:after="0"/>
            </w:pPr>
            <w:r>
              <w:rPr>
                <w:sz w:val="20"/>
              </w:rPr>
            </w:r>
            <w:r>
              <w:rPr>
                <w:i/>
                <w:sz w:val="20"/>
              </w:rPr>
              <w:t>Tool Registry</w:t>
            </w:r>
          </w:p>
        </w:tc>
        <w:tc>
          <w:tcPr>
            <w:tcW w:type="dxa" w:w="1587"/>
          </w:tcPr>
          <w:p>
            <w:pPr>
              <w:spacing w:line="240" w:lineRule="auto" w:after="0"/>
            </w:pPr>
            <w:r>
              <w:rPr>
                <w:sz w:val="20"/>
              </w:rPr>
            </w:r>
            <w:r>
              <w:rPr>
                <w:sz w:val="20"/>
              </w:rPr>
              <w:t xml:space="preserve">Metadata + </w:t>
            </w:r>
            <w:r>
              <w:rPr>
                <w:i/>
                <w:sz w:val="20"/>
              </w:rPr>
              <w:t>hybrid search</w:t>
            </w:r>
            <w:r>
              <w:rPr>
                <w:sz w:val="20"/>
              </w:rPr>
              <w:t xml:space="preserve"> + IAM</w:t>
            </w:r>
          </w:p>
        </w:tc>
        <w:tc>
          <w:tcPr>
            <w:tcW w:type="dxa" w:w="1587"/>
          </w:tcPr>
          <w:p>
            <w:pPr>
              <w:spacing w:line="240" w:lineRule="auto" w:after="0"/>
            </w:pPr>
            <w:r>
              <w:rPr>
                <w:sz w:val="20"/>
              </w:rPr>
            </w:r>
            <w:r>
              <w:rPr>
                <w:sz w:val="20"/>
              </w:rPr>
              <w:t>Skala enterprise</w:t>
            </w:r>
          </w:p>
        </w:tc>
        <w:tc>
          <w:tcPr>
            <w:tcW w:type="dxa" w:w="1587"/>
          </w:tcPr>
          <w:p>
            <w:pPr>
              <w:spacing w:line="240" w:lineRule="auto" w:after="0"/>
            </w:pPr>
            <w:r>
              <w:rPr>
                <w:sz w:val="20"/>
              </w:rPr>
            </w:r>
            <w:r>
              <w:rPr>
                <w:sz w:val="20"/>
              </w:rPr>
              <w:t>— (produk industri)</w:t>
            </w:r>
          </w:p>
        </w:tc>
      </w:tr>
      <w:tr>
        <w:trPr>
          <w:cantSplit/>
        </w:trPr>
        <w:tc>
          <w:tcPr>
            <w:tcW w:type="dxa" w:w="1587"/>
          </w:tcPr>
          <w:p>
            <w:pPr>
              <w:spacing w:line="240" w:lineRule="auto" w:after="0"/>
            </w:pPr>
            <w:r>
              <w:rPr>
                <w:sz w:val="20"/>
              </w:rPr>
            </w:r>
            <w:r>
              <w:rPr>
                <w:b/>
                <w:sz w:val="20"/>
              </w:rPr>
              <w:t>Penelitian ini</w:t>
            </w:r>
          </w:p>
        </w:tc>
        <w:tc>
          <w:tcPr>
            <w:tcW w:type="dxa" w:w="1587"/>
          </w:tcPr>
          <w:p>
            <w:pPr>
              <w:spacing w:line="240" w:lineRule="auto" w:after="0"/>
            </w:pPr>
            <w:r>
              <w:rPr>
                <w:sz w:val="20"/>
              </w:rPr>
            </w:r>
            <w:r>
              <w:rPr>
                <w:b/>
                <w:sz w:val="20"/>
              </w:rPr>
              <w:t>*Tool Registry</w:t>
            </w:r>
            <w:r>
              <w:rPr>
                <w:i/>
                <w:sz w:val="20"/>
              </w:rPr>
              <w:t xml:space="preserve"> </w:t>
            </w:r>
            <w:r>
              <w:rPr>
                <w:sz w:val="20"/>
              </w:rPr>
              <w:t>deterministik*</w:t>
            </w:r>
          </w:p>
        </w:tc>
        <w:tc>
          <w:tcPr>
            <w:tcW w:type="dxa" w:w="1587"/>
          </w:tcPr>
          <w:p>
            <w:pPr>
              <w:spacing w:line="240" w:lineRule="auto" w:after="0"/>
            </w:pPr>
            <w:r>
              <w:rPr>
                <w:sz w:val="20"/>
              </w:rPr>
            </w:r>
            <w:r>
              <w:rPr>
                <w:i/>
                <w:sz w:val="20"/>
              </w:rPr>
              <w:t>Metadata multi-kriteria</w:t>
            </w:r>
            <w:r>
              <w:rPr>
                <w:sz w:val="20"/>
              </w:rPr>
              <w:t xml:space="preserve"> (modul, </w:t>
            </w:r>
            <w:r>
              <w:rPr>
                <w:i/>
                <w:sz w:val="20"/>
              </w:rPr>
              <w:t>role</w:t>
            </w:r>
            <w:r>
              <w:rPr>
                <w:sz w:val="20"/>
              </w:rPr>
              <w:t xml:space="preserve">, </w:t>
            </w:r>
            <w:r>
              <w:rPr>
                <w:i/>
                <w:sz w:val="20"/>
              </w:rPr>
              <w:t>tier</w:t>
            </w:r>
            <w:r>
              <w:rPr>
                <w:sz w:val="20"/>
              </w:rPr>
              <w:t xml:space="preserve">, </w:t>
            </w:r>
            <w:r>
              <w:rPr>
                <w:i/>
                <w:sz w:val="20"/>
              </w:rPr>
              <w:t>token budget</w:t>
            </w:r>
            <w:r>
              <w:rPr>
                <w:sz w:val="20"/>
              </w:rPr>
              <w:t>) pada Pydantic AI</w:t>
            </w:r>
          </w:p>
        </w:tc>
        <w:tc>
          <w:tcPr>
            <w:tcW w:type="dxa" w:w="1587"/>
          </w:tcPr>
          <w:p>
            <w:pPr>
              <w:spacing w:line="240" w:lineRule="auto" w:after="0"/>
            </w:pPr>
            <w:r>
              <w:rPr>
                <w:sz w:val="20"/>
              </w:rPr>
            </w:r>
            <w:r>
              <w:rPr>
                <w:sz w:val="20"/>
              </w:rPr>
              <w:t xml:space="preserve">S1–S3 (30/100/300 </w:t>
            </w:r>
            <w:r>
              <w:rPr>
                <w:i/>
                <w:sz w:val="20"/>
              </w:rPr>
              <w:t>tool</w:t>
            </w:r>
            <w:r>
              <w:rPr>
                <w:sz w:val="20"/>
              </w:rPr>
              <w:t>)</w:t>
            </w:r>
          </w:p>
        </w:tc>
        <w:tc>
          <w:tcPr>
            <w:tcW w:type="dxa" w:w="1587"/>
          </w:tcPr>
          <w:p>
            <w:pPr>
              <w:spacing w:line="240" w:lineRule="auto" w:after="0"/>
            </w:pPr>
            <w:r>
              <w:rPr>
                <w:sz w:val="20"/>
              </w:rPr>
            </w:r>
            <w:r>
              <w:rPr>
                <w:i/>
                <w:sz w:val="20"/>
              </w:rPr>
              <w:t>Token</w:t>
            </w:r>
            <w:r>
              <w:rPr>
                <w:sz w:val="20"/>
              </w:rPr>
              <w:t xml:space="preserve"> (−63–95%), akurasi (+6,3 pp), Wilcoxon p&lt;0,0001, Cohen's d≥11</w:t>
            </w:r>
          </w:p>
        </w:tc>
      </w:tr>
    </w:tbl>
    <w:p>
      <w:pPr>
        <w:ind w:firstLine="720"/>
        <w:jc w:val="both"/>
      </w:pPr>
      <w:r>
        <w:t xml:space="preserve">Berdasarkan Tabel 2.1, mayoritas penelitian terdahulu berfokus pada pendekatan </w:t>
      </w:r>
      <w:r>
        <w:rPr>
          <w:i/>
        </w:rPr>
        <w:t>Tool RAG</w:t>
      </w:r>
      <w:r>
        <w:t xml:space="preserve"> berbasis </w:t>
      </w:r>
      <w:r>
        <w:rPr>
          <w:i/>
        </w:rPr>
        <w:t>embedding</w:t>
      </w:r>
      <w:r>
        <w:t xml:space="preserve"> atau </w:t>
      </w:r>
      <w:r>
        <w:rPr>
          <w:i/>
        </w:rPr>
        <w:t>fine-tuning</w:t>
      </w:r>
      <w:r>
        <w:t xml:space="preserve"> yang memerlukan infrastruktur vektor, sedangkan pendekatan berbasis metadata deterministik masih jarang dievaluasi secara kuantitatif. Adopsi industri seperti AWS Agent Registry membuktikan relevansi praktis konsep </w:t>
      </w:r>
      <w:r>
        <w:rPr>
          <w:i/>
        </w:rPr>
        <w:t>Tool Registry</w:t>
      </w:r>
      <w:r>
        <w:t xml:space="preserve">, namun tidak menyertakan pengukuran ilmiah yang dapat direplikasi. Dengan demikian, kebaruan penelitian ini terletak pada penyediaan </w:t>
      </w:r>
      <w:r>
        <w:rPr>
          <w:i/>
        </w:rPr>
        <w:t>baseline</w:t>
      </w:r>
      <w:r>
        <w:t xml:space="preserve"> kuantitatif pertama untuk Tool Registry deterministik berbasis metadata multi-kriteria pada kerangka Pydantic AI 1.x, lengkap dengan uji statistik atas penghematan token, akurasi pemilihan </w:t>
      </w:r>
      <w:r>
        <w:rPr>
          <w:i/>
        </w:rPr>
        <w:t>tool</w:t>
      </w:r>
      <w:r>
        <w:t xml:space="preserve">, dan sifat skalabilitas </w:t>
      </w:r>
      <w:r>
        <w:rPr>
          <w:i/>
        </w:rPr>
        <w:t>sub-linear</w:t>
      </w:r>
      <w:r>
        <w:t>-nya.</w:t>
      </w:r>
    </w:p>
    <w:p>
      <w:pPr>
        <w:keepNext/>
        <w:spacing w:before="240"/>
      </w:pPr>
      <w:r>
        <w:rPr>
          <w:b/>
        </w:rPr>
        <w:t>Referensi Bab II</w:t>
      </w:r>
    </w:p>
    <w:p>
      <w:pPr>
        <w:keepLines/>
        <w:spacing w:after="120"/>
        <w:ind w:left="567" w:hanging="567"/>
        <w:jc w:val="both"/>
      </w:pPr>
      <w:r>
        <w:t xml:space="preserve">[1] T. Schick, J. Dwivedi-Yu, R. Dessi, R. Raileanu, M. Lomeli, E. Hambro, L. Zettlemoyer, N. Cancedda, dan T. Scialom, "Toolformer: Language models can teach themselves to use tools," in </w:t>
      </w:r>
      <w:r>
        <w:rPr>
          <w:i/>
        </w:rPr>
        <w:t>Proc. Adv. Neural Inf. Process. Syst. (NeurIPS)</w:t>
      </w:r>
      <w:r>
        <w:t>, 2023. arXiv:2302.04761.</w:t>
      </w:r>
    </w:p>
    <w:p>
      <w:pPr>
        <w:keepLines/>
        <w:spacing w:after="120"/>
        <w:ind w:left="567" w:hanging="567"/>
        <w:jc w:val="both"/>
      </w:pPr>
      <w:r>
        <w:t xml:space="preserve">[2] S. Yao, J. Zhao, D. Yu, N. Du, I. Shafran, K. Narasimhan, dan Y. Cao, "ReAct: Synergizing reasoning and acting in language models," in </w:t>
      </w:r>
      <w:r>
        <w:rPr>
          <w:i/>
        </w:rPr>
        <w:t>Proc. Int. Conf. Learn. Representations (ICLR)</w:t>
      </w:r>
      <w:r>
        <w:t>, 2023. arXiv:2210.03629.</w:t>
      </w:r>
    </w:p>
    <w:p>
      <w:pPr>
        <w:keepLines/>
        <w:spacing w:after="120"/>
        <w:ind w:left="567" w:hanging="567"/>
        <w:jc w:val="both"/>
      </w:pPr>
      <w:r>
        <w:t xml:space="preserve">[3] OpenAI, "Function calling and other API updates," </w:t>
      </w:r>
      <w:r>
        <w:rPr>
          <w:i/>
        </w:rPr>
        <w:t>OpenAI Blog</w:t>
      </w:r>
      <w:r>
        <w:t>, Jun. 2023. [Online]. Tersedia: https://openai.com/index/function-calling-and-other-api-updates/</w:t>
      </w:r>
    </w:p>
    <w:p>
      <w:pPr>
        <w:keepLines/>
        <w:spacing w:after="120"/>
        <w:ind w:left="567" w:hanging="567"/>
        <w:jc w:val="both"/>
      </w:pPr>
      <w:r>
        <w:t xml:space="preserve">[4] Google DeepMind, "Gemini API function calling," </w:t>
      </w:r>
      <w:r>
        <w:rPr>
          <w:i/>
        </w:rPr>
        <w:t>Google AI Developer Documentation</w:t>
      </w:r>
      <w:r>
        <w:t>, 2024. [Online]. Tersedia: https://ai.google.dev/gemini-api/docs/function-calling</w:t>
      </w:r>
    </w:p>
    <w:p>
      <w:pPr>
        <w:keepLines/>
        <w:spacing w:after="120"/>
        <w:ind w:left="567" w:hanging="567"/>
        <w:jc w:val="both"/>
      </w:pPr>
      <w:r>
        <w:t xml:space="preserve">[5] N.F. Liu, K. Lin, J. Hewitt, A. Paranjape, M. Bevilacqua, F. Petroni, dan P. Liang, "Lost in the middle: How language models use long contexts," </w:t>
      </w:r>
      <w:r>
        <w:rPr>
          <w:i/>
        </w:rPr>
        <w:t>Trans. Assoc. Comput. Linguistics</w:t>
      </w:r>
      <w:r>
        <w:t>, vol. 12, pp. 157–173, 2024. arXiv:2307.03172.</w:t>
      </w:r>
    </w:p>
    <w:p>
      <w:pPr>
        <w:keepLines/>
        <w:spacing w:after="120"/>
        <w:ind w:left="567" w:hanging="567"/>
        <w:jc w:val="both"/>
      </w:pPr>
      <w:r>
        <w:t xml:space="preserve">[6] T.B. Lee, "Context rot: The emerging challenge that could hold back LLM progress," </w:t>
      </w:r>
      <w:r>
        <w:rPr>
          <w:i/>
        </w:rPr>
        <w:t>Understanding AI</w:t>
      </w:r>
      <w:r>
        <w:t xml:space="preserve"> (Newsletter), Nov. 2025. [Online]. Tersedia: https://www.understandingai.org/p/context-rot-the-emerging-challenge</w:t>
      </w:r>
    </w:p>
    <w:p>
      <w:pPr>
        <w:keepLines/>
        <w:spacing w:after="120"/>
        <w:ind w:left="567" w:hanging="567"/>
        <w:jc w:val="both"/>
      </w:pPr>
      <w:r>
        <w:t>[7] Anonymous, "Context length alone hurts LLM performance despite perfect retrieval," arXiv:2510.05381, 2025.</w:t>
      </w:r>
    </w:p>
    <w:p>
      <w:pPr>
        <w:keepLines/>
        <w:spacing w:after="120"/>
        <w:ind w:left="567" w:hanging="567"/>
        <w:jc w:val="both"/>
      </w:pPr>
      <w:r>
        <w:t xml:space="preserve">[8] P. Rajasekaran, E. Dixon, C. Ryan, dan J. Hadfield, "Effective context engineering for AI agents," </w:t>
      </w:r>
      <w:r>
        <w:rPr>
          <w:i/>
        </w:rPr>
        <w:t>Anthropic Engineering Blog</w:t>
      </w:r>
      <w:r>
        <w:t>, Sep. 2025.</w:t>
      </w:r>
    </w:p>
    <w:p>
      <w:pPr>
        <w:keepLines/>
        <w:spacing w:after="120"/>
        <w:ind w:left="567" w:hanging="567"/>
        <w:jc w:val="both"/>
      </w:pPr>
      <w:r>
        <w:t xml:space="preserve">[9] S.G. Patil, T. Zhang, X. Wang, dan J.E. Gonzalez, "Gorilla: Large language model connected with massive APIs," in </w:t>
      </w:r>
      <w:r>
        <w:rPr>
          <w:i/>
        </w:rPr>
        <w:t>Proc. Adv. Neural Inf. Process. Syst. (NeurIPS)</w:t>
      </w:r>
      <w:r>
        <w:t>, 2024. arXiv:2305.15334.</w:t>
      </w:r>
    </w:p>
    <w:p>
      <w:pPr>
        <w:keepLines/>
        <w:spacing w:after="120"/>
        <w:ind w:left="567" w:hanging="567"/>
        <w:jc w:val="both"/>
      </w:pPr>
      <w:r>
        <w:t xml:space="preserve">[10] Y. Qin et al., "ToolLLM: Facilitating large language models to master 16000+ real-world APIs," in </w:t>
      </w:r>
      <w:r>
        <w:rPr>
          <w:i/>
        </w:rPr>
        <w:t>Proc. Int. Conf. Learn. Representations (ICLR)</w:t>
      </w:r>
      <w:r>
        <w:t>, 2024. arXiv:2307.16789.</w:t>
      </w:r>
    </w:p>
    <w:p>
      <w:pPr>
        <w:keepLines/>
        <w:spacing w:after="120"/>
        <w:ind w:left="567" w:hanging="567"/>
        <w:jc w:val="both"/>
      </w:pPr>
      <w:r>
        <w:t>[11] E. Lumer, "Toolshed: Scale tool-equipped agents with advanced RAG-tool fusion and tool knowledge bases," arXiv:2410.14594, 2024.</w:t>
      </w:r>
    </w:p>
    <w:p>
      <w:pPr>
        <w:keepLines/>
        <w:spacing w:after="120"/>
        <w:ind w:left="567" w:hanging="567"/>
        <w:jc w:val="both"/>
      </w:pPr>
      <w:r>
        <w:t xml:space="preserve">[12] Y. Qu et al., "Towards completeness-oriented tool retrieval for large language models," in </w:t>
      </w:r>
      <w:r>
        <w:rPr>
          <w:i/>
        </w:rPr>
        <w:t>Proc. ACM Int. Conf. Inf. Knowl. Manag. (CIKM)</w:t>
      </w:r>
      <w:r>
        <w:t>, 2024. arXiv:2405.16089.</w:t>
      </w:r>
    </w:p>
    <w:p>
      <w:pPr>
        <w:keepLines/>
        <w:spacing w:after="120"/>
        <w:ind w:left="567" w:hanging="567"/>
        <w:jc w:val="both"/>
      </w:pPr>
      <w:r>
        <w:t xml:space="preserve">[13] S.G. Patil et al., "The Berkeley function calling leaderboard (BFCL): From tool use to agentic evaluation of large language models," in </w:t>
      </w:r>
      <w:r>
        <w:rPr>
          <w:i/>
        </w:rPr>
        <w:t>Proc. Int. Conf. Mach. Learn. (ICML)</w:t>
      </w:r>
      <w:r>
        <w:t>, 2025.</w:t>
      </w:r>
    </w:p>
    <w:p>
      <w:pPr>
        <w:keepLines/>
        <w:spacing w:after="120"/>
        <w:ind w:left="567" w:hanging="567"/>
        <w:jc w:val="both"/>
      </w:pPr>
      <w:r>
        <w:t>[14] N. Gaurav, A. Akarsh, A. Ranjan, dan M. Bajaj, "Dynamic ReAct: Scalable tool selection for large-scale MCP environments," arXiv:2509.20386, 2025.</w:t>
      </w:r>
    </w:p>
    <w:p>
      <w:pPr>
        <w:keepLines/>
        <w:spacing w:after="120"/>
        <w:ind w:left="567" w:hanging="567"/>
        <w:jc w:val="both"/>
      </w:pPr>
      <w:r>
        <w:t xml:space="preserve">[15] J. Jia dan Q. Li, "AutoTool: Efficient tool selection for large language model agents," in </w:t>
      </w:r>
      <w:r>
        <w:rPr>
          <w:i/>
        </w:rPr>
        <w:t>Proc. AAAI Conf. Artif. Intell. (AAAI)</w:t>
      </w:r>
      <w:r>
        <w:t>, 2026. arXiv:2511.14650.</w:t>
      </w:r>
    </w:p>
    <w:p>
      <w:pPr>
        <w:keepLines/>
        <w:spacing w:after="120"/>
        <w:ind w:left="567" w:hanging="567"/>
        <w:jc w:val="both"/>
      </w:pPr>
      <w:r>
        <w:t>[16] Anonymous, "ScaleMCP: Dynamic and auto-synchronizing model context protocol tools for LLM agents," arXiv:2505.06416, 2025.</w:t>
      </w:r>
    </w:p>
    <w:p>
      <w:pPr>
        <w:keepLines/>
        <w:spacing w:after="120"/>
        <w:ind w:left="567" w:hanging="567"/>
        <w:jc w:val="both"/>
      </w:pPr>
      <w:r>
        <w:t xml:space="preserve">[17] W. Wang, P. Niu, Z. Xu, et al., "MCP-Flow: Facilitating LLM agents to master real-world, diverse and scaling MCP tools," in </w:t>
      </w:r>
      <w:r>
        <w:rPr>
          <w:i/>
        </w:rPr>
        <w:t>Proc. Assoc. Comput. Linguistics (ACL)</w:t>
      </w:r>
      <w:r>
        <w:t>, 2026. arXiv:2510.24284.</w:t>
      </w:r>
    </w:p>
    <w:p>
      <w:pPr>
        <w:keepLines/>
        <w:spacing w:after="120"/>
        <w:ind w:left="567" w:hanging="567"/>
        <w:jc w:val="both"/>
      </w:pPr>
      <w:r>
        <w:t xml:space="preserve">[18] P. CN, "Build scalable AI agent systems using Amazon Bedrock agent registry," </w:t>
      </w:r>
      <w:r>
        <w:rPr>
          <w:i/>
        </w:rPr>
        <w:t>AWS Machine Learning Blog</w:t>
      </w:r>
      <w:r>
        <w:t>, Apr. 2026.</w:t>
      </w:r>
    </w:p>
    <w:p>
      <w:pPr>
        <w:keepLines/>
        <w:spacing w:after="120"/>
        <w:ind w:left="567" w:hanging="567"/>
        <w:jc w:val="both"/>
      </w:pPr>
      <w:r>
        <w:t xml:space="preserve">[19] TrueFoundry, "What is AI agent registry — A complete guide," </w:t>
      </w:r>
      <w:r>
        <w:rPr>
          <w:i/>
        </w:rPr>
        <w:t>TrueFoundry Blog</w:t>
      </w:r>
      <w:r>
        <w:t>, Sep. 2025. [Online]. Tersedia: https://www.truefoundry.com/blog/ai-agent-registry</w:t>
      </w:r>
    </w:p>
    <w:p>
      <w:pPr>
        <w:keepLines/>
        <w:spacing w:after="120"/>
        <w:ind w:left="567" w:hanging="567"/>
        <w:jc w:val="both"/>
      </w:pPr>
      <w:r>
        <w:t xml:space="preserve">[20] I. Kolchinsky, "Tool RAG: The next breakthrough in scalable AI agents," </w:t>
      </w:r>
      <w:r>
        <w:rPr>
          <w:i/>
        </w:rPr>
        <w:t>Red Hat Emerging Technologies Blog</w:t>
      </w:r>
      <w:r>
        <w:t>, Nov. 2025.</w:t>
      </w:r>
    </w:p>
    <w:p>
      <w:pPr>
        <w:keepLines/>
        <w:spacing w:after="120"/>
        <w:ind w:left="567" w:hanging="567"/>
        <w:jc w:val="both"/>
      </w:pPr>
      <w:r>
        <w:t xml:space="preserve">[21] Pydantic, "Pydantic AI — Toolsets," </w:t>
      </w:r>
      <w:r>
        <w:rPr>
          <w:i/>
        </w:rPr>
        <w:t>Pydantic AI Documentation</w:t>
      </w:r>
      <w:r>
        <w:t>, 2025. [Online]. Tersedia: https://ai.pydantic.dev/</w:t>
      </w:r>
    </w:p>
    <w:p>
      <w:pPr>
        <w:keepLines/>
        <w:spacing w:after="120"/>
        <w:ind w:left="567" w:hanging="567"/>
        <w:jc w:val="both"/>
      </w:pPr>
      <w:r>
        <w:t xml:space="preserve">[22] A.R. Hevner, S.T. March, J. Park, dan S. Ram, "Design science in information systems research," </w:t>
      </w:r>
      <w:r>
        <w:rPr>
          <w:i/>
        </w:rPr>
        <w:t>MIS Quarterly</w:t>
      </w:r>
      <w:r>
        <w:t>, vol. 28, no. 1, pp. 75–105, Mar. 2004.</w:t>
      </w:r>
    </w:p>
    <w:p>
      <w:pPr>
        <w:keepLines/>
        <w:spacing w:after="120"/>
        <w:ind w:left="567" w:hanging="567"/>
        <w:jc w:val="both"/>
      </w:pPr>
      <w:r>
        <w:t xml:space="preserve">[23] C. Richardson, "Pattern: API gateway / Backends for frontends," </w:t>
      </w:r>
      <w:r>
        <w:rPr>
          <w:i/>
        </w:rPr>
        <w:t>microservices.io</w:t>
      </w:r>
      <w:r>
        <w:t>, 2014–2025. [Online]. Tersedia: https://microservices.io/patterns/apigateway.html</w:t>
      </w:r>
    </w:p>
    <w:p>
      <w:r>
        <w:br w:type="page"/>
      </w:r>
    </w:p>
    <w:p>
      <w:pPr>
        <w:pStyle w:val="Heading1"/>
      </w:pPr>
      <w:r>
        <w:t>BAB III IMPLEMENTASI METODE USULAN</w:t>
      </w:r>
    </w:p>
    <w:p>
      <w:r>
        <w:rPr>
          <w:b/>
          <w:i/>
        </w:rPr>
        <w:t>[BAB III BELUM DITULIS]</w:t>
      </w:r>
    </w:p>
    <w:p>
      <w:pPr>
        <w:jc w:val="both"/>
      </w:pPr>
      <w:r>
        <w:t>Rencana sub-bab (mengikuti sistematika UNSIA untuk skema Tugas Akhir Prototype):</w:t>
      </w:r>
    </w:p>
    <w:p>
      <w:pPr>
        <w:pStyle w:val="Heading2"/>
      </w:pPr>
      <w:r>
        <w:t>3.1 Analisis Sistem Eksisting</w:t>
      </w:r>
    </w:p>
    <w:p>
      <w:pPr>
        <w:ind w:firstLine="720"/>
      </w:pPr>
      <w:r>
        <w:rPr>
          <w:i/>
        </w:rPr>
        <w:t>[konten belum ditulis]</w:t>
      </w:r>
    </w:p>
    <w:p>
      <w:pPr>
        <w:pStyle w:val="Heading2"/>
      </w:pPr>
      <w:r>
        <w:t>3.2 Perancangan Tool Registry</w:t>
      </w:r>
    </w:p>
    <w:p>
      <w:pPr>
        <w:ind w:firstLine="720"/>
      </w:pPr>
      <w:r>
        <w:rPr>
          <w:i/>
        </w:rPr>
        <w:t>[konten belum ditulis]</w:t>
      </w:r>
    </w:p>
    <w:p>
      <w:pPr>
        <w:pStyle w:val="Heading2"/>
      </w:pPr>
      <w:r>
        <w:t>3.3 Perancangan Eval Framework</w:t>
      </w:r>
    </w:p>
    <w:p>
      <w:pPr>
        <w:ind w:firstLine="720"/>
      </w:pPr>
      <w:r>
        <w:rPr>
          <w:i/>
        </w:rPr>
        <w:t>[konten belum ditulis]</w:t>
      </w:r>
    </w:p>
    <w:p>
      <w:pPr>
        <w:pStyle w:val="Heading2"/>
      </w:pPr>
      <w:r>
        <w:t>3.4 Implementasi Tool Registry</w:t>
      </w:r>
    </w:p>
    <w:p>
      <w:pPr>
        <w:ind w:firstLine="720"/>
      </w:pPr>
      <w:r>
        <w:rPr>
          <w:i/>
        </w:rPr>
        <w:t>[konten belum ditulis]</w:t>
      </w:r>
    </w:p>
    <w:p>
      <w:pPr>
        <w:pStyle w:val="Heading2"/>
      </w:pPr>
      <w:r>
        <w:t>3.5 Implementasi Eval Runner</w:t>
      </w:r>
    </w:p>
    <w:p>
      <w:pPr>
        <w:ind w:firstLine="720"/>
      </w:pPr>
      <w:r>
        <w:rPr>
          <w:i/>
        </w:rPr>
        <w:t>[konten belum ditulis]</w:t>
      </w:r>
    </w:p>
    <w:p>
      <w:pPr>
        <w:pStyle w:val="Heading2"/>
      </w:pPr>
      <w:r>
        <w:t>3.6 Setup Eksperimen</w:t>
      </w:r>
    </w:p>
    <w:p>
      <w:pPr>
        <w:ind w:firstLine="720"/>
      </w:pPr>
      <w:r>
        <w:rPr>
          <w:i/>
        </w:rPr>
        <w:t>[konten belum ditulis]</w:t>
      </w:r>
    </w:p>
    <w:p>
      <w:r>
        <w:br w:type="page"/>
      </w:r>
    </w:p>
    <w:p>
      <w:pPr>
        <w:pStyle w:val="Heading1"/>
      </w:pPr>
      <w:r>
        <w:t>BAB IV HASIL DAN ANALISA</w:t>
      </w:r>
    </w:p>
    <w:p>
      <w:r>
        <w:rPr>
          <w:b/>
          <w:i/>
        </w:rPr>
        <w:t>[BAB IV BELUM DITULIS]</w:t>
      </w:r>
    </w:p>
    <w:p>
      <w:pPr>
        <w:jc w:val="both"/>
      </w:pPr>
      <w:r>
        <w:t>Rencana sub-bab (mengikuti sistematika UNSIA untuk skema Tugas Akhir Prototype):</w:t>
      </w:r>
    </w:p>
    <w:p>
      <w:pPr>
        <w:pStyle w:val="Heading2"/>
      </w:pPr>
      <w:r>
        <w:t>4.1 Hasil Benchmark Synthetic S1–S4</w:t>
      </w:r>
    </w:p>
    <w:p>
      <w:pPr>
        <w:ind w:firstLine="720"/>
      </w:pPr>
      <w:r>
        <w:rPr>
          <w:i/>
        </w:rPr>
        <w:t>[konten belum ditulis]</w:t>
      </w:r>
    </w:p>
    <w:p>
      <w:pPr>
        <w:pStyle w:val="Heading2"/>
      </w:pPr>
      <w:r>
        <w:t>4.2 Hasil Gemini Native v2 (Hasil Resmi)</w:t>
      </w:r>
    </w:p>
    <w:p>
      <w:pPr>
        <w:ind w:firstLine="720"/>
      </w:pPr>
      <w:r>
        <w:rPr>
          <w:i/>
        </w:rPr>
        <w:t>[konten belum ditulis]</w:t>
      </w:r>
    </w:p>
    <w:p>
      <w:pPr>
        <w:pStyle w:val="Heading2"/>
      </w:pPr>
      <w:r>
        <w:t>4.3 Analisis Token Reduction</w:t>
      </w:r>
    </w:p>
    <w:p>
      <w:pPr>
        <w:ind w:firstLine="720"/>
      </w:pPr>
      <w:r>
        <w:rPr>
          <w:i/>
        </w:rPr>
        <w:t>[konten belum ditulis]</w:t>
      </w:r>
    </w:p>
    <w:p>
      <w:pPr>
        <w:pStyle w:val="Heading2"/>
      </w:pPr>
      <w:r>
        <w:t>4.4 Analisis Tool Selection Accuracy</w:t>
      </w:r>
    </w:p>
    <w:p>
      <w:pPr>
        <w:ind w:firstLine="720"/>
      </w:pPr>
      <w:r>
        <w:rPr>
          <w:i/>
        </w:rPr>
        <w:t>[konten belum ditulis]</w:t>
      </w:r>
    </w:p>
    <w:p>
      <w:pPr>
        <w:pStyle w:val="Heading2"/>
      </w:pPr>
      <w:r>
        <w:t>4.5 Analisis Sub-linear Scalability</w:t>
      </w:r>
    </w:p>
    <w:p>
      <w:pPr>
        <w:ind w:firstLine="720"/>
      </w:pPr>
      <w:r>
        <w:rPr>
          <w:i/>
        </w:rPr>
        <w:t>[konten belum ditulis]</w:t>
      </w:r>
    </w:p>
    <w:p>
      <w:pPr>
        <w:pStyle w:val="Heading2"/>
      </w:pPr>
      <w:r>
        <w:t>4.6 Analisis Memory Footprint</w:t>
      </w:r>
    </w:p>
    <w:p>
      <w:pPr>
        <w:ind w:firstLine="720"/>
      </w:pPr>
      <w:r>
        <w:rPr>
          <w:i/>
        </w:rPr>
        <w:t>[konten belum ditulis]</w:t>
      </w:r>
    </w:p>
    <w:p>
      <w:pPr>
        <w:pStyle w:val="Heading2"/>
      </w:pPr>
      <w:r>
        <w:t>4.7 Analisis Latency</w:t>
      </w:r>
    </w:p>
    <w:p>
      <w:pPr>
        <w:ind w:firstLine="720"/>
      </w:pPr>
      <w:r>
        <w:rPr>
          <w:i/>
        </w:rPr>
        <w:t>[konten belum ditulis]</w:t>
      </w:r>
    </w:p>
    <w:p>
      <w:pPr>
        <w:pStyle w:val="Heading2"/>
      </w:pPr>
      <w:r>
        <w:t>4.8 Uji Statistik</w:t>
      </w:r>
    </w:p>
    <w:p>
      <w:pPr>
        <w:ind w:firstLine="720"/>
      </w:pPr>
      <w:r>
        <w:rPr>
          <w:i/>
        </w:rPr>
        <w:t>[konten belum ditulis]</w:t>
      </w:r>
    </w:p>
    <w:p>
      <w:pPr>
        <w:pStyle w:val="Heading2"/>
      </w:pPr>
      <w:r>
        <w:t>4.9 Failure Analysis</w:t>
      </w:r>
    </w:p>
    <w:p>
      <w:pPr>
        <w:ind w:firstLine="720"/>
      </w:pPr>
      <w:r>
        <w:rPr>
          <w:i/>
        </w:rPr>
        <w:t>[konten belum ditulis]</w:t>
      </w:r>
    </w:p>
    <w:p>
      <w:pPr>
        <w:pStyle w:val="Heading2"/>
      </w:pPr>
      <w:r>
        <w:t>4.10 Validasi Multi-model</w:t>
      </w:r>
    </w:p>
    <w:p>
      <w:pPr>
        <w:ind w:firstLine="720"/>
      </w:pPr>
      <w:r>
        <w:rPr>
          <w:i/>
        </w:rPr>
        <w:t>[konten belum ditulis]</w:t>
      </w:r>
    </w:p>
    <w:p>
      <w:r>
        <w:br w:type="page"/>
      </w:r>
    </w:p>
    <w:p>
      <w:pPr>
        <w:pStyle w:val="Heading1"/>
      </w:pPr>
      <w:r>
        <w:t>BAB V KESIMPULAN</w:t>
      </w:r>
    </w:p>
    <w:p>
      <w:r>
        <w:rPr>
          <w:b/>
          <w:i/>
        </w:rPr>
        <w:t>[BAB V BELUM DITULIS]</w:t>
      </w:r>
    </w:p>
    <w:p>
      <w:pPr>
        <w:jc w:val="both"/>
      </w:pPr>
      <w:r>
        <w:t>Rencana sub-bab (mengikuti sistematika UNSIA untuk skema Tugas Akhir Prototype):</w:t>
      </w:r>
    </w:p>
    <w:p>
      <w:pPr>
        <w:pStyle w:val="Heading2"/>
      </w:pPr>
      <w:r>
        <w:t>5.1 Kesimpulan</w:t>
      </w:r>
    </w:p>
    <w:p>
      <w:pPr>
        <w:ind w:firstLine="720"/>
      </w:pPr>
      <w:r>
        <w:rPr>
          <w:i/>
        </w:rPr>
        <w:t>[konten belum ditulis]</w:t>
      </w:r>
    </w:p>
    <w:p>
      <w:pPr>
        <w:pStyle w:val="Heading2"/>
      </w:pPr>
      <w:r>
        <w:t>5.2 Saran / Future Work</w:t>
      </w:r>
    </w:p>
    <w:p>
      <w:pPr>
        <w:ind w:firstLine="720"/>
      </w:pPr>
      <w:r>
        <w:rPr>
          <w:i/>
        </w:rPr>
        <w:t>[konten belum ditulis]</w:t>
      </w:r>
    </w:p>
    <w:p>
      <w:r>
        <w:br w:type="page"/>
      </w:r>
    </w:p>
    <w:p>
      <w:pPr>
        <w:pStyle w:val="Heading1"/>
      </w:pPr>
      <w:r>
        <w:t>DAFTAR PUSTAKA</w:t>
      </w:r>
    </w:p>
    <w:p>
      <w:r>
        <w:rPr>
          <w:i/>
        </w:rPr>
        <w:t>[PLACEHOLDER — daftar pustaka final dikonsolidasikan dari seluruh referensi per-bab menjadi satu daftar IEEE berurutan sesuai kemunculan pertama di naskah, dikelola dengan Mendeley/Zotero. Saat ini referensi masih tercantum di akhir tiap bab.]</w:t>
      </w:r>
    </w:p>
    <w:p>
      <w:r>
        <w:br w:type="page"/>
      </w:r>
    </w:p>
    <w:p>
      <w:pPr>
        <w:pStyle w:val="Heading1"/>
      </w:pPr>
      <w:r>
        <w:t>LAMPIRAN</w:t>
      </w:r>
    </w:p>
    <w:p>
      <w:pPr>
        <w:pStyle w:val="Heading2"/>
      </w:pPr>
      <w:r>
        <w:t>Lampiran A: Source Code Tool Registry (cuplikan kunci)</w:t>
      </w:r>
    </w:p>
    <w:p>
      <w:pPr>
        <w:ind w:firstLine="720"/>
      </w:pPr>
      <w:r>
        <w:rPr>
          <w:i/>
        </w:rPr>
        <w:t>[konten belum dilampirkan]</w:t>
      </w:r>
    </w:p>
    <w:p>
      <w:pPr>
        <w:pStyle w:val="Heading2"/>
      </w:pPr>
      <w:r>
        <w:t>Lampiran B: Dataset 100 Query (JSON)</w:t>
      </w:r>
    </w:p>
    <w:p>
      <w:pPr>
        <w:ind w:firstLine="720"/>
      </w:pPr>
      <w:r>
        <w:rPr>
          <w:i/>
        </w:rPr>
        <w:t>[konten belum dilampirkan]</w:t>
      </w:r>
    </w:p>
    <w:p>
      <w:pPr>
        <w:pStyle w:val="Heading2"/>
      </w:pPr>
      <w:r>
        <w:t>Lampiran C: Raw Results CSV</w:t>
      </w:r>
    </w:p>
    <w:p>
      <w:pPr>
        <w:ind w:firstLine="720"/>
      </w:pPr>
      <w:r>
        <w:rPr>
          <w:i/>
        </w:rPr>
        <w:t>[konten belum dilampirkan]</w:t>
      </w:r>
    </w:p>
    <w:p>
      <w:pPr>
        <w:pStyle w:val="Heading2"/>
      </w:pPr>
      <w:r>
        <w:t>Lampiran D: Script Analisis Statistik (Python)</w:t>
      </w:r>
    </w:p>
    <w:p>
      <w:pPr>
        <w:ind w:firstLine="720"/>
      </w:pPr>
      <w:r>
        <w:rPr>
          <w:i/>
        </w:rPr>
        <w:t>[konten belum dilampirkan]</w:t>
      </w:r>
    </w:p>
    <w:p>
      <w:pPr>
        <w:pStyle w:val="Heading2"/>
      </w:pPr>
      <w:r>
        <w:t>Lampiran E: Bukti Similarity Check Turnitin (≤30%)</w:t>
      </w:r>
    </w:p>
    <w:p>
      <w:pPr>
        <w:ind w:firstLine="720"/>
      </w:pPr>
      <w:r>
        <w:rPr>
          <w:i/>
        </w:rPr>
        <w:t>[konten belum dilampirkan]</w:t>
      </w:r>
    </w:p>
    <w:sectPr w:rsidR="00FC693F" w:rsidRPr="0006063C" w:rsidSect="00034616">
      <w:footerReference w:type="default" r:id="rId11"/>
      <w:pgSz w:w="11906" w:h="16838"/>
      <w:pgMar w:top="1701" w:right="1701" w:bottom="1701" w:left="2268"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center"/>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120"/>
      <w:jc w:val="center"/>
    </w:pPr>
    <w:rPr>
      <w:rFonts w:ascii="Times New Roman" w:hAnsi="Times New Roman"/>
      <w:b w:val="0"/>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