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i w:val="0"/>
          <w:sz w:val="32"/>
        </w:rPr>
        <w:t>TUGAS AKHIR</w:t>
      </w:r>
    </w:p>
    <w:p>
      <w:pPr>
        <w:spacing w:after="0"/>
        <w:jc w:val="center"/>
      </w:pPr>
      <w:r>
        <w:rPr>
          <w:b w:val="0"/>
          <w:i w:val="0"/>
          <w:sz w:val="32"/>
        </w:rPr>
      </w:r>
    </w:p>
    <w:p>
      <w:pPr>
        <w:spacing w:after="0"/>
        <w:jc w:val="center"/>
      </w:pPr>
      <w:r>
        <w:rPr>
          <w:b/>
          <w:i w:val="0"/>
          <w:sz w:val="32"/>
        </w:rPr>
        <w:t>IMPLEMENTASI DAN EVALUASI TOOL REGISTRY UNTUK</w:t>
      </w:r>
    </w:p>
    <w:p>
      <w:pPr>
        <w:spacing w:after="0"/>
        <w:jc w:val="center"/>
      </w:pPr>
      <w:r>
        <w:rPr>
          <w:b/>
          <w:i w:val="0"/>
          <w:sz w:val="32"/>
        </w:rPr>
        <w:t>SKALABILITAS AI AGENT MULTI-MODUL PADA PLATFORM</w:t>
      </w:r>
    </w:p>
    <w:p>
      <w:pPr>
        <w:spacing w:after="0"/>
        <w:jc w:val="center"/>
      </w:pPr>
      <w:r>
        <w:rPr>
          <w:b/>
          <w:i w:val="0"/>
          <w:sz w:val="32"/>
        </w:rPr>
        <w:t>ERP RESTORAN ZERLO.ID</w:t>
      </w:r>
    </w:p>
    <w:p>
      <w:pPr>
        <w:spacing w:after="0"/>
        <w:jc w:val="center"/>
      </w:pPr>
      <w:r>
        <w:rPr>
          <w:b w:val="0"/>
          <w:i w:val="0"/>
          <w:sz w:val="24"/>
        </w:rPr>
      </w:r>
    </w:p>
    <w:p>
      <w:pPr>
        <w:spacing w:after="0"/>
        <w:jc w:val="center"/>
      </w:pPr>
      <w:r>
        <w:rPr>
          <w:b w:val="0"/>
          <w:i w:val="0"/>
          <w:sz w:val="24"/>
        </w:rPr>
      </w:r>
    </w:p>
    <w:p>
      <w:pPr>
        <w:spacing w:after="0"/>
        <w:jc w:val="center"/>
      </w:pPr>
      <w:r>
        <w:rPr>
          <w:b w:val="0"/>
          <w:i w:val="0"/>
          <w:sz w:val="24"/>
        </w:rPr>
      </w:r>
    </w:p>
    <w:p>
      <w:pPr>
        <w:spacing w:after="0"/>
        <w:jc w:val="center"/>
      </w:pPr>
      <w:r>
        <w:rPr>
          <w:b w:val="0"/>
          <w:i w:val="0"/>
          <w:sz w:val="28"/>
        </w:rPr>
        <w:t>Sebagai Salah Satu Syarat untuk Memperoleh Gelar Sarjana Komputer pada</w:t>
      </w:r>
    </w:p>
    <w:p>
      <w:pPr>
        <w:spacing w:after="0"/>
        <w:jc w:val="center"/>
      </w:pPr>
      <w:r>
        <w:rPr>
          <w:b w:val="0"/>
          <w:i w:val="0"/>
          <w:sz w:val="28"/>
        </w:rPr>
        <w:t>Program Studi Sistem Informasi</w:t>
      </w:r>
    </w:p>
    <w:p>
      <w:pPr>
        <w:spacing w:after="0"/>
        <w:jc w:val="center"/>
      </w:pPr>
      <w:r>
        <w:rPr>
          <w:b w:val="0"/>
          <w:i w:val="0"/>
          <w:sz w:val="24"/>
        </w:rPr>
      </w:r>
    </w:p>
    <w:p>
      <w:pPr>
        <w:jc w:val="center"/>
      </w:pPr>
      <w:r>
        <w:drawing>
          <wp:inline xmlns:a="http://schemas.openxmlformats.org/drawingml/2006/main" xmlns:pic="http://schemas.openxmlformats.org/drawingml/2006/picture">
            <wp:extent cx="1260000" cy="1262972"/>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1260000" cy="1262972"/>
                    </a:xfrm>
                    <a:prstGeom prst="rect"/>
                  </pic:spPr>
                </pic:pic>
              </a:graphicData>
            </a:graphic>
          </wp:inline>
        </w:drawing>
      </w:r>
    </w:p>
    <w:p>
      <w:pPr>
        <w:spacing w:after="0"/>
        <w:jc w:val="center"/>
      </w:pPr>
      <w:r>
        <w:rPr>
          <w:b w:val="0"/>
          <w:i w:val="0"/>
          <w:sz w:val="24"/>
        </w:rPr>
      </w:r>
    </w:p>
    <w:p>
      <w:pPr>
        <w:spacing w:after="0"/>
        <w:jc w:val="center"/>
      </w:pPr>
      <w:r>
        <w:rPr>
          <w:b/>
          <w:i w:val="0"/>
          <w:sz w:val="24"/>
        </w:rPr>
        <w:t>Oleh :</w:t>
      </w:r>
    </w:p>
    <w:p>
      <w:pPr>
        <w:spacing w:after="0"/>
        <w:jc w:val="center"/>
      </w:pPr>
      <w:r>
        <w:rPr>
          <w:b/>
          <w:i w:val="0"/>
          <w:sz w:val="24"/>
        </w:rPr>
        <w:t>220101010009, Muhammadridwan</w:t>
      </w:r>
    </w:p>
    <w:p>
      <w:pPr>
        <w:spacing w:after="0"/>
        <w:jc w:val="center"/>
      </w:pPr>
      <w:r>
        <w:rPr>
          <w:b w:val="0"/>
          <w:i w:val="0"/>
          <w:sz w:val="24"/>
        </w:rPr>
      </w:r>
    </w:p>
    <w:p>
      <w:pPr>
        <w:spacing w:after="0"/>
        <w:jc w:val="center"/>
      </w:pPr>
      <w:r>
        <w:rPr>
          <w:b w:val="0"/>
          <w:i w:val="0"/>
          <w:sz w:val="24"/>
        </w:rPr>
      </w:r>
    </w:p>
    <w:p>
      <w:pPr>
        <w:spacing w:after="0"/>
        <w:jc w:val="center"/>
      </w:pPr>
      <w:r>
        <w:rPr>
          <w:b/>
          <w:i w:val="0"/>
          <w:sz w:val="28"/>
        </w:rPr>
        <w:t>PROGRAM STUDI PJJ SISTEM INFORMASI</w:t>
      </w:r>
    </w:p>
    <w:p>
      <w:pPr>
        <w:spacing w:after="0"/>
        <w:jc w:val="center"/>
      </w:pPr>
      <w:r>
        <w:rPr>
          <w:b/>
          <w:i w:val="0"/>
          <w:sz w:val="28"/>
        </w:rPr>
        <w:t>UNIVERSITAS SIBER ASIA</w:t>
      </w:r>
    </w:p>
    <w:p>
      <w:pPr>
        <w:spacing w:after="0"/>
        <w:jc w:val="center"/>
      </w:pPr>
      <w:r>
        <w:rPr>
          <w:b/>
          <w:i w:val="0"/>
          <w:sz w:val="28"/>
        </w:rPr>
        <w:t>Juni 2026</w:t>
      </w:r>
    </w:p>
    <w:p>
      <w:pPr>
        <w:sectPr>
          <w:pgSz w:w="11906" w:h="16838"/>
          <w:pgMar w:top="1701" w:right="1701" w:bottom="1701" w:left="2268" w:header="720" w:footer="720" w:gutter="0"/>
          <w:cols w:space="720"/>
          <w:docGrid w:linePitch="360"/>
        </w:sectPr>
      </w:pPr>
    </w:p>
    <w:p>
      <w:pPr>
        <w:pStyle w:val="Heading1"/>
      </w:pPr>
      <w:r>
        <w:t>HALAMAN PERNYATAAN ORISINALITAS</w:t>
      </w:r>
    </w:p>
    <w:p>
      <w:pPr>
        <w:spacing w:after="0"/>
        <w:jc w:val="center"/>
      </w:pPr>
      <w:r>
        <w:rPr>
          <w:b w:val="0"/>
          <w:i w:val="0"/>
          <w:sz w:val="24"/>
        </w:rPr>
      </w:r>
    </w:p>
    <w:p>
      <w:pPr>
        <w:jc w:val="both"/>
      </w:pPr>
      <w:r>
        <w:t>Yang bertanda tangan di bawah ini:</w:t>
      </w:r>
    </w:p>
    <w:p>
      <w:r>
        <w:rPr>
          <w:b w:val="0"/>
        </w:rPr>
        <w:t>Nama</w:t>
      </w:r>
      <w:r>
        <w:tab/>
        <w:t xml:space="preserve">: </w:t>
      </w:r>
      <w:r>
        <w:t>Muhammadridwan</w:t>
      </w:r>
    </w:p>
    <w:p>
      <w:r>
        <w:rPr>
          <w:b w:val="0"/>
        </w:rPr>
        <w:t>NIM</w:t>
      </w:r>
      <w:r>
        <w:tab/>
        <w:t xml:space="preserve">: </w:t>
      </w:r>
      <w:r>
        <w:t>220101010009</w:t>
      </w:r>
    </w:p>
    <w:p>
      <w:r>
        <w:rPr>
          <w:b w:val="0"/>
        </w:rPr>
        <w:t>Judul Tugas Akhir</w:t>
      </w:r>
      <w:r>
        <w:tab/>
        <w:t xml:space="preserve">: </w:t>
      </w:r>
      <w:r>
        <w:t>IMPLEMENTASI DAN EVALUASI TOOL REGISTRY UNTUK SKALABILITAS AI AGENT MULTI-MODUL PADA PLATFORM ERP RESTORAN ZERLO.ID</w:t>
      </w:r>
    </w:p>
    <w:p>
      <w:pPr>
        <w:spacing w:after="0"/>
        <w:jc w:val="center"/>
      </w:pPr>
      <w:r>
        <w:rPr>
          <w:b w:val="0"/>
          <w:i w:val="0"/>
          <w:sz w:val="24"/>
        </w:rPr>
      </w:r>
    </w:p>
    <w:p>
      <w:pPr>
        <w:ind w:firstLine="720"/>
        <w:jc w:val="both"/>
      </w:pPr>
      <w:r>
        <w:t>Menyatakan dengan sesungguhnya bahwa Tugas Akhir ini merupakan hasil penelitian, pemikiran, dan pemaparan asli penulis sendiri. Penulis tidak mencantumkan tanpa pengakuan bahan-bahan yang telah dipublikasikan sebelumnya atau ditulis oleh orang lain, atau sebagai bahan yang pernah diajukan untuk gelar atau ijazah pada Universitas Siber Asia atau Perguruan Tinggi lainnya.</w:t>
      </w:r>
    </w:p>
    <w:p>
      <w:pPr>
        <w:ind w:firstLine="720"/>
        <w:jc w:val="both"/>
      </w:pPr>
      <w:r>
        <w:t>Apabila di kemudian hari terdapat penyimpangan dan ketidakbenaran dalam pernyataan ini, maka penulis bersedia menerima sanksi akademik sesuai dengan peraturan yang berlaku di Universitas Siber Asia.</w:t>
      </w:r>
    </w:p>
    <w:p>
      <w:pPr>
        <w:jc w:val="both"/>
      </w:pPr>
      <w:r>
        <w:t>Demikian pernyataan ini penulis buat.</w:t>
      </w:r>
    </w:p>
    <w:p>
      <w:pPr>
        <w:spacing w:after="0"/>
        <w:jc w:val="center"/>
      </w:pPr>
      <w:r>
        <w:rPr>
          <w:b w:val="0"/>
          <w:i w:val="0"/>
          <w:sz w:val="24"/>
        </w:rPr>
      </w:r>
    </w:p>
    <w:p>
      <w:pPr>
        <w:jc w:val="both"/>
      </w:pPr>
      <w:r>
        <w:t>Jakarta, ___/___/______</w:t>
      </w:r>
    </w:p>
    <w:p>
      <w:pPr>
        <w:jc w:val="both"/>
      </w:pPr>
      <w:r>
        <w:t>Yang membuat pernyataan,</w:t>
      </w:r>
    </w:p>
    <w:p>
      <w:pPr>
        <w:jc w:val="both"/>
      </w:pPr>
    </w:p>
    <w:p>
      <w:pPr>
        <w:jc w:val="both"/>
      </w:pPr>
    </w:p>
    <w:p>
      <w:pPr>
        <w:jc w:val="both"/>
      </w:pPr>
      <w:r>
        <w:t>(materai Rp10.000,-)</w:t>
      </w:r>
    </w:p>
    <w:p>
      <w:pPr>
        <w:spacing w:after="0"/>
        <w:jc w:val="center"/>
      </w:pPr>
      <w:r>
        <w:rPr>
          <w:b w:val="0"/>
          <w:i w:val="0"/>
          <w:sz w:val="24"/>
        </w:rPr>
      </w:r>
    </w:p>
    <w:p>
      <w:pPr>
        <w:jc w:val="both"/>
      </w:pPr>
      <w:r>
        <w:t>Muhammadridwan</w:t>
      </w:r>
    </w:p>
    <w:p>
      <w:r>
        <w:br w:type="page"/>
      </w:r>
    </w:p>
    <w:p>
      <w:pPr>
        <w:pStyle w:val="Heading1"/>
      </w:pPr>
      <w:r>
        <w:t>HALAMAN PENGESAHAN</w:t>
      </w:r>
    </w:p>
    <w:p>
      <w:pPr>
        <w:spacing w:after="0"/>
        <w:jc w:val="center"/>
      </w:pPr>
      <w:r>
        <w:rPr>
          <w:b w:val="0"/>
          <w:i w:val="0"/>
          <w:sz w:val="24"/>
        </w:rPr>
      </w:r>
    </w:p>
    <w:p>
      <w:pPr>
        <w:jc w:val="both"/>
      </w:pPr>
      <w:r>
        <w:t>Tugas Akhir ini diajukan oleh:</w:t>
      </w:r>
    </w:p>
    <w:p>
      <w:pPr>
        <w:ind w:left="567"/>
      </w:pPr>
      <w:r>
        <w:t>Nama</w:t>
      </w:r>
      <w:r>
        <w:tab/>
        <w:t xml:space="preserve">: </w:t>
      </w:r>
      <w:r>
        <w:t>Muhammadridwan</w:t>
      </w:r>
    </w:p>
    <w:p>
      <w:pPr>
        <w:ind w:left="567"/>
      </w:pPr>
      <w:r>
        <w:t>NIM</w:t>
      </w:r>
      <w:r>
        <w:tab/>
        <w:t xml:space="preserve">: </w:t>
      </w:r>
      <w:r>
        <w:t>220101010009</w:t>
      </w:r>
    </w:p>
    <w:p>
      <w:pPr>
        <w:ind w:left="567"/>
      </w:pPr>
      <w:r>
        <w:t>Program Studi</w:t>
      </w:r>
      <w:r>
        <w:tab/>
        <w:t xml:space="preserve">: </w:t>
      </w:r>
      <w:r>
        <w:t>Sistem Informasi</w:t>
      </w:r>
    </w:p>
    <w:p>
      <w:pPr>
        <w:ind w:left="567"/>
      </w:pPr>
      <w:r>
        <w:t>Judul Tugas Akhir</w:t>
      </w:r>
      <w:r>
        <w:tab/>
        <w:t xml:space="preserve">: </w:t>
      </w:r>
      <w:r>
        <w:t>IMPLEMENTASI DAN EVALUASI TOOL REGISTRY UNTUK SKALABILITAS AI AGENT MULTI-MODUL PADA PLATFORM ERP RESTORAN ZERLO.ID</w:t>
      </w:r>
    </w:p>
    <w:p>
      <w:pPr>
        <w:ind w:firstLine="720"/>
        <w:jc w:val="both"/>
      </w:pPr>
      <w:r>
        <w:t>Telah berhasil dipertahankan di hadapan Dewan Penguji dan diterima sebagai bagian persyaratan yang diperlukan untuk memperoleh gelar Sarjana Komputer pada Program Studi Sistem Informasi Universitas Siber Asia.</w:t>
      </w:r>
    </w:p>
    <w:p>
      <w:pPr>
        <w:spacing w:after="0"/>
        <w:jc w:val="center"/>
      </w:pPr>
      <w:r>
        <w:rPr>
          <w:b w:val="0"/>
          <w:i w:val="0"/>
          <w:sz w:val="24"/>
        </w:rPr>
      </w:r>
    </w:p>
    <w:tbl>
      <w:tblPr>
        <w:tblW w:type="auto" w:w="0"/>
        <w:jc w:val="center"/>
        <w:tblLook w:firstColumn="1" w:firstRow="1" w:lastColumn="0" w:lastRow="0" w:noHBand="0" w:noVBand="1" w:val="04A0"/>
      </w:tblPr>
      <w:tblGrid>
        <w:gridCol w:w="3968"/>
        <w:gridCol w:w="3968"/>
      </w:tblGrid>
      <w:tr>
        <w:trPr>
          <w:cantSplit/>
        </w:trPr>
        <w:tc>
          <w:tcPr>
            <w:tcW w:type="dxa" w:w="3968"/>
          </w:tcPr>
          <w:p>
            <w:pPr>
              <w:jc w:val="center"/>
            </w:pPr>
            <w:r>
              <w:t>Ketua Sidang / Dosen Penguji I</w:t>
            </w:r>
          </w:p>
        </w:tc>
        <w:tc>
          <w:tcPr>
            <w:tcW w:type="dxa" w:w="3968"/>
          </w:tcPr>
          <w:p>
            <w:pPr>
              <w:jc w:val="center"/>
            </w:pPr>
            <w:r>
              <w:t>Dosen Penguji II</w:t>
            </w:r>
          </w:p>
        </w:tc>
      </w:tr>
      <w:tr>
        <w:trPr>
          <w:cantSplit/>
        </w:trPr>
        <w:tc>
          <w:tcPr>
            <w:tcW w:type="dxa" w:w="3968"/>
          </w:tcPr>
          <w:p>
            <w:pPr>
              <w:spacing w:before="720"/>
              <w:jc w:val="center"/>
            </w:pPr>
            <w:r>
              <w:t>…………………………</w:t>
            </w:r>
          </w:p>
        </w:tc>
        <w:tc>
          <w:tcPr>
            <w:tcW w:type="dxa" w:w="3968"/>
          </w:tcPr>
          <w:p>
            <w:pPr>
              <w:spacing w:before="720"/>
              <w:jc w:val="center"/>
            </w:pPr>
            <w:r>
              <w:t>…………………………</w:t>
            </w:r>
          </w:p>
        </w:tc>
      </w:tr>
    </w:tbl>
    <w:p>
      <w:pPr>
        <w:spacing w:after="0"/>
        <w:jc w:val="center"/>
      </w:pPr>
      <w:r>
        <w:rPr>
          <w:b w:val="0"/>
          <w:i w:val="0"/>
          <w:sz w:val="24"/>
        </w:rPr>
      </w:r>
    </w:p>
    <w:tbl>
      <w:tblPr>
        <w:tblW w:type="auto" w:w="0"/>
        <w:jc w:val="center"/>
        <w:tblLook w:firstColumn="1" w:firstRow="1" w:lastColumn="0" w:lastRow="0" w:noHBand="0" w:noVBand="1" w:val="04A0"/>
      </w:tblPr>
      <w:tblGrid>
        <w:gridCol w:w="3968"/>
        <w:gridCol w:w="3968"/>
      </w:tblGrid>
      <w:tr>
        <w:trPr>
          <w:cantSplit/>
        </w:trPr>
        <w:tc>
          <w:tcPr>
            <w:tcW w:type="dxa" w:w="3968"/>
          </w:tcPr>
          <w:p>
            <w:pPr>
              <w:jc w:val="center"/>
            </w:pPr>
            <w:r>
              <w:t>Dosen Pembimbing I</w:t>
            </w:r>
          </w:p>
        </w:tc>
        <w:tc>
          <w:tcPr>
            <w:tcW w:type="dxa" w:w="3968"/>
          </w:tcPr>
          <w:p>
            <w:pPr>
              <w:jc w:val="center"/>
            </w:pPr>
            <w:r>
              <w:t>Dosen Pembimbing II</w:t>
            </w:r>
          </w:p>
        </w:tc>
      </w:tr>
      <w:tr>
        <w:trPr>
          <w:cantSplit/>
        </w:trPr>
        <w:tc>
          <w:tcPr>
            <w:tcW w:type="dxa" w:w="3968"/>
          </w:tcPr>
          <w:p>
            <w:pPr>
              <w:spacing w:before="720"/>
              <w:jc w:val="center"/>
            </w:pPr>
            <w:r>
              <w:t>Ikhwani Saputra, S.Kom., M.Kom.</w:t>
            </w:r>
          </w:p>
        </w:tc>
        <w:tc>
          <w:tcPr>
            <w:tcW w:type="dxa" w:w="3968"/>
          </w:tcPr>
          <w:p>
            <w:pPr>
              <w:spacing w:before="720"/>
              <w:jc w:val="center"/>
            </w:pPr>
            <w:r>
              <w:t>…………………………</w:t>
            </w:r>
          </w:p>
        </w:tc>
      </w:tr>
    </w:tbl>
    <w:p>
      <w:pPr>
        <w:spacing w:after="0"/>
        <w:jc w:val="center"/>
      </w:pPr>
      <w:r>
        <w:rPr>
          <w:b w:val="0"/>
          <w:i w:val="0"/>
          <w:sz w:val="24"/>
        </w:rPr>
      </w:r>
    </w:p>
    <w:p>
      <w:pPr>
        <w:spacing w:after="720"/>
        <w:jc w:val="center"/>
      </w:pPr>
      <w:r>
        <w:rPr>
          <w:b w:val="0"/>
          <w:i w:val="0"/>
          <w:sz w:val="24"/>
        </w:rPr>
        <w:t>Ketua Program Studi</w:t>
      </w:r>
    </w:p>
    <w:p>
      <w:pPr>
        <w:spacing w:after="0"/>
        <w:jc w:val="center"/>
      </w:pPr>
      <w:r>
        <w:rPr>
          <w:b w:val="0"/>
          <w:i w:val="0"/>
          <w:sz w:val="24"/>
        </w:rPr>
        <w:t>…………………………</w:t>
      </w:r>
    </w:p>
    <w:p>
      <w:pPr>
        <w:spacing w:after="0"/>
        <w:jc w:val="center"/>
      </w:pPr>
      <w:r>
        <w:rPr>
          <w:b w:val="0"/>
          <w:i w:val="0"/>
          <w:sz w:val="24"/>
        </w:rPr>
      </w:r>
    </w:p>
    <w:p>
      <w:pPr>
        <w:jc w:val="both"/>
      </w:pPr>
      <w:r>
        <w:t>Ditetapkan di : Jakarta</w:t>
      </w:r>
    </w:p>
    <w:p>
      <w:pPr>
        <w:jc w:val="both"/>
      </w:pPr>
      <w:r>
        <w:t>Tanggal         : _____/_____/202_</w:t>
      </w:r>
    </w:p>
    <w:p>
      <w:r>
        <w:br w:type="page"/>
      </w:r>
    </w:p>
    <w:p>
      <w:pPr>
        <w:pStyle w:val="Heading1"/>
      </w:pPr>
      <w:r>
        <w:t>ABSTRAK</w:t>
      </w:r>
    </w:p>
    <w:p>
      <w:pPr>
        <w:spacing w:line="240" w:lineRule="auto"/>
        <w:ind w:firstLine="720"/>
        <w:jc w:val="both"/>
      </w:pPr>
      <w:r>
        <w:t xml:space="preserve">Pertumbuhan katalog </w:t>
      </w:r>
      <w:r>
        <w:rPr>
          <w:i/>
        </w:rPr>
        <w:t>tool</w:t>
      </w:r>
      <w:r>
        <w:t xml:space="preserve"> pada AI Agent multi-modul menimbulkan masalah </w:t>
      </w:r>
      <w:r>
        <w:rPr>
          <w:i/>
        </w:rPr>
        <w:t>tool overload</w:t>
      </w:r>
      <w:r>
        <w:t xml:space="preserve">: seluruh definisi </w:t>
      </w:r>
      <w:r>
        <w:rPr>
          <w:i/>
        </w:rPr>
        <w:t>tool</w:t>
      </w:r>
      <w:r>
        <w:t xml:space="preserve"> dikirim ke LLM sehingga konsumsi token meningkat proporsional terhadap ukuran katalog dan akurasi menurun akibat </w:t>
      </w:r>
      <w:r>
        <w:rPr>
          <w:i/>
        </w:rPr>
        <w:t>context rot</w:t>
      </w:r>
      <w:r>
        <w:t xml:space="preserve">. Penelitian ini merancang, mengimplementasikan, dan mengevaluasi Tool Registry deterministik berbasis metadata sebagai lapisan penyaringan </w:t>
      </w:r>
      <w:r>
        <w:rPr>
          <w:i/>
        </w:rPr>
        <w:t>tool</w:t>
      </w:r>
      <w:r>
        <w:t xml:space="preserve"> sebelum inferensi pada platform ERP restoran zerlo.id. Registry menyaring </w:t>
      </w:r>
      <w:r>
        <w:rPr>
          <w:i/>
        </w:rPr>
        <w:t>tool</w:t>
      </w:r>
      <w:r>
        <w:t xml:space="preserve"> berdasarkan modul, peran, tingkat langganan, kata kunci, dan anggaran token dengan batas 15 </w:t>
      </w:r>
      <w:r>
        <w:rPr>
          <w:i/>
        </w:rPr>
        <w:t>tool</w:t>
      </w:r>
      <w:r>
        <w:t xml:space="preserve"> per panggilan. Evaluasi menggunakan pendekatan </w:t>
      </w:r>
      <w:r>
        <w:rPr>
          <w:i/>
        </w:rPr>
        <w:t>Design Science Research</w:t>
      </w:r>
      <w:r>
        <w:t xml:space="preserve"> dengan 100 kueri berbahasa Indonesia, tiga pengulangan, dan tiga skenario katalog (30, 100, dan 300 </w:t>
      </w:r>
      <w:r>
        <w:rPr>
          <w:i/>
        </w:rPr>
        <w:t>tool</w:t>
      </w:r>
      <w:r>
        <w:t xml:space="preserve">) pada Gemini 2.5 Flash Lite, total 558 rekaman, diuji dengan Wilcoxon </w:t>
      </w:r>
      <w:r>
        <w:rPr>
          <w:i/>
        </w:rPr>
        <w:t>signed-rank</w:t>
      </w:r>
      <w:r>
        <w:t xml:space="preserve">, Cohen's d, dan </w:t>
      </w:r>
      <w:r>
        <w:rPr>
          <w:i/>
        </w:rPr>
        <w:t>confidence interval</w:t>
      </w:r>
      <w:r>
        <w:t xml:space="preserve"> 95%. Hasil menunjukkan penghematan token 63–95% yang signifikan secara statistik (p&lt;0,001; Cohen's d 11,7–782) dengan jumlah </w:t>
      </w:r>
      <w:r>
        <w:rPr>
          <w:i/>
        </w:rPr>
        <w:t>tool</w:t>
      </w:r>
      <w:r>
        <w:t xml:space="preserve"> terlihat tetap konstan pada 15 meskipun katalog tumbuh sepuluh kali lipat, membuktikan skalabilitas </w:t>
      </w:r>
      <w:r>
        <w:rPr>
          <w:i/>
        </w:rPr>
        <w:t>sub-linear</w:t>
      </w:r>
      <w:r>
        <w:t xml:space="preserve"> O(1). Akurasi pemilihan </w:t>
      </w:r>
      <w:r>
        <w:rPr>
          <w:i/>
        </w:rPr>
        <w:t>tool</w:t>
      </w:r>
      <w:r>
        <w:t xml:space="preserve"> meningkat +6,3 poin persen sebagai tren </w:t>
      </w:r>
      <w:r>
        <w:rPr>
          <w:i/>
        </w:rPr>
        <w:t>directional</w:t>
      </w:r>
      <w:r>
        <w:t>. Tool Registry memungkinkan AI Agent enterprise diskalakan ke ratusan modul tanpa lonjakan biaya inferensi maupun degradasi konteks.</w:t>
      </w:r>
    </w:p>
    <w:p>
      <w:pPr>
        <w:spacing w:line="240" w:lineRule="auto"/>
        <w:jc w:val="both"/>
      </w:pPr>
      <w:r>
        <w:rPr>
          <w:b/>
        </w:rPr>
        <w:t>Kata Kunci :</w:t>
      </w:r>
      <w:r>
        <w:t xml:space="preserve"> AI Agent, efisiensi token, function calling, skalabilitas, tool registry</w:t>
      </w:r>
    </w:p>
    <w:p>
      <w:pPr>
        <w:spacing w:after="0"/>
        <w:jc w:val="center"/>
      </w:pPr>
      <w:r>
        <w:rPr>
          <w:b w:val="0"/>
          <w:i w:val="0"/>
          <w:sz w:val="24"/>
        </w:rPr>
      </w:r>
    </w:p>
    <w:p>
      <w:pPr>
        <w:pStyle w:val="Heading1"/>
      </w:pPr>
      <w:r>
        <w:t>ABSTRACT</w:t>
      </w:r>
    </w:p>
    <w:p>
      <w:pPr>
        <w:spacing w:line="240" w:lineRule="auto"/>
        <w:ind w:firstLine="720"/>
        <w:jc w:val="both"/>
      </w:pPr>
      <w:r>
        <w:t xml:space="preserve">The growth of tool catalogs in multi-module AI Agents causes </w:t>
      </w:r>
      <w:r>
        <w:rPr>
          <w:i/>
        </w:rPr>
        <w:t>tool overload</w:t>
      </w:r>
      <w:r>
        <w:t xml:space="preserve">: all tool definitions are sent to the LLM, so token consumption scales proportionally with catalog size and accuracy degrades due to </w:t>
      </w:r>
      <w:r>
        <w:rPr>
          <w:i/>
        </w:rPr>
        <w:t>context rot</w:t>
      </w:r>
      <w:r>
        <w:t xml:space="preserve">. This research designs, implements, and evaluates a deterministic metadata-based Tool Registry as a tool-filtering layer prior to inference on the zerlo.id restaurant ERP platform. The registry filters tools by module, role, subscription tier, keywords, and token budget, capped at 15 tools per call. The evaluation follows the </w:t>
      </w:r>
      <w:r>
        <w:rPr>
          <w:i/>
        </w:rPr>
        <w:t>Design Science Research</w:t>
      </w:r>
      <w:r>
        <w:t xml:space="preserve"> approach using 100 Indonesian-language queries, three repeats, and three catalog scenarios (30, 100, and 300 tools) on Gemini 2.5 Flash Lite, totaling 558 records, tested with the Wilcoxon </w:t>
      </w:r>
      <w:r>
        <w:rPr>
          <w:i/>
        </w:rPr>
        <w:t>signed-rank</w:t>
      </w:r>
      <w:r>
        <w:t xml:space="preserve"> test, Cohen's d, and 95% </w:t>
      </w:r>
      <w:r>
        <w:rPr>
          <w:i/>
        </w:rPr>
        <w:t>confidence intervals</w:t>
      </w:r>
      <w:r>
        <w:t xml:space="preserve">. The results show a statistically significant token reduction of 63–95% (p&lt;0.001; Cohen's d 11.7–782), while the number of visible tools remains constant at 15 even as the catalog grows tenfold, demonstrating </w:t>
      </w:r>
      <w:r>
        <w:rPr>
          <w:i/>
        </w:rPr>
        <w:t>sub-linear</w:t>
      </w:r>
      <w:r>
        <w:t xml:space="preserve"> O(1) scalability. Tool selection accuracy improves by +6.3 percentage points as a </w:t>
      </w:r>
      <w:r>
        <w:rPr>
          <w:i/>
        </w:rPr>
        <w:t>directional</w:t>
      </w:r>
      <w:r>
        <w:t xml:space="preserve"> trend. The Tool Registry enables enterprise AI Agents to scale to hundreds of modules without proportional inference-cost growth or context degradation.</w:t>
      </w:r>
    </w:p>
    <w:p>
      <w:pPr>
        <w:spacing w:line="240" w:lineRule="auto"/>
        <w:jc w:val="both"/>
      </w:pPr>
      <w:r>
        <w:rPr>
          <w:b/>
        </w:rPr>
        <w:t>Keywords :</w:t>
      </w:r>
      <w:r>
        <w:t xml:space="preserve"> AI Agent, function calling, scalability, token efficiency, tool registry</w:t>
      </w:r>
    </w:p>
    <w:p>
      <w:r>
        <w:br w:type="page"/>
      </w:r>
    </w:p>
    <w:p>
      <w:pPr>
        <w:pStyle w:val="Heading1"/>
      </w:pPr>
      <w:r>
        <w:t>KATA PENGANTAR</w:t>
      </w:r>
    </w:p>
    <w:p>
      <w:pPr>
        <w:spacing w:after="0"/>
        <w:jc w:val="center"/>
      </w:pPr>
      <w:r>
        <w:rPr>
          <w:b w:val="0"/>
          <w:i w:val="0"/>
          <w:sz w:val="24"/>
        </w:rPr>
      </w:r>
    </w:p>
    <w:p>
      <w:pPr>
        <w:ind w:firstLine="720"/>
        <w:jc w:val="both"/>
      </w:pPr>
      <w:r>
        <w:t>Puji syukur penulis panjatkan kepada Tuhan Yang Maha Esa, karena atas berkat dan rahmat-Nya penulis dapat menyelesaikan Tugas Akhir ini. Penulisan Tugas Akhir ini dilakukan dalam rangka memenuhi salah satu syarat untuk mencapai gelar Sarjana Komputer pada Program Studi Sistem Informasi Universitas Siber Asia.</w:t>
      </w:r>
    </w:p>
    <w:p>
      <w:pPr>
        <w:ind w:firstLine="720"/>
        <w:jc w:val="both"/>
      </w:pPr>
      <w:r>
        <w:t>Penulis menyadari bahwa tanpa bantuan dan bimbingan dari berbagai pihak, dari masa perkuliahan sampai pada penyusunan Tugas Akhir ini, sangatlah sulit bagi penulis untuk menyelesaikan Tugas Akhir ini. Oleh karena itu, penulis mengucapkan terima kasih kepada:</w:t>
      </w:r>
    </w:p>
    <w:p>
      <w:pPr>
        <w:pStyle w:val="ListNumber"/>
      </w:pPr>
      <w:r>
        <w:t>Ikhwani Saputra, S.Kom., M.Kom., selaku dosen pembimbing yang telah menyediakan waktu, tenaga, dan pikiran untuk mengarahkan penulis dalam penyusunan Tugas Akhir ini;</w:t>
      </w:r>
    </w:p>
    <w:p>
      <w:pPr>
        <w:pStyle w:val="ListNumber"/>
      </w:pPr>
      <w:r>
        <w:t>tim dan komunitas pengembang platform zerlo.id yang telah banyak membantu dalam penyediaan data dan lingkungan eksperimen;</w:t>
      </w:r>
    </w:p>
    <w:p>
      <w:pPr>
        <w:pStyle w:val="ListNumber"/>
      </w:pPr>
      <w:r>
        <w:t>orang tua dan keluarga penulis yang telah memberikan bantuan dukungan material dan moral; dan</w:t>
      </w:r>
    </w:p>
    <w:p>
      <w:pPr>
        <w:pStyle w:val="ListNumber"/>
      </w:pPr>
      <w:r>
        <w:t>sahabat yang telah banyak membantu penulis dalam menyelesaikan Tugas Akhir ini.</w:t>
      </w:r>
    </w:p>
    <w:p>
      <w:pPr>
        <w:ind w:firstLine="720"/>
        <w:jc w:val="both"/>
      </w:pPr>
      <w:r>
        <w:t>Akhir kata, penulis berharap Tuhan Yang Maha Esa berkenan membalas segala kebaikan semua pihak yang telah membantu. Semoga Tugas Akhir ini membawa manfaat bagi pengembangan ilmu.</w:t>
      </w:r>
    </w:p>
    <w:p>
      <w:pPr>
        <w:spacing w:after="0"/>
        <w:jc w:val="center"/>
      </w:pPr>
      <w:r>
        <w:rPr>
          <w:b w:val="0"/>
          <w:i w:val="0"/>
          <w:sz w:val="24"/>
        </w:rPr>
      </w:r>
    </w:p>
    <w:p>
      <w:pPr>
        <w:jc w:val="both"/>
      </w:pPr>
      <w:r>
        <w:t>Jakarta, Juni 2026</w:t>
      </w:r>
    </w:p>
    <w:p>
      <w:pPr>
        <w:jc w:val="both"/>
      </w:pPr>
      <w:r>
        <w:t>Penulis</w:t>
      </w:r>
    </w:p>
    <w:p>
      <w:r>
        <w:br w:type="page"/>
      </w:r>
    </w:p>
    <w:p>
      <w:pPr>
        <w:pStyle w:val="Heading1"/>
      </w:pPr>
      <w:r>
        <w:t>DAFTAR ISI</w:t>
      </w:r>
    </w:p>
    <w:p>
      <w:pPr>
        <w:spacing w:after="0"/>
        <w:jc w:val="center"/>
      </w:pPr>
      <w:r>
        <w:rPr>
          <w:b w:val="0"/>
          <w:i w:val="0"/>
          <w:sz w:val="24"/>
        </w:rPr>
      </w:r>
    </w:p>
    <w:p>
      <w:r>
        <w:fldChar w:fldCharType="begin"/>
        <w:instrText xml:space="preserve">TOC \o "1-3" \h \z \u</w:instrText>
        <w:fldChar w:fldCharType="separate"/>
        <w:t xml:space="preserve"/>
        <w:fldChar w:fldCharType="end"/>
      </w:r>
    </w:p>
    <w:p>
      <w:r>
        <w:br w:type="page"/>
      </w:r>
    </w:p>
    <w:p>
      <w:pPr>
        <w:pStyle w:val="Heading1"/>
      </w:pPr>
      <w:r>
        <w:t>DAFTAR TABEL</w:t>
      </w:r>
    </w:p>
    <w:p>
      <w:pPr>
        <w:spacing w:after="0"/>
        <w:jc w:val="center"/>
      </w:pPr>
      <w:r>
        <w:rPr>
          <w:b w:val="0"/>
          <w:i w:val="0"/>
          <w:sz w:val="24"/>
        </w:rPr>
      </w:r>
    </w:p>
    <w:p>
      <w:r>
        <w:fldChar w:fldCharType="begin"/>
        <w:instrText xml:space="preserve">TOC \h \z \c "Tabel"</w:instrText>
        <w:fldChar w:fldCharType="separate"/>
        <w:t xml:space="preserve"/>
        <w:fldChar w:fldCharType="end"/>
      </w:r>
    </w:p>
    <w:p>
      <w:r>
        <w:br w:type="page"/>
      </w:r>
    </w:p>
    <w:p>
      <w:pPr>
        <w:pStyle w:val="Heading1"/>
      </w:pPr>
      <w:r>
        <w:t>DAFTAR GAMBAR</w:t>
      </w:r>
    </w:p>
    <w:p>
      <w:pPr>
        <w:spacing w:after="0"/>
        <w:jc w:val="center"/>
      </w:pPr>
      <w:r>
        <w:rPr>
          <w:b w:val="0"/>
          <w:i w:val="0"/>
          <w:sz w:val="24"/>
        </w:rPr>
      </w:r>
    </w:p>
    <w:p>
      <w:r>
        <w:fldChar w:fldCharType="begin"/>
        <w:instrText xml:space="preserve">TOC \h \z \c "Gambar"</w:instrText>
        <w:fldChar w:fldCharType="separate"/>
        <w:t xml:space="preserve"/>
        <w:fldChar w:fldCharType="end"/>
      </w:r>
    </w:p>
    <w:p>
      <w:pPr>
        <w:sectPr>
          <w:footerReference w:type="default" r:id="rId10"/>
          <w:pgSz w:w="11906" w:h="16838"/>
          <w:pgMar w:top="1701" w:right="1701" w:bottom="1701" w:left="2268" w:header="720" w:footer="720" w:gutter="0"/>
          <w:cols w:space="720"/>
          <w:docGrid w:linePitch="360"/>
          <w:pgNumType w:fmt="lowerRoman" w:start="2"/>
        </w:sectPr>
      </w:pPr>
    </w:p>
    <w:p>
      <w:pPr>
        <w:pStyle w:val="Heading1"/>
      </w:pPr>
      <w:r>
        <w:t>BAB I PENDAHULUAN</w:t>
      </w:r>
    </w:p>
    <w:p>
      <w:pPr>
        <w:pStyle w:val="Heading2"/>
      </w:pPr>
      <w:r>
        <w:t>1.1 Latar Belakang Masalah</w:t>
      </w:r>
    </w:p>
    <w:p>
      <w:pPr>
        <w:ind w:firstLine="720"/>
        <w:jc w:val="both"/>
      </w:pPr>
      <w:r>
        <w:t>Perkembangan kecerdasan buatan (</w:t>
      </w:r>
      <w:r>
        <w:rPr>
          <w:i/>
        </w:rPr>
        <w:t>artificial intelligence</w:t>
      </w:r>
      <w:r>
        <w:t xml:space="preserve">) pada dekade terakhir telah mendorong kemunculan sistem AI Agent yang mampu memanggil fungsi eksternal secara otonom untuk menyelesaikan tugas kompleks. Kemampuan ini, yang dikenal sebagai </w:t>
      </w:r>
      <w:r>
        <w:rPr>
          <w:i/>
        </w:rPr>
        <w:t>function calling</w:t>
      </w:r>
      <w:r>
        <w:t xml:space="preserve"> atau </w:t>
      </w:r>
      <w:r>
        <w:rPr>
          <w:i/>
        </w:rPr>
        <w:t>tool use</w:t>
      </w:r>
      <w:r>
        <w:t xml:space="preserve">, pertama kali diperkenalkan sebagai fitur siap produksi oleh OpenAI pada Juni 2023 [1] dan kemudian diadopsi oleh Google DeepMind melalui mekanisme </w:t>
      </w:r>
      <w:r>
        <w:rPr>
          <w:i/>
        </w:rPr>
        <w:t>FunctionDeclaration</w:t>
      </w:r>
      <w:r>
        <w:t xml:space="preserve"> pada Gemini [2]. Fondasi teoritis dari kemampuan ini diletakkan oleh Schick et al. (2023) melalui Toolformer [3], yang membuktikan bahwa LLM dapat belajar memanggil </w:t>
      </w:r>
      <w:r>
        <w:rPr>
          <w:i/>
        </w:rPr>
        <w:t>tools</w:t>
      </w:r>
      <w:r>
        <w:t xml:space="preserve"> secara </w:t>
      </w:r>
      <w:r>
        <w:rPr>
          <w:i/>
        </w:rPr>
        <w:t>self-supervised</w:t>
      </w:r>
      <w:r>
        <w:t>, serta oleh Yao et al. (2023) melalui kerangka ReAct [4] yang memodelkan siklus Thought→Action→Observation sebagai dasar perilaku agen.</w:t>
      </w:r>
    </w:p>
    <w:p>
      <w:pPr>
        <w:ind w:firstLine="720"/>
        <w:jc w:val="both"/>
      </w:pPr>
      <w:r>
        <w:t>Zerlo.id adalah platform ERP (</w:t>
      </w:r>
      <w:r>
        <w:rPr>
          <w:i/>
        </w:rPr>
        <w:t>Enterprise Resource Planning</w:t>
      </w:r>
      <w:r>
        <w:t>) berbasis AI yang dirancang khusus untuk usaha mikro, kecil, dan menengah (UMKM) di sektor F&amp;B (</w:t>
      </w:r>
      <w:r>
        <w:rPr>
          <w:i/>
        </w:rPr>
        <w:t>Food and Beverage</w:t>
      </w:r>
      <w:r>
        <w:t xml:space="preserve">) Indonesia. Platform ini mengoperasikan 38 modul bisnis dengan 1.176 </w:t>
      </w:r>
      <w:r>
        <w:rPr>
          <w:i/>
        </w:rPr>
        <w:t>endpoint</w:t>
      </w:r>
      <w:r>
        <w:t xml:space="preserve">, 11 AI Agent aktif, dan lebih dari 60 </w:t>
      </w:r>
      <w:r>
        <w:rPr>
          <w:i/>
        </w:rPr>
        <w:t>tools</w:t>
      </w:r>
      <w:r>
        <w:t xml:space="preserve"> produksi yang tersedia bagi agen. Setiap modul — mulai dari manajemen pemesanan, inventaris, akuntansi, hingga analitik penjualan — memiliki sejumlah </w:t>
      </w:r>
      <w:r>
        <w:rPr>
          <w:i/>
        </w:rPr>
        <w:t>tools</w:t>
      </w:r>
      <w:r>
        <w:t xml:space="preserve"> yang harus dapat dipanggil oleh AI Agent sesuai konteks permintaan pengguna. Pada tahap </w:t>
      </w:r>
      <w:r>
        <w:rPr>
          <w:i/>
        </w:rPr>
        <w:t>beta testing</w:t>
      </w:r>
      <w:r>
        <w:t xml:space="preserve"> saat ini, jumlah </w:t>
      </w:r>
      <w:r>
        <w:rPr>
          <w:i/>
        </w:rPr>
        <w:t>tools</w:t>
      </w:r>
      <w:r>
        <w:t xml:space="preserve"> terus bertambah sejalan dengan pengembangan fitur baru.</w:t>
      </w:r>
    </w:p>
    <w:p>
      <w:pPr>
        <w:ind w:firstLine="720"/>
        <w:jc w:val="both"/>
      </w:pPr>
      <w:r>
        <w:t xml:space="preserve">Pertumbuhan katalog </w:t>
      </w:r>
      <w:r>
        <w:rPr>
          <w:i/>
        </w:rPr>
        <w:t>tools</w:t>
      </w:r>
      <w:r>
        <w:t xml:space="preserve"> ini menimbulkan permasalahan fundamental yang disebut </w:t>
      </w:r>
      <w:r>
        <w:rPr>
          <w:i/>
        </w:rPr>
        <w:t>tool overload</w:t>
      </w:r>
      <w:r>
        <w:t xml:space="preserve">. Ketika seluruh daftar </w:t>
      </w:r>
      <w:r>
        <w:rPr>
          <w:i/>
        </w:rPr>
        <w:t>tools</w:t>
      </w:r>
      <w:r>
        <w:t xml:space="preserve"> dikirimkan kepada LLM sebagai bagian dari konteks (</w:t>
      </w:r>
      <w:r>
        <w:rPr>
          <w:i/>
        </w:rPr>
        <w:t>context window</w:t>
      </w:r>
      <w:r>
        <w:t xml:space="preserve">), jumlah token input meningkat secara proporsional terhadap ukuran katalog. Pada skenario S3 dengan 300 </w:t>
      </w:r>
      <w:r>
        <w:rPr>
          <w:i/>
        </w:rPr>
        <w:t>tools</w:t>
      </w:r>
      <w:r>
        <w:t xml:space="preserve">, pengukuran pada penelitian ini menunjukkan rata-rata konsumsi token mencapai 23.893 token per kueri hanya untuk mendefinisikan </w:t>
      </w:r>
      <w:r>
        <w:rPr>
          <w:i/>
        </w:rPr>
        <w:t>tools</w:t>
      </w:r>
      <w:r>
        <w:t xml:space="preserve"> yang tersedia — bahkan sebelum pertanyaan pengguna diproses. Kondisi ini berdampak langsung pada biaya komputasi, latensi respons, dan akurasi pemilihan </w:t>
      </w:r>
      <w:r>
        <w:rPr>
          <w:i/>
        </w:rPr>
        <w:t>tool</w:t>
      </w:r>
      <w:r>
        <w:t>.</w:t>
      </w:r>
    </w:p>
    <w:p>
      <w:pPr>
        <w:ind w:firstLine="720"/>
        <w:jc w:val="both"/>
      </w:pPr>
      <w:r>
        <w:t xml:space="preserve">Fenomena degradasi performa LLM akibat konteks yang terlalu panjang telah dibuktikan secara empiris oleh Liu et al. (2024) dalam penelitian "Lost in the Middle" [5]: model cenderung mengabaikan informasi yang berada di bagian tengah konteks panjang dan lebih mengandalkan informasi di awal atau akhir konteks. Temuan serupa dilaporkan oleh Timothy B. Lee (2025) [6], yang mengukur akurasi Claude 3.5 Sonnet menurun dari 88% menjadi 30% ketika konteks mencapai 32K token — sebuah fenomena yang disebut </w:t>
      </w:r>
      <w:r>
        <w:rPr>
          <w:i/>
        </w:rPr>
        <w:t>context rot</w:t>
      </w:r>
      <w:r>
        <w:t>. Rajasekaran et al. (2025) dari Anthropic memperkuat temuan ini dengan pernyataan bahwa "</w:t>
      </w:r>
      <w:r>
        <w:rPr>
          <w:i/>
        </w:rPr>
        <w:t>bloated tool sets cause agent failure</w:t>
      </w:r>
      <w:r>
        <w:t xml:space="preserve">" dan merekomendasikan prinsip </w:t>
      </w:r>
      <w:r>
        <w:rPr>
          <w:i/>
        </w:rPr>
        <w:t>minimal token set</w:t>
      </w:r>
      <w:r>
        <w:t xml:space="preserve"> [7].</w:t>
      </w:r>
    </w:p>
    <w:p>
      <w:pPr>
        <w:ind w:firstLine="720"/>
        <w:jc w:val="both"/>
      </w:pPr>
      <w:r>
        <w:t xml:space="preserve">Solusi yang berkembang di industri dan komunitas riset adalah pendekatan </w:t>
      </w:r>
      <w:r>
        <w:rPr>
          <w:i/>
        </w:rPr>
        <w:t>Tool RAG</w:t>
      </w:r>
      <w:r>
        <w:t xml:space="preserve"> (</w:t>
      </w:r>
      <w:r>
        <w:rPr>
          <w:i/>
        </w:rPr>
        <w:t>Retrieval-Augmented Generation</w:t>
      </w:r>
      <w:r>
        <w:t xml:space="preserve"> untuk </w:t>
      </w:r>
      <w:r>
        <w:rPr>
          <w:i/>
        </w:rPr>
        <w:t>tools</w:t>
      </w:r>
      <w:r>
        <w:t xml:space="preserve">): alih-alih menyertakan seluruh katalog, sistem mengambil hanya </w:t>
      </w:r>
      <w:r>
        <w:rPr>
          <w:i/>
        </w:rPr>
        <w:t>tools</w:t>
      </w:r>
      <w:r>
        <w:t xml:space="preserve"> yang paling relevan secara semantik sebelum memanggil LLM. Gorilla [8] dan ToolLLM [9] membuktikan bahwa LLM dapat dihubungkan dengan ribuan API nyata menggunakan mekanisme </w:t>
      </w:r>
      <w:r>
        <w:rPr>
          <w:i/>
        </w:rPr>
        <w:t>retrieval</w:t>
      </w:r>
      <w:r>
        <w:t>. Lumer (2024) melalui Toolshed [10] mencapai peningkatan Recall@5 sebesar 46–56% menggunakan fusi tiga fase RAG-</w:t>
      </w:r>
      <w:r>
        <w:rPr>
          <w:i/>
        </w:rPr>
        <w:t>tool</w:t>
      </w:r>
      <w:r>
        <w:t xml:space="preserve">. Namun pendekatan berbasis </w:t>
      </w:r>
      <w:r>
        <w:rPr>
          <w:i/>
        </w:rPr>
        <w:t>embedding</w:t>
      </w:r>
      <w:r>
        <w:t xml:space="preserve"> ini membawa kompleksitas infrastruktur tersendiri: diperlukan model </w:t>
      </w:r>
      <w:r>
        <w:rPr>
          <w:i/>
        </w:rPr>
        <w:t>embedding</w:t>
      </w:r>
      <w:r>
        <w:t xml:space="preserve">, basis data vektor, dan </w:t>
      </w:r>
      <w:r>
        <w:rPr>
          <w:i/>
        </w:rPr>
        <w:t>pipeline</w:t>
      </w:r>
      <w:r>
        <w:t xml:space="preserve"> sinkronisasi yang tidak selalu tersedia dalam konteks sistem ERP berukuran menengah.</w:t>
      </w:r>
    </w:p>
    <w:p>
      <w:pPr>
        <w:ind w:firstLine="720"/>
        <w:jc w:val="both"/>
      </w:pPr>
      <w:r>
        <w:t xml:space="preserve">Sebagai alternatif yang lebih deterministik dan ringan, konsep </w:t>
      </w:r>
      <w:r>
        <w:rPr>
          <w:i/>
        </w:rPr>
        <w:t>Tool Registry</w:t>
      </w:r>
      <w:r>
        <w:t xml:space="preserve"> menawarkan lapisan penyaringan berbasis metadata: setiap </w:t>
      </w:r>
      <w:r>
        <w:rPr>
          <w:i/>
        </w:rPr>
        <w:t>tool</w:t>
      </w:r>
      <w:r>
        <w:t xml:space="preserve"> didaftarkan bersama atribut modul, peran (</w:t>
      </w:r>
      <w:r>
        <w:rPr>
          <w:i/>
        </w:rPr>
        <w:t>role</w:t>
      </w:r>
      <w:r>
        <w:t>), tingkat langganan (</w:t>
      </w:r>
      <w:r>
        <w:rPr>
          <w:i/>
        </w:rPr>
        <w:t>subscription tier</w:t>
      </w:r>
      <w:r>
        <w:t>), kata kunci (</w:t>
      </w:r>
      <w:r>
        <w:rPr>
          <w:i/>
        </w:rPr>
        <w:t>keywords</w:t>
      </w:r>
      <w:r>
        <w:t>), dan batas anggaran token (</w:t>
      </w:r>
      <w:r>
        <w:rPr>
          <w:i/>
        </w:rPr>
        <w:t>token budget</w:t>
      </w:r>
      <w:r>
        <w:t xml:space="preserve">). Sebelum LLM dipanggil, registry memfilter katalog berdasarkan konteks permintaan sehingga hanya subset </w:t>
      </w:r>
      <w:r>
        <w:rPr>
          <w:i/>
        </w:rPr>
        <w:t>tools</w:t>
      </w:r>
      <w:r>
        <w:t xml:space="preserve"> yang relevan yang diteruskan. Gaurav et al. (2025) menunjukkan bahwa pemuatan </w:t>
      </w:r>
      <w:r>
        <w:rPr>
          <w:i/>
        </w:rPr>
        <w:t>tool</w:t>
      </w:r>
      <w:r>
        <w:t xml:space="preserve"> yang dinamis dapat mengurangi beban pemuatan </w:t>
      </w:r>
      <w:r>
        <w:rPr>
          <w:i/>
        </w:rPr>
        <w:t>tool</w:t>
      </w:r>
      <w:r>
        <w:t xml:space="preserve"> hingga 50% sambil mempertahankan akurasi [11]. Jia dan Li (AAAI 2026) melalui AutoTool [12] membuktikan bahwa pola penggunaan </w:t>
      </w:r>
      <w:r>
        <w:rPr>
          <w:i/>
        </w:rPr>
        <w:t>tools</w:t>
      </w:r>
      <w:r>
        <w:t xml:space="preserve"> bersifat sekuensial dan dapat diprediksi, mendukung preseleksi sebelum inferensi. Wang et al. (ACL 2026) melalui MCP-Flow [13] melaporkan validasi skala industri dengan 11.536 </w:t>
      </w:r>
      <w:r>
        <w:rPr>
          <w:i/>
        </w:rPr>
        <w:t>tools</w:t>
      </w:r>
      <w:r>
        <w:t xml:space="preserve"> di 1.166 server MCP. Di tingkat </w:t>
      </w:r>
      <w:r>
        <w:rPr>
          <w:i/>
        </w:rPr>
        <w:t>hyperscaler</w:t>
      </w:r>
      <w:r>
        <w:t xml:space="preserve">, AWS telah mengadopsi pola ini sebagai AWS Agent Registry dengan </w:t>
      </w:r>
      <w:r>
        <w:rPr>
          <w:i/>
        </w:rPr>
        <w:t>hybrid search</w:t>
      </w:r>
      <w:r>
        <w:t xml:space="preserve"> dan integrasi IAM [14].</w:t>
      </w:r>
    </w:p>
    <w:p>
      <w:pPr>
        <w:ind w:firstLine="720"/>
        <w:jc w:val="both"/>
      </w:pPr>
      <w:r>
        <w:t xml:space="preserve">Pada ekosistem Pydantic AI — kerangka AI Agent yang digunakan zerlo.id — tersedia antarmuka </w:t>
      </w:r>
      <w:r>
        <w:rPr>
          <w:rFonts w:ascii="Courier New" w:hAnsi="Courier New"/>
        </w:rPr>
        <w:t>FilteredToolset</w:t>
      </w:r>
      <w:r>
        <w:t xml:space="preserve"> yang memungkinkan penyaringan </w:t>
      </w:r>
      <w:r>
        <w:rPr>
          <w:i/>
        </w:rPr>
        <w:t>tools</w:t>
      </w:r>
      <w:r>
        <w:t xml:space="preserve"> berdasarkan predikat tunggal. Namun antarmuka ini tidak mendukung penyaringan multi-kriteria (modul + peran + tier + anggaran token) yang diperlukan oleh platform ERP multi-modul. Kesenjangan ini menjadi motivasi utama perancangan Tool Registry khusus yang menjadi objek penelitian ini.</w:t>
      </w:r>
    </w:p>
    <w:p>
      <w:pPr>
        <w:ind w:firstLine="720"/>
        <w:jc w:val="both"/>
      </w:pPr>
      <w:r>
        <w:t xml:space="preserve">Berdasarkan pemaparan di atas, penelitian ini membangun dan mengevaluasi Tool Registry deterministik berbasis metadata pada platform zerlo.id, dengan mengukur dampaknya terhadap efisiensi token, akurasi pemilihan </w:t>
      </w:r>
      <w:r>
        <w:rPr>
          <w:i/>
        </w:rPr>
        <w:t>tool</w:t>
      </w:r>
      <w:r>
        <w:t>, dan skalabilitas AI Agent secara kuantitatif. Sejauh pengetahuan penulis, belum ada penelitian yang secara eksplisit mengukur dan mempublikasikan hasil evaluasi kuantitatif Tool Registry berbasis metadata pada kerangka Pydantic AI 1.x.</w:t>
      </w:r>
    </w:p>
    <w:p>
      <w:pPr>
        <w:pStyle w:val="Heading2"/>
      </w:pPr>
      <w:r>
        <w:t>1.2 Rumusan Masalah</w:t>
      </w:r>
    </w:p>
    <w:p>
      <w:pPr>
        <w:ind w:firstLine="720"/>
        <w:jc w:val="both"/>
      </w:pPr>
      <w:r>
        <w:t>Berdasarkan latar belakang yang telah dipaparkan, rumusan masalah penelitian ini dinyatakan sebagai berikut.</w:t>
      </w:r>
    </w:p>
    <w:p>
      <w:pPr>
        <w:ind w:left="567" w:hanging="283"/>
        <w:jc w:val="both"/>
      </w:pPr>
      <w:r>
        <w:t xml:space="preserve">1. Diperlukan rancangan Tool Registry yang mampu menyimpan metadata </w:t>
      </w:r>
      <w:r>
        <w:rPr>
          <w:i/>
        </w:rPr>
        <w:t>tool</w:t>
      </w:r>
      <w:r>
        <w:t xml:space="preserve"> secara terstruktur pada platform ERP multi-modul zerlo.id.</w:t>
      </w:r>
    </w:p>
    <w:p>
      <w:pPr>
        <w:ind w:left="567" w:hanging="283"/>
        <w:jc w:val="both"/>
      </w:pPr>
      <w:r>
        <w:t xml:space="preserve">2. Diperlukan mekanisme penyaringan </w:t>
      </w:r>
      <w:r>
        <w:rPr>
          <w:i/>
        </w:rPr>
        <w:t>tool</w:t>
      </w:r>
      <w:r>
        <w:t xml:space="preserve"> (</w:t>
      </w:r>
      <w:r>
        <w:rPr>
          <w:i/>
        </w:rPr>
        <w:t>filtering</w:t>
      </w:r>
      <w:r>
        <w:t>) secara dinamis berdasarkan modul, peran, tingkat langganan, dan anggaran token pada AI Agent.</w:t>
      </w:r>
    </w:p>
    <w:p>
      <w:pPr>
        <w:ind w:left="567" w:hanging="283"/>
        <w:jc w:val="both"/>
      </w:pPr>
      <w:r>
        <w:t>3. Dampak penerapan Tool Registry terhadap penggunaan token (</w:t>
      </w:r>
      <w:r>
        <w:rPr>
          <w:i/>
        </w:rPr>
        <w:t>token usage</w:t>
      </w:r>
      <w:r>
        <w:t>), latensi (</w:t>
      </w:r>
      <w:r>
        <w:rPr>
          <w:i/>
        </w:rPr>
        <w:t>latency</w:t>
      </w:r>
      <w:r>
        <w:t xml:space="preserve">), dan akurasi pemilihan </w:t>
      </w:r>
      <w:r>
        <w:rPr>
          <w:i/>
        </w:rPr>
        <w:t>tool</w:t>
      </w:r>
      <w:r>
        <w:t xml:space="preserve"> (</w:t>
      </w:r>
      <w:r>
        <w:rPr>
          <w:i/>
        </w:rPr>
        <w:t>tool selection accuracy</w:t>
      </w:r>
      <w:r>
        <w:t xml:space="preserve">) dibandingkan dengan pendekatan </w:t>
      </w:r>
      <w:r>
        <w:rPr>
          <w:i/>
        </w:rPr>
        <w:t>baseline</w:t>
      </w:r>
      <w:r>
        <w:t xml:space="preserve"> tanpa penyaringan belum diketahui dan perlu diukur secara kuantitatif.</w:t>
      </w:r>
    </w:p>
    <w:p>
      <w:pPr>
        <w:ind w:left="567" w:hanging="283"/>
        <w:jc w:val="both"/>
      </w:pPr>
      <w:r>
        <w:t xml:space="preserve">4. Kemampuan Tool Registry dalam mendukung skalabilitas AI Agent pada platform ERP restoran ketika jumlah </w:t>
      </w:r>
      <w:r>
        <w:rPr>
          <w:i/>
        </w:rPr>
        <w:t>tools</w:t>
      </w:r>
      <w:r>
        <w:t xml:space="preserve"> dalam katalog bertambah secara signifikan perlu dibuktikan.</w:t>
      </w:r>
    </w:p>
    <w:p>
      <w:pPr>
        <w:pStyle w:val="Heading2"/>
      </w:pPr>
      <w:r>
        <w:t>1.3 Batasan Masalah</w:t>
      </w:r>
    </w:p>
    <w:p>
      <w:pPr>
        <w:ind w:firstLine="720"/>
        <w:jc w:val="both"/>
      </w:pPr>
      <w:r>
        <w:t>Agar penelitian ini terfokus dan hasilnya dapat diukur secara valid, ditetapkan batasan-batasan sebagai berikut.</w:t>
      </w:r>
    </w:p>
    <w:p>
      <w:pPr>
        <w:ind w:left="567" w:hanging="283"/>
        <w:jc w:val="both"/>
      </w:pPr>
      <w:r>
        <w:t xml:space="preserve">1. Penyedia LLM yang digunakan adalah Google Gemini 2.5 Flash Lite melalui Google Gen AI SDK dengan mekanisme </w:t>
      </w:r>
      <w:r>
        <w:rPr>
          <w:i/>
        </w:rPr>
        <w:t>native function calling</w:t>
      </w:r>
      <w:r>
        <w:t xml:space="preserve"> (FunctionDeclaration, mode=ANY, temperature=0). Eksperimen multi-model (MiniMax-M2.7 dan Claude Sonnet 4.6) disertakan sebagai bukti generalisabilitas, bukan sebagai hasil utama.</w:t>
      </w:r>
    </w:p>
    <w:p>
      <w:pPr>
        <w:ind w:left="567" w:hanging="283"/>
        <w:jc w:val="both"/>
      </w:pPr>
      <w:r>
        <w:t xml:space="preserve">2. Dataset evaluasi terdiri dari 100 kueri berbahasa Indonesia yang mencakup tiga kategori: 50 kueri </w:t>
      </w:r>
      <w:r>
        <w:rPr>
          <w:i/>
        </w:rPr>
        <w:t>single-domain</w:t>
      </w:r>
      <w:r>
        <w:t xml:space="preserve">, 30 kueri </w:t>
      </w:r>
      <w:r>
        <w:rPr>
          <w:i/>
        </w:rPr>
        <w:t>cross-domain</w:t>
      </w:r>
      <w:r>
        <w:t>, dan 20 kueri adversarial. Setiap kueri diulang sebanyak tiga kali per skenario (</w:t>
      </w:r>
      <w:r>
        <w:rPr>
          <w:i/>
        </w:rPr>
        <w:t>repeat runs</w:t>
      </w:r>
      <w:r>
        <w:t>).</w:t>
      </w:r>
    </w:p>
    <w:p>
      <w:pPr>
        <w:ind w:left="567" w:hanging="283"/>
        <w:jc w:val="both"/>
      </w:pPr>
      <w:r>
        <w:t xml:space="preserve">3. Evaluasi dilakukan pada tiga skenario katalog: S1 (30 </w:t>
      </w:r>
      <w:r>
        <w:rPr>
          <w:i/>
        </w:rPr>
        <w:t>tools</w:t>
      </w:r>
      <w:r>
        <w:t xml:space="preserve">), S2 (100 </w:t>
      </w:r>
      <w:r>
        <w:rPr>
          <w:i/>
        </w:rPr>
        <w:t>tools</w:t>
      </w:r>
      <w:r>
        <w:t xml:space="preserve">), dan S3 (300 </w:t>
      </w:r>
      <w:r>
        <w:rPr>
          <w:i/>
        </w:rPr>
        <w:t>tools</w:t>
      </w:r>
      <w:r>
        <w:t xml:space="preserve">). Skenario S4 (1.000 </w:t>
      </w:r>
      <w:r>
        <w:rPr>
          <w:i/>
        </w:rPr>
        <w:t>tools</w:t>
      </w:r>
      <w:r>
        <w:t xml:space="preserve">) hanya disimulasikan secara deterministik, tidak dijalankan secara </w:t>
      </w:r>
      <w:r>
        <w:rPr>
          <w:i/>
        </w:rPr>
        <w:t>live</w:t>
      </w:r>
      <w:r>
        <w:t>.</w:t>
      </w:r>
    </w:p>
    <w:p>
      <w:pPr>
        <w:ind w:left="567" w:hanging="283"/>
        <w:jc w:val="both"/>
      </w:pPr>
      <w:r>
        <w:t xml:space="preserve">4. Batas </w:t>
      </w:r>
      <w:r>
        <w:rPr>
          <w:i/>
        </w:rPr>
        <w:t>tool budget</w:t>
      </w:r>
      <w:r>
        <w:t xml:space="preserve"> yang diteruskan ke LLM ditetapkan maksimal 15 </w:t>
      </w:r>
      <w:r>
        <w:rPr>
          <w:i/>
        </w:rPr>
        <w:t>tools</w:t>
      </w:r>
      <w:r>
        <w:t xml:space="preserve"> per panggilan registry.</w:t>
      </w:r>
    </w:p>
    <w:p>
      <w:pPr>
        <w:ind w:left="567" w:hanging="283"/>
        <w:jc w:val="both"/>
      </w:pPr>
      <w:r>
        <w:t>5. Penelitian tidak mengukur kualitas linguistik dari respons yang dihasilkan LLM.</w:t>
      </w:r>
    </w:p>
    <w:p>
      <w:pPr>
        <w:ind w:left="567" w:hanging="283"/>
        <w:jc w:val="both"/>
      </w:pPr>
      <w:r>
        <w:t xml:space="preserve">6. Pendekatan </w:t>
      </w:r>
      <w:r>
        <w:rPr>
          <w:i/>
        </w:rPr>
        <w:t>Tool RAG</w:t>
      </w:r>
      <w:r>
        <w:t xml:space="preserve"> berbasis </w:t>
      </w:r>
      <w:r>
        <w:rPr>
          <w:i/>
        </w:rPr>
        <w:t>embedding</w:t>
      </w:r>
      <w:r>
        <w:t xml:space="preserve"> dibahas sebagai </w:t>
      </w:r>
      <w:r>
        <w:rPr>
          <w:i/>
        </w:rPr>
        <w:t>future work</w:t>
      </w:r>
      <w:r>
        <w:t>, bukan sebagai bagian dari implementasi utama.</w:t>
      </w:r>
    </w:p>
    <w:p>
      <w:pPr>
        <w:pStyle w:val="Heading2"/>
      </w:pPr>
      <w:r>
        <w:t>1.4 Tujuan Penelitian</w:t>
      </w:r>
    </w:p>
    <w:p>
      <w:pPr>
        <w:ind w:firstLine="720"/>
        <w:jc w:val="both"/>
      </w:pPr>
      <w:r>
        <w:t>Penelitian ini bertujuan untuk:</w:t>
      </w:r>
    </w:p>
    <w:p>
      <w:pPr>
        <w:ind w:left="567" w:hanging="283"/>
        <w:jc w:val="both"/>
      </w:pPr>
      <w:r>
        <w:t>1. merancang Tool Registry dengan metadata terstruktur (ToolMeta) yang mencakup atribut modul, tipe operasi, kata kunci, peran, dan tingkat langganan;</w:t>
      </w:r>
    </w:p>
    <w:p>
      <w:pPr>
        <w:ind w:left="567" w:hanging="283"/>
        <w:jc w:val="both"/>
      </w:pPr>
      <w:r>
        <w:t xml:space="preserve">2. mengimplementasikan mekanisme penyaringan dinamis berbasis multi-kriteria (modul, peran, tier, token budget) sebagai lapisan antara katalog </w:t>
      </w:r>
      <w:r>
        <w:rPr>
          <w:i/>
        </w:rPr>
        <w:t>tools</w:t>
      </w:r>
      <w:r>
        <w:t xml:space="preserve"> dan LLM pada AI Agent zerlo.id;</w:t>
      </w:r>
    </w:p>
    <w:p>
      <w:pPr>
        <w:ind w:left="567" w:hanging="283"/>
        <w:jc w:val="both"/>
      </w:pPr>
      <w:r>
        <w:t xml:space="preserve">3. mengukur dampak penerapan Tool Registry terhadap penggunaan token, latensi, dan akurasi pemilihan </w:t>
      </w:r>
      <w:r>
        <w:rPr>
          <w:i/>
        </w:rPr>
        <w:t>tool</w:t>
      </w:r>
      <w:r>
        <w:t xml:space="preserve"> secara kuantitatif menggunakan uji statistik Wilcoxon </w:t>
      </w:r>
      <w:r>
        <w:rPr>
          <w:i/>
        </w:rPr>
        <w:t>signed-rank</w:t>
      </w:r>
      <w:r>
        <w:t xml:space="preserve">, Cohen's d, dan </w:t>
      </w:r>
      <w:r>
        <w:rPr>
          <w:i/>
        </w:rPr>
        <w:t>confidence interval</w:t>
      </w:r>
      <w:r>
        <w:t xml:space="preserve"> 95%;</w:t>
      </w:r>
    </w:p>
    <w:p>
      <w:pPr>
        <w:ind w:left="567" w:hanging="283"/>
        <w:jc w:val="both"/>
      </w:pPr>
      <w:r>
        <w:t xml:space="preserve">4. membuktikan sifat skalabilitas </w:t>
      </w:r>
      <w:r>
        <w:rPr>
          <w:i/>
        </w:rPr>
        <w:t>sub-linear</w:t>
      </w:r>
      <w:r>
        <w:t xml:space="preserve"> Tool Registry — yaitu bahwa jumlah </w:t>
      </w:r>
      <w:r>
        <w:rPr>
          <w:i/>
        </w:rPr>
        <w:t>tools</w:t>
      </w:r>
      <w:r>
        <w:t xml:space="preserve"> yang terlihat oleh LLM tetap konstan (O(1) terhadap budget) meskipun ukuran katalog bertambah dari 30 ke 100 ke 300 </w:t>
      </w:r>
      <w:r>
        <w:rPr>
          <w:i/>
        </w:rPr>
        <w:t>tools</w:t>
      </w:r>
      <w:r>
        <w:t>.</w:t>
      </w:r>
    </w:p>
    <w:p>
      <w:pPr>
        <w:pStyle w:val="Heading2"/>
      </w:pPr>
      <w:r>
        <w:t>1.5 Manfaat Penelitian</w:t>
      </w:r>
    </w:p>
    <w:p>
      <w:pPr>
        <w:ind w:firstLine="720"/>
        <w:jc w:val="both"/>
      </w:pPr>
      <w:r>
        <w:t>Penelitian ini memberikan manfaat pada tiga dimensi berikut.</w:t>
      </w:r>
    </w:p>
    <w:p>
      <w:pPr>
        <w:ind w:firstLine="720"/>
        <w:jc w:val="both"/>
      </w:pPr>
      <w:r>
        <w:rPr>
          <w:b/>
        </w:rPr>
        <w:t>Manfaat Akademik.</w:t>
      </w:r>
      <w:r>
        <w:t xml:space="preserve"> Penelitian ini menghasilkan </w:t>
      </w:r>
      <w:r>
        <w:rPr>
          <w:i/>
        </w:rPr>
        <w:t>baseline</w:t>
      </w:r>
      <w:r>
        <w:t xml:space="preserve"> kuantitatif pertama evaluasi Tool Registry berbasis metadata pada kerangka Pydantic AI 1.x. Metodologi eksperimen — 100 kueri × 3 pengulangan × 3 skenario dengan uji Wilcoxon dan Cohen's d — dapat dijadikan acuan bagi penelitian serupa yang membandingkan strategi penyaringan </w:t>
      </w:r>
      <w:r>
        <w:rPr>
          <w:i/>
        </w:rPr>
        <w:t>tool</w:t>
      </w:r>
      <w:r>
        <w:t xml:space="preserve"> pada sistem AI Agent enterprise.</w:t>
      </w:r>
    </w:p>
    <w:p>
      <w:pPr>
        <w:ind w:firstLine="720"/>
        <w:jc w:val="both"/>
      </w:pPr>
      <w:r>
        <w:rPr>
          <w:b/>
        </w:rPr>
        <w:t>Manfaat Praktis.</w:t>
      </w:r>
      <w:r>
        <w:t xml:space="preserve"> Bagi platform zerlo.id, hasil penelitian ini memberikan bukti kuantitatif bahwa Tool Registry mampu menekan konsumsi token hingga 95% (skenario S3) tanpa degradasi akurasi, sehingga platform dapat diskalakan ke ratusan modul tanpa mengalami </w:t>
      </w:r>
      <w:r>
        <w:rPr>
          <w:i/>
        </w:rPr>
        <w:t>context rot</w:t>
      </w:r>
      <w:r>
        <w:t xml:space="preserve"> atau lonjakan biaya inferensi yang proporsional.</w:t>
      </w:r>
    </w:p>
    <w:p>
      <w:pPr>
        <w:ind w:firstLine="720"/>
        <w:jc w:val="both"/>
      </w:pPr>
      <w:r>
        <w:rPr>
          <w:b/>
        </w:rPr>
        <w:t>Manfaat bagi Komunitas Pengembang.</w:t>
      </w:r>
      <w:r>
        <w:t xml:space="preserve"> Pola arsitektur Tool Registry deterministik berbasis metadata yang dikembangkan dalam penelitian ini dapat direplikasi oleh pengembang sistem AI Agent enterprise lain yang memerlukan solusi </w:t>
      </w:r>
      <w:r>
        <w:rPr>
          <w:i/>
        </w:rPr>
        <w:t>tool management</w:t>
      </w:r>
      <w:r>
        <w:t xml:space="preserve"> tanpa ketergantungan pada infrastruktur </w:t>
      </w:r>
      <w:r>
        <w:rPr>
          <w:i/>
        </w:rPr>
        <w:t>embedding</w:t>
      </w:r>
      <w:r>
        <w:t xml:space="preserve"> dan basis data vektor.</w:t>
      </w:r>
    </w:p>
    <w:p>
      <w:pPr>
        <w:pStyle w:val="Heading2"/>
      </w:pPr>
      <w:r>
        <w:t>1.6 Metode Penelitian</w:t>
      </w:r>
    </w:p>
    <w:p>
      <w:pPr>
        <w:ind w:firstLine="720"/>
        <w:jc w:val="both"/>
      </w:pPr>
      <w:r>
        <w:t xml:space="preserve">Penelitian ini menggunakan pendekatan </w:t>
      </w:r>
      <w:r>
        <w:rPr>
          <w:i/>
        </w:rPr>
        <w:t>Design Science Research</w:t>
      </w:r>
      <w:r>
        <w:t xml:space="preserve"> (DSR) sebagaimana dikemukakan oleh Hevner et al. (2004) [15], yang terdiri dari lima tahap: identifikasi masalah (</w:t>
      </w:r>
      <w:r>
        <w:rPr>
          <w:i/>
        </w:rPr>
        <w:t>problem identification</w:t>
      </w:r>
      <w:r>
        <w:t>), penetapan tujuan solusi (</w:t>
      </w:r>
      <w:r>
        <w:rPr>
          <w:i/>
        </w:rPr>
        <w:t>objective of solution</w:t>
      </w:r>
      <w:r>
        <w:t>), perancangan dan pengembangan artefak (</w:t>
      </w:r>
      <w:r>
        <w:rPr>
          <w:i/>
        </w:rPr>
        <w:t>design and development</w:t>
      </w:r>
      <w:r>
        <w:t>), demonstrasi (</w:t>
      </w:r>
      <w:r>
        <w:rPr>
          <w:i/>
        </w:rPr>
        <w:t>demonstration</w:t>
      </w:r>
      <w:r>
        <w:t>), dan evaluasi (</w:t>
      </w:r>
      <w:r>
        <w:rPr>
          <w:i/>
        </w:rPr>
        <w:t>evaluation</w:t>
      </w:r>
      <w:r>
        <w:t>).</w:t>
      </w:r>
    </w:p>
    <w:p>
      <w:pPr>
        <w:ind w:firstLine="720"/>
        <w:jc w:val="both"/>
      </w:pPr>
      <w:r>
        <w:rPr>
          <w:b/>
        </w:rPr>
        <w:t>Tahap Identifikasi Masalah.</w:t>
      </w:r>
      <w:r>
        <w:t xml:space="preserve"> Fenomena </w:t>
      </w:r>
      <w:r>
        <w:rPr>
          <w:i/>
        </w:rPr>
        <w:t>tool overload</w:t>
      </w:r>
      <w:r>
        <w:t xml:space="preserve"> diidentifikasi dari data operasional zerlo.id: 60+ </w:t>
      </w:r>
      <w:r>
        <w:rPr>
          <w:i/>
        </w:rPr>
        <w:t>tools</w:t>
      </w:r>
      <w:r>
        <w:t xml:space="preserve"> aktif di lingkungan produksi dengan proyeksi pertumbuhan sejalan ekspansi modul. Literatur empiris ("Lost in the Middle" [5], </w:t>
      </w:r>
      <w:r>
        <w:rPr>
          <w:i/>
        </w:rPr>
        <w:t>context rot</w:t>
      </w:r>
      <w:r>
        <w:t xml:space="preserve"> [6]) dikutip sebagai justifikasi akademik.</w:t>
      </w:r>
    </w:p>
    <w:p>
      <w:pPr>
        <w:ind w:firstLine="720"/>
        <w:jc w:val="both"/>
      </w:pPr>
      <w:r>
        <w:rPr>
          <w:b/>
        </w:rPr>
        <w:t>Tahap Perancangan Artefak.</w:t>
      </w:r>
      <w:r>
        <w:t xml:space="preserve"> Artefak utama yang dirancang adalah: (a) </w:t>
      </w:r>
      <w:r>
        <w:rPr>
          <w:i/>
        </w:rPr>
        <w:t>dataclass</w:t>
      </w:r>
      <w:r>
        <w:t xml:space="preserve"> ToolMeta sebagai skema metadata </w:t>
      </w:r>
      <w:r>
        <w:rPr>
          <w:i/>
        </w:rPr>
        <w:t>tool</w:t>
      </w:r>
      <w:r>
        <w:t xml:space="preserve">, (b) kelas ToolRegistry sebagai </w:t>
      </w:r>
      <w:r>
        <w:rPr>
          <w:i/>
        </w:rPr>
        <w:t>singleton</w:t>
      </w:r>
      <w:r>
        <w:t xml:space="preserve"> penyimpan katalog, dan (c) fungsi </w:t>
      </w:r>
      <w:r>
        <w:rPr>
          <w:rFonts w:ascii="Courier New" w:hAnsi="Courier New"/>
        </w:rPr>
        <w:t>registry_filter()</w:t>
      </w:r>
      <w:r>
        <w:t xml:space="preserve"> sebagai </w:t>
      </w:r>
      <w:r>
        <w:rPr>
          <w:i/>
        </w:rPr>
        <w:t>pipeline</w:t>
      </w:r>
      <w:r>
        <w:t xml:space="preserve"> penyaringan berbasis </w:t>
      </w:r>
      <w:r>
        <w:rPr>
          <w:i/>
        </w:rPr>
        <w:t>keyword scoring</w:t>
      </w:r>
      <w:r>
        <w:t xml:space="preserve"> dan </w:t>
      </w:r>
      <w:r>
        <w:rPr>
          <w:i/>
        </w:rPr>
        <w:t>budget cap</w:t>
      </w:r>
      <w:r>
        <w:t xml:space="preserve">. Artefak pendukung mencakup </w:t>
      </w:r>
      <w:r>
        <w:rPr>
          <w:i/>
        </w:rPr>
        <w:t>framework</w:t>
      </w:r>
      <w:r>
        <w:t xml:space="preserve"> evaluasi: </w:t>
      </w:r>
      <w:r>
        <w:rPr>
          <w:i/>
        </w:rPr>
        <w:t>runner</w:t>
      </w:r>
      <w:r>
        <w:t xml:space="preserve"> JSONL inkremental, modul pengukuran statistik, dan </w:t>
      </w:r>
      <w:r>
        <w:rPr>
          <w:i/>
        </w:rPr>
        <w:t>report generator</w:t>
      </w:r>
      <w:r>
        <w:t>.</w:t>
      </w:r>
    </w:p>
    <w:p>
      <w:pPr>
        <w:ind w:firstLine="720"/>
        <w:jc w:val="both"/>
      </w:pPr>
      <w:r>
        <w:rPr>
          <w:b/>
        </w:rPr>
        <w:t>Tahap Demonstrasi.</w:t>
      </w:r>
      <w:r>
        <w:t xml:space="preserve"> Tool Registry diintegrasikan ke dalam AI Agent berbasis Pydantic AI dan diuji pada tiga skenario katalog (S1/S2/S3) menggunakan dataset 100 kueri berbahasa Indonesia.</w:t>
      </w:r>
    </w:p>
    <w:p>
      <w:pPr>
        <w:ind w:firstLine="720"/>
        <w:jc w:val="both"/>
      </w:pPr>
      <w:r>
        <w:rPr>
          <w:b/>
        </w:rPr>
        <w:t>Tahap Evaluasi.</w:t>
      </w:r>
      <w:r>
        <w:t xml:space="preserve"> Hasil eksperimen dianalisis menggunakan:</w:t>
      </w:r>
    </w:p>
    <w:p>
      <w:pPr>
        <w:ind w:firstLine="720"/>
        <w:jc w:val="both"/>
      </w:pPr>
      <w:r>
        <w:t xml:space="preserve">(a) pengujian statistik Wilcoxon </w:t>
      </w:r>
      <w:r>
        <w:rPr>
          <w:i/>
        </w:rPr>
        <w:t>signed-rank</w:t>
      </w:r>
      <w:r>
        <w:t xml:space="preserve"> berpasangan (satu arah) untuk menguji signifikansi penurunan token;</w:t>
      </w:r>
    </w:p>
    <w:p>
      <w:pPr>
        <w:ind w:firstLine="720"/>
        <w:jc w:val="both"/>
      </w:pPr>
      <w:r>
        <w:t>(b) Cohen's d untuk mengukur besar efek (</w:t>
      </w:r>
      <w:r>
        <w:rPr>
          <w:i/>
        </w:rPr>
        <w:t>effect size</w:t>
      </w:r>
      <w:r>
        <w:t>);</w:t>
      </w:r>
    </w:p>
    <w:p>
      <w:pPr>
        <w:ind w:firstLine="720"/>
        <w:jc w:val="both"/>
      </w:pPr>
      <w:r>
        <w:t xml:space="preserve">(c) </w:t>
      </w:r>
      <w:r>
        <w:rPr>
          <w:i/>
        </w:rPr>
        <w:t>confidence interval</w:t>
      </w:r>
      <w:r>
        <w:t xml:space="preserve"> 95% untuk estimasi rentang penurunan;</w:t>
      </w:r>
    </w:p>
    <w:p>
      <w:pPr>
        <w:ind w:firstLine="720"/>
        <w:jc w:val="both"/>
      </w:pPr>
      <w:r>
        <w:t xml:space="preserve">(d) analisis perbandingan akurasi pemilihan </w:t>
      </w:r>
      <w:r>
        <w:rPr>
          <w:i/>
        </w:rPr>
        <w:t>tool</w:t>
      </w:r>
      <w:r>
        <w:t xml:space="preserve"> antara mode </w:t>
      </w:r>
      <w:r>
        <w:rPr>
          <w:i/>
        </w:rPr>
        <w:t>baseline</w:t>
      </w:r>
      <w:r>
        <w:t xml:space="preserve"> dan </w:t>
      </w:r>
      <w:r>
        <w:rPr>
          <w:i/>
        </w:rPr>
        <w:t>registry</w:t>
      </w:r>
      <w:r>
        <w:t>.</w:t>
      </w:r>
    </w:p>
    <w:p>
      <w:pPr>
        <w:ind w:firstLine="720"/>
        <w:jc w:val="both"/>
      </w:pPr>
      <w:r>
        <w:t>Seluruh data eksperimen disimpan dalam format JSONL yang dapat dilanjutkan (</w:t>
      </w:r>
      <w:r>
        <w:rPr>
          <w:i/>
        </w:rPr>
        <w:t>resume-safe</w:t>
      </w:r>
      <w:r>
        <w:t xml:space="preserve">) untuk memastikan reprodusibilitas. Total rekaman yang dihasilkan adalah n=558 (279 </w:t>
      </w:r>
      <w:r>
        <w:rPr>
          <w:i/>
        </w:rPr>
        <w:t>baseline</w:t>
      </w:r>
      <w:r>
        <w:t xml:space="preserve"> + 279 </w:t>
      </w:r>
      <w:r>
        <w:rPr>
          <w:i/>
        </w:rPr>
        <w:t>registry</w:t>
      </w:r>
      <w:r>
        <w:t>) dari eksperimen resmi Gemini Native v2.</w:t>
      </w:r>
    </w:p>
    <w:p>
      <w:r>
        <w:br w:type="page"/>
      </w:r>
    </w:p>
    <w:p>
      <w:pPr>
        <w:pStyle w:val="Heading1"/>
      </w:pPr>
      <w:r>
        <w:t>BAB II LANDASAN TEORI</w:t>
      </w:r>
    </w:p>
    <w:p>
      <w:pPr>
        <w:ind w:firstLine="720"/>
        <w:jc w:val="both"/>
      </w:pPr>
      <w:r>
        <w:t xml:space="preserve">Bab ini menguraikan landasan teori dan tinjauan pustaka yang menjadi dasar penelitian. Pembahasan dimulai dari konsep dasar pemanggilan fungsi oleh </w:t>
      </w:r>
      <w:r>
        <w:rPr>
          <w:i/>
        </w:rPr>
        <w:t>Large Language Model</w:t>
      </w:r>
      <w:r>
        <w:t xml:space="preserve"> (LLM), fenomena degradasi performa akibat konteks panjang, pendekatan </w:t>
      </w:r>
      <w:r>
        <w:rPr>
          <w:i/>
        </w:rPr>
        <w:t>Tool RAG</w:t>
      </w:r>
      <w:r>
        <w:t xml:space="preserve"> dan </w:t>
      </w:r>
      <w:r>
        <w:rPr>
          <w:i/>
        </w:rPr>
        <w:t>Tool Registry</w:t>
      </w:r>
      <w:r>
        <w:t xml:space="preserve"> sebagai solusi, posisi penelitian terhadap antarmuka </w:t>
      </w:r>
      <w:r>
        <w:rPr>
          <w:i/>
        </w:rPr>
        <w:t>native</w:t>
      </w:r>
      <w:r>
        <w:t xml:space="preserve"> kerangka Pydantic AI, serta kerangka metodologis </w:t>
      </w:r>
      <w:r>
        <w:rPr>
          <w:i/>
        </w:rPr>
        <w:t>Design Science Research</w:t>
      </w:r>
      <w:r>
        <w:t>. Bab ditutup dengan tabel perbandingan penelitian terdahulu untuk menegaskan kebaruan penelitian ini.</w:t>
      </w:r>
    </w:p>
    <w:p>
      <w:pPr>
        <w:pStyle w:val="Heading2"/>
      </w:pPr>
      <w:r>
        <w:t>2.1 LLM dan Pemanggilan Fungsi (Tool-Calling)</w:t>
      </w:r>
    </w:p>
    <w:p>
      <w:pPr>
        <w:ind w:firstLine="720"/>
        <w:jc w:val="both"/>
      </w:pPr>
      <w:r>
        <w:t xml:space="preserve">Kemampuan LLM untuk memanggil fungsi eksternal merupakan fondasi dari sistem AI Agent modern. Schick et al. (2023) melalui Toolformer [3] membuktikan bahwa LLM dapat belajar memutuskan </w:t>
      </w:r>
      <w:r>
        <w:rPr>
          <w:i/>
        </w:rPr>
        <w:t>tool</w:t>
      </w:r>
      <w:r>
        <w:t xml:space="preserve"> mana yang dipanggil, kapan memanggilnya, argumen apa yang diberikan, serta bagaimana mengintegrasikan hasilnya ke dalam prediksi token berikutnya — seluruhnya secara </w:t>
      </w:r>
      <w:r>
        <w:rPr>
          <w:i/>
        </w:rPr>
        <w:t>self-supervised</w:t>
      </w:r>
      <w:r>
        <w:t xml:space="preserve"> tanpa anotasi manusia dalam skala besar. Temuan ini mengatasi keterbatasan fundamental LLM dalam aritmetika dan pencarian fakta, sekaligus membuktikan bahwa kapabilitas </w:t>
      </w:r>
      <w:r>
        <w:rPr>
          <w:i/>
        </w:rPr>
        <w:t>tool use</w:t>
      </w:r>
      <w:r>
        <w:t xml:space="preserve"> dapat ditanamkan ke dalam LLM dengan </w:t>
      </w:r>
      <w:r>
        <w:rPr>
          <w:i/>
        </w:rPr>
        <w:t>overhead</w:t>
      </w:r>
      <w:r>
        <w:t xml:space="preserve"> pelatihan yang minimal.</w:t>
      </w:r>
    </w:p>
    <w:p>
      <w:pPr>
        <w:ind w:firstLine="720"/>
        <w:jc w:val="both"/>
      </w:pPr>
      <w:r>
        <w:t>Kemampuan tersebut dioperasionalkan ke dalam sebuah arsitektur agen melalui kerangka ReAct yang diperkenalkan oleh Yao et al. (2023) [4]. ReAct menggabungkan penalaran berantai (</w:t>
      </w:r>
      <w:r>
        <w:rPr>
          <w:i/>
        </w:rPr>
        <w:t>chain-of-thought reasoning</w:t>
      </w:r>
      <w:r>
        <w:t xml:space="preserve">) dengan aksi pemanggilan </w:t>
      </w:r>
      <w:r>
        <w:rPr>
          <w:i/>
        </w:rPr>
        <w:t>tool</w:t>
      </w:r>
      <w:r>
        <w:t xml:space="preserve"> secara berselang-seling melalui siklus Thought→Action→Observation. Model menyusun rencana (</w:t>
      </w:r>
      <w:r>
        <w:rPr>
          <w:i/>
        </w:rPr>
        <w:t>Thought</w:t>
      </w:r>
      <w:r>
        <w:t xml:space="preserve">), memanggil sebuah </w:t>
      </w:r>
      <w:r>
        <w:rPr>
          <w:i/>
        </w:rPr>
        <w:t>tool</w:t>
      </w:r>
      <w:r>
        <w:t xml:space="preserve"> (</w:t>
      </w:r>
      <w:r>
        <w:rPr>
          <w:i/>
        </w:rPr>
        <w:t>Action</w:t>
      </w:r>
      <w:r>
        <w:t>), mengamati hasilnya (</w:t>
      </w:r>
      <w:r>
        <w:rPr>
          <w:i/>
        </w:rPr>
        <w:t>Observation</w:t>
      </w:r>
      <w:r>
        <w:t xml:space="preserve">), lalu memperbarui rencana pada iterasi berikutnya. Pada </w:t>
      </w:r>
      <w:r>
        <w:rPr>
          <w:i/>
        </w:rPr>
        <w:t>benchmark</w:t>
      </w:r>
      <w:r>
        <w:t xml:space="preserve"> ALFWorld dan WebShop, ReAct mengungguli pendekatan </w:t>
      </w:r>
      <w:r>
        <w:rPr>
          <w:i/>
        </w:rPr>
        <w:t>imitation learning</w:t>
      </w:r>
      <w:r>
        <w:t xml:space="preserve"> dan </w:t>
      </w:r>
      <w:r>
        <w:rPr>
          <w:i/>
        </w:rPr>
        <w:t>reinforcement learning</w:t>
      </w:r>
      <w:r>
        <w:t xml:space="preserve"> dengan margin absolut masing-masing 34% dan 10%. Kerangka ini menjadi rujukan standar bagi arsitektur AI Agent modern, termasuk agen yang dibangun pada platform zerlo.id.</w:t>
      </w:r>
    </w:p>
    <w:p>
      <w:pPr>
        <w:ind w:firstLine="720"/>
        <w:jc w:val="both"/>
      </w:pPr>
      <w:r>
        <w:t xml:space="preserve">Secara industri, kemampuan </w:t>
      </w:r>
      <w:r>
        <w:rPr>
          <w:i/>
        </w:rPr>
        <w:t>tool-calling</w:t>
      </w:r>
      <w:r>
        <w:t xml:space="preserve"> dijadikan fitur siap produksi pertama kali oleh OpenAI pada Juni 2023 [1]. Pengumuman tersebut memungkinkan pengembang mendefinisikan fungsi dan memperoleh keluaran JSON terstruktur berisi argumen pemanggilan fungsi dari model yang telah di-</w:t>
      </w:r>
      <w:r>
        <w:rPr>
          <w:i/>
        </w:rPr>
        <w:t>fine-tune</w:t>
      </w:r>
      <w:r>
        <w:t xml:space="preserve"> untuk mendeteksi kapan sebuah fungsi perlu dipanggil. Standar </w:t>
      </w:r>
      <w:r>
        <w:rPr>
          <w:i/>
        </w:rPr>
        <w:t>de facto</w:t>
      </w:r>
      <w:r>
        <w:t xml:space="preserve"> ini kemudian diadopsi oleh Anthropic dan Google. Google DeepMind menyediakan mekanisme </w:t>
      </w:r>
      <w:r>
        <w:rPr>
          <w:i/>
        </w:rPr>
        <w:t>native function calling</w:t>
      </w:r>
      <w:r>
        <w:t xml:space="preserve"> pada Gemini melalui </w:t>
      </w:r>
      <w:r>
        <w:rPr>
          <w:i/>
        </w:rPr>
        <w:t>FunctionDeclaration</w:t>
      </w:r>
      <w:r>
        <w:t xml:space="preserve"> [2], di mana skema </w:t>
      </w:r>
      <w:r>
        <w:rPr>
          <w:i/>
        </w:rPr>
        <w:t>tool</w:t>
      </w:r>
      <w:r>
        <w:t xml:space="preserve"> didefinisikan sebagai JSON Schema yang diteruskan ke model sebelum inferensi, dan model memutuskan </w:t>
      </w:r>
      <w:r>
        <w:rPr>
          <w:i/>
        </w:rPr>
        <w:t>tool</w:t>
      </w:r>
      <w:r>
        <w:t xml:space="preserve"> yang dipanggil berdasarkan konteks percakapan. Penelitian ini menggunakan mekanisme </w:t>
      </w:r>
      <w:r>
        <w:rPr>
          <w:i/>
        </w:rPr>
        <w:t>native function calling</w:t>
      </w:r>
      <w:r>
        <w:t xml:space="preserve"> Gemini 2.5 Flash Lite sebagai </w:t>
      </w:r>
      <w:r>
        <w:rPr>
          <w:i/>
        </w:rPr>
        <w:t>backend</w:t>
      </w:r>
      <w:r>
        <w:t xml:space="preserve"> pengukuran, sehingga pemahaman atas cara </w:t>
      </w:r>
      <w:r>
        <w:rPr>
          <w:i/>
        </w:rPr>
        <w:t>tool</w:t>
      </w:r>
      <w:r>
        <w:t xml:space="preserve"> didefinisikan dan dipilih oleh model menjadi fondasi teknis langsung bagi evaluasi Tool Registry.</w:t>
      </w:r>
    </w:p>
    <w:p>
      <w:pPr>
        <w:pStyle w:val="Heading2"/>
      </w:pPr>
      <w:r>
        <w:t>2.2 Rekayasa Konteks dan Context Rot</w:t>
      </w:r>
    </w:p>
    <w:p>
      <w:pPr>
        <w:ind w:firstLine="720"/>
        <w:jc w:val="both"/>
      </w:pPr>
      <w:r>
        <w:t xml:space="preserve">Penyertaan seluruh definisi </w:t>
      </w:r>
      <w:r>
        <w:rPr>
          <w:i/>
        </w:rPr>
        <w:t>tool</w:t>
      </w:r>
      <w:r>
        <w:t xml:space="preserve"> ke dalam jendela konteks (</w:t>
      </w:r>
      <w:r>
        <w:rPr>
          <w:i/>
        </w:rPr>
        <w:t>context window</w:t>
      </w:r>
      <w:r>
        <w:t xml:space="preserve">) LLM menimbulkan konsekuensi yang telah dibuktikan secara empiris. Liu et al. (2024) dalam penelitian "Lost in the Middle" [5] menemukan bahwa performa LLM optimal ketika informasi relevan berada di awal atau akhir konteks, namun menurun signifikan ketika informasi tersebut berada di bagian tengah konteks panjang. Efek ini muncul bahkan pada model yang secara eksplisit dirancang untuk konteks panjang. Implikasinya langsung bagi penelitian ini: pemberian 300 definisi </w:t>
      </w:r>
      <w:r>
        <w:rPr>
          <w:i/>
        </w:rPr>
        <w:t>tool</w:t>
      </w:r>
      <w:r>
        <w:t xml:space="preserve"> sekaligus kepada LLM — sebagaimana terjadi pada skenario S3 </w:t>
      </w:r>
      <w:r>
        <w:rPr>
          <w:i/>
        </w:rPr>
        <w:t>baseline</w:t>
      </w:r>
      <w:r>
        <w:t xml:space="preserve"> yang mengonsumsi 23.893 token — secara inheren menurunkan akurasi pemilihan </w:t>
      </w:r>
      <w:r>
        <w:rPr>
          <w:i/>
        </w:rPr>
        <w:t>tool</w:t>
      </w:r>
      <w:r>
        <w:t xml:space="preserve"> karena sebagian definisi pasti berada di posisi tengah yang rawan diabaikan.</w:t>
      </w:r>
    </w:p>
    <w:p>
      <w:pPr>
        <w:ind w:firstLine="720"/>
        <w:jc w:val="both"/>
      </w:pPr>
      <w:r>
        <w:t xml:space="preserve">Fenomena degradasi ini dikenal sebagai </w:t>
      </w:r>
      <w:r>
        <w:rPr>
          <w:i/>
        </w:rPr>
        <w:t>context rot</w:t>
      </w:r>
      <w:r>
        <w:t xml:space="preserve">. Lee (2025) [16] mendokumentasikan bahwa akurasi Claude 3.5 Sonnet menurun dari 88% menjadi 30% pada penalaran </w:t>
      </w:r>
      <w:r>
        <w:rPr>
          <w:i/>
        </w:rPr>
        <w:t>two-hop</w:t>
      </w:r>
      <w:r>
        <w:t xml:space="preserve"> ketika konteks diperpanjang hingga 32.000 token, dan menjelaskan akar arsitekturalnya: mekanisme </w:t>
      </w:r>
      <w:r>
        <w:rPr>
          <w:i/>
        </w:rPr>
        <w:t>attention</w:t>
      </w:r>
      <w:r>
        <w:t xml:space="preserve"> memiliki sifat penskalaan kuadratik (O(n²)) sehingga setiap token tambahan meningkatkan beban komputasi dan menurunkan kemampuan model merecall informasi secara akurat. Penelitian lanjutan [17] memperkuat temuan ini dengan memisahkan efek panjang konteks dari kualitas </w:t>
      </w:r>
      <w:r>
        <w:rPr>
          <w:i/>
        </w:rPr>
        <w:t>retrieval</w:t>
      </w:r>
      <w:r>
        <w:t xml:space="preserve"> — dengan mengendalikan </w:t>
      </w:r>
      <w:r>
        <w:rPr>
          <w:i/>
        </w:rPr>
        <w:t>perfect retrieval</w:t>
      </w:r>
      <w:r>
        <w:t xml:space="preserve"> (informasi relevan selalu tersedia) dan hanya memvariasikan panjang konteks total, degradasi performa tetap terjadi semata-mata karena konteks lebih panjang. Temuan ini membantah anggapan bahwa jendela konteks yang besar sudah memadai.</w:t>
      </w:r>
    </w:p>
    <w:p>
      <w:pPr>
        <w:ind w:firstLine="720"/>
        <w:jc w:val="both"/>
      </w:pPr>
      <w:r>
        <w:t xml:space="preserve">Sebagai respons, Rajasekaran et al. (2025) dari Anthropic [7] mendefinisikan </w:t>
      </w:r>
      <w:r>
        <w:rPr>
          <w:i/>
        </w:rPr>
        <w:t>context engineering</w:t>
      </w:r>
      <w:r>
        <w:t xml:space="preserve"> sebagai strategi mengkurasi dan mempertahankan himpunan token optimal selama inferensi LLM. Tiga prinsip yang dikemukakan relevan langsung bagi penelitian ini: (1) kemampuan model merecall informasi menurun seiring bertambahnya jumlah token (</w:t>
      </w:r>
      <w:r>
        <w:rPr>
          <w:i/>
        </w:rPr>
        <w:t>context rot</w:t>
      </w:r>
      <w:r>
        <w:t xml:space="preserve">); (2) himpunan </w:t>
      </w:r>
      <w:r>
        <w:rPr>
          <w:i/>
        </w:rPr>
        <w:t>tool</w:t>
      </w:r>
      <w:r>
        <w:t xml:space="preserve"> yang membengkak (</w:t>
      </w:r>
      <w:r>
        <w:rPr>
          <w:i/>
        </w:rPr>
        <w:t>bloated tool sets</w:t>
      </w:r>
      <w:r>
        <w:t>) menyebabkan titik keputusan ambigu dan kegagalan agen; serta (3) tujuan optimal adalah menemukan himpunan token bersinyal-tinggi sekecil mungkin (</w:t>
      </w:r>
      <w:r>
        <w:rPr>
          <w:i/>
        </w:rPr>
        <w:t>smallest possible set of high-signal tokens</w:t>
      </w:r>
      <w:r>
        <w:t>). Tool Registry yang dievaluasi pada penelitian ini merupakan implementasi langsung dari prinsip ketiga tersebut.</w:t>
      </w:r>
    </w:p>
    <w:p>
      <w:pPr>
        <w:pStyle w:val="Heading2"/>
      </w:pPr>
      <w:r>
        <w:t>2.3 Tool RAG — Retrieval Tool Berbasis Vektor</w:t>
      </w:r>
    </w:p>
    <w:p>
      <w:pPr>
        <w:ind w:firstLine="720"/>
        <w:jc w:val="both"/>
      </w:pPr>
      <w:r>
        <w:t xml:space="preserve">Pendekatan dominan untuk mengatasi </w:t>
      </w:r>
      <w:r>
        <w:rPr>
          <w:i/>
        </w:rPr>
        <w:t>tool overload</w:t>
      </w:r>
      <w:r>
        <w:t xml:space="preserve"> di komunitas riset adalah </w:t>
      </w:r>
      <w:r>
        <w:rPr>
          <w:i/>
        </w:rPr>
        <w:t>Tool RAG</w:t>
      </w:r>
      <w:r>
        <w:t xml:space="preserve"> (</w:t>
      </w:r>
      <w:r>
        <w:rPr>
          <w:i/>
        </w:rPr>
        <w:t>Retrieval-Augmented Generation</w:t>
      </w:r>
      <w:r>
        <w:t xml:space="preserve"> untuk </w:t>
      </w:r>
      <w:r>
        <w:rPr>
          <w:i/>
        </w:rPr>
        <w:t>tools</w:t>
      </w:r>
      <w:r>
        <w:t xml:space="preserve">): alih-alih menyertakan seluruh katalog, sistem mengambil hanya </w:t>
      </w:r>
      <w:r>
        <w:rPr>
          <w:i/>
        </w:rPr>
        <w:t>tool</w:t>
      </w:r>
      <w:r>
        <w:t xml:space="preserve"> yang paling relevan secara semantik sebelum memanggil LLM. Patil et al. (2023) melalui Gorilla [8] menjadi rujukan fondasional pendekatan ini dengan membuktikan bahwa GPT-4 sering berhalusinasi nama dan argumen API ketika diberikan katalog besar. Dengan menggabungkan </w:t>
      </w:r>
      <w:r>
        <w:rPr>
          <w:i/>
        </w:rPr>
        <w:t>document retriever</w:t>
      </w:r>
      <w:r>
        <w:t>, Gorilla — model berbasis LLaMA yang di-</w:t>
      </w:r>
      <w:r>
        <w:rPr>
          <w:i/>
        </w:rPr>
        <w:t>fine-tune</w:t>
      </w:r>
      <w:r>
        <w:t xml:space="preserve"> atas lebih dari 11.000 pasangan instruksi-API — mampu beradaptasi terhadap perubahan dokumentasi API secara </w:t>
      </w:r>
      <w:r>
        <w:rPr>
          <w:i/>
        </w:rPr>
        <w:t>real-time</w:t>
      </w:r>
      <w:r>
        <w:t xml:space="preserve">. Proyek ini juga melahirkan </w:t>
      </w:r>
      <w:r>
        <w:rPr>
          <w:i/>
        </w:rPr>
        <w:t>Berkeley Function Calling Leaderboard</w:t>
      </w:r>
      <w:r>
        <w:t xml:space="preserve"> (BFCL) yang menjadi standar evaluasi </w:t>
      </w:r>
      <w:r>
        <w:rPr>
          <w:i/>
        </w:rPr>
        <w:t>tool-calling</w:t>
      </w:r>
      <w:r>
        <w:t>.</w:t>
      </w:r>
    </w:p>
    <w:p>
      <w:pPr>
        <w:ind w:firstLine="720"/>
        <w:jc w:val="both"/>
      </w:pPr>
      <w:r>
        <w:t xml:space="preserve">Pada skala yang lebih besar, Qin et al. (2023) melalui ToolLLM [9] menunjukkan bahwa LLM sumber terbuka dapat di-augmentasi dengan </w:t>
      </w:r>
      <w:r>
        <w:rPr>
          <w:i/>
        </w:rPr>
        <w:t>neural API retriever</w:t>
      </w:r>
      <w:r>
        <w:t xml:space="preserve"> untuk menangani lebih dari 16.000 API nyata — skala yang jauh melampaui kapasitas pemuatan jendela konteks sekaligus. Penelitian tersebut membuktikan bahwa tanpa </w:t>
      </w:r>
      <w:r>
        <w:rPr>
          <w:i/>
        </w:rPr>
        <w:t>retriever</w:t>
      </w:r>
      <w:r>
        <w:t xml:space="preserve">, performa pemilihan </w:t>
      </w:r>
      <w:r>
        <w:rPr>
          <w:i/>
        </w:rPr>
        <w:t>tool</w:t>
      </w:r>
      <w:r>
        <w:t xml:space="preserve"> menurun drastis pada skala ribuan </w:t>
      </w:r>
      <w:r>
        <w:rPr>
          <w:i/>
        </w:rPr>
        <w:t>tool</w:t>
      </w:r>
      <w:r>
        <w:t xml:space="preserve">. Lumer (2024) melalui Toolshed [10] memperkenalkan konsep </w:t>
      </w:r>
      <w:r>
        <w:rPr>
          <w:i/>
        </w:rPr>
        <w:t>Tool Knowledge Base</w:t>
      </w:r>
      <w:r>
        <w:t xml:space="preserve"> (basis data vektor khusus </w:t>
      </w:r>
      <w:r>
        <w:rPr>
          <w:i/>
        </w:rPr>
        <w:t>tool</w:t>
      </w:r>
      <w:r>
        <w:t xml:space="preserve">) dan </w:t>
      </w:r>
      <w:r>
        <w:rPr>
          <w:i/>
        </w:rPr>
        <w:t>Advanced RAG-Tool Fusion</w:t>
      </w:r>
      <w:r>
        <w:t xml:space="preserve"> berupa tiga fase </w:t>
      </w:r>
      <w:r>
        <w:rPr>
          <w:i/>
        </w:rPr>
        <w:t>retrieval</w:t>
      </w:r>
      <w:r>
        <w:t xml:space="preserve"> tanpa </w:t>
      </w:r>
      <w:r>
        <w:rPr>
          <w:i/>
        </w:rPr>
        <w:t>fine-tuning</w:t>
      </w:r>
      <w:r>
        <w:t xml:space="preserve">, yang mencapai peningkatan Recall@5 sebesar 46–56% dibandingkan </w:t>
      </w:r>
      <w:r>
        <w:rPr>
          <w:i/>
        </w:rPr>
        <w:t>baseline</w:t>
      </w:r>
      <w:r>
        <w:t>. Arsitektur Toolshed paling dekat analoginya dengan lapisan penyaringan yang diteliti pada thesis ini.</w:t>
      </w:r>
    </w:p>
    <w:p>
      <w:pPr>
        <w:ind w:firstLine="720"/>
        <w:jc w:val="both"/>
      </w:pPr>
      <w:r>
        <w:t xml:space="preserve">Penelitian lanjutan mengidentifikasi keterbatasan </w:t>
      </w:r>
      <w:r>
        <w:rPr>
          <w:i/>
        </w:rPr>
        <w:t>retrieval</w:t>
      </w:r>
      <w:r>
        <w:t xml:space="preserve"> berbasis kesamaan semantik murni. COLT [18] menunjukkan bahwa pendekatan </w:t>
      </w:r>
      <w:r>
        <w:rPr>
          <w:i/>
        </w:rPr>
        <w:t>similarity</w:t>
      </w:r>
      <w:r>
        <w:t xml:space="preserve"> cenderung mengambil </w:t>
      </w:r>
      <w:r>
        <w:rPr>
          <w:i/>
        </w:rPr>
        <w:t>tool</w:t>
      </w:r>
      <w:r>
        <w:t xml:space="preserve"> yang redundan alih-alih komplementer, dan mengusulkan </w:t>
      </w:r>
      <w:r>
        <w:rPr>
          <w:i/>
        </w:rPr>
        <w:t>dual-view graph collaborative learning</w:t>
      </w:r>
      <w:r>
        <w:t xml:space="preserve"> untuk menangkap relasi kolaboratif antar-</w:t>
      </w:r>
      <w:r>
        <w:rPr>
          <w:i/>
        </w:rPr>
        <w:t>tool</w:t>
      </w:r>
      <w:r>
        <w:t xml:space="preserve">; hasilnya, BERT-mini (11M parameter) mengungguli BERT-large (340M parameter) pada </w:t>
      </w:r>
      <w:r>
        <w:rPr>
          <w:i/>
        </w:rPr>
        <w:t>benchmark</w:t>
      </w:r>
      <w:r>
        <w:t xml:space="preserve"> ToolLens. Temuan ini menegaskan bahwa kualitas </w:t>
      </w:r>
      <w:r>
        <w:rPr>
          <w:i/>
        </w:rPr>
        <w:t>retrieval</w:t>
      </w:r>
      <w:r>
        <w:t xml:space="preserve"> lebih ditentukan oleh strategi daripada ukuran model. Adapun BFCL [19] dalam perkembangannya menjadi </w:t>
      </w:r>
      <w:r>
        <w:rPr>
          <w:i/>
        </w:rPr>
        <w:t>benchmark</w:t>
      </w:r>
      <w:r>
        <w:t xml:space="preserve"> holistik yang mengevaluasi </w:t>
      </w:r>
      <w:r>
        <w:rPr>
          <w:i/>
        </w:rPr>
        <w:t>tool-calling</w:t>
      </w:r>
      <w:r>
        <w:t xml:space="preserve"> melalui </w:t>
      </w:r>
      <w:r>
        <w:rPr>
          <w:i/>
        </w:rPr>
        <w:t>single-turn calls</w:t>
      </w:r>
      <w:r>
        <w:t xml:space="preserve">, deteksi halusinasi, sensitivitas format, dan interaksi </w:t>
      </w:r>
      <w:r>
        <w:rPr>
          <w:i/>
        </w:rPr>
        <w:t>multi-turn</w:t>
      </w:r>
      <w:r>
        <w:t xml:space="preserve">; metodologi penilaian akurasi pada penelitian ini — yakni menilai apakah LLM memilih </w:t>
      </w:r>
      <w:r>
        <w:rPr>
          <w:i/>
        </w:rPr>
        <w:t>tool</w:t>
      </w:r>
      <w:r>
        <w:t xml:space="preserve"> yang tepat — mengikuti semangat evaluasi BFCL. Meskipun demikian, pendekatan berbasis </w:t>
      </w:r>
      <w:r>
        <w:rPr>
          <w:i/>
        </w:rPr>
        <w:t>embedding</w:t>
      </w:r>
      <w:r>
        <w:t xml:space="preserve"> membawa kompleksitas infrastruktur tersendiri (model </w:t>
      </w:r>
      <w:r>
        <w:rPr>
          <w:i/>
        </w:rPr>
        <w:t>embedding</w:t>
      </w:r>
      <w:r>
        <w:t xml:space="preserve">, basis data vektor, </w:t>
      </w:r>
      <w:r>
        <w:rPr>
          <w:i/>
        </w:rPr>
        <w:t>pipeline</w:t>
      </w:r>
      <w:r>
        <w:t xml:space="preserve"> sinkronisasi) yang tidak selalu tersedia pada sistem ERP berukuran menengah, sehingga </w:t>
      </w:r>
      <w:r>
        <w:rPr>
          <w:i/>
        </w:rPr>
        <w:t>Tool RAG</w:t>
      </w:r>
      <w:r>
        <w:t xml:space="preserve"> diposisikan sebagai </w:t>
      </w:r>
      <w:r>
        <w:rPr>
          <w:i/>
        </w:rPr>
        <w:t>future work</w:t>
      </w:r>
      <w:r>
        <w:t xml:space="preserve"> dalam penelitian ini.</w:t>
      </w:r>
    </w:p>
    <w:p>
      <w:pPr>
        <w:pStyle w:val="Heading2"/>
      </w:pPr>
      <w:r>
        <w:t>2.4 Tool Registry dan Manajemen Tool</w:t>
      </w:r>
    </w:p>
    <w:p>
      <w:pPr>
        <w:ind w:firstLine="720"/>
        <w:jc w:val="both"/>
      </w:pPr>
      <w:r>
        <w:t xml:space="preserve">Sebagai alternatif yang lebih deterministik dan ringan dibanding </w:t>
      </w:r>
      <w:r>
        <w:rPr>
          <w:i/>
        </w:rPr>
        <w:t>Tool RAG</w:t>
      </w:r>
      <w:r>
        <w:t xml:space="preserve">, konsep </w:t>
      </w:r>
      <w:r>
        <w:rPr>
          <w:i/>
        </w:rPr>
        <w:t>Tool Registry</w:t>
      </w:r>
      <w:r>
        <w:t xml:space="preserve"> menerapkan penyaringan berbasis metadata terstruktur tanpa ketergantungan pada </w:t>
      </w:r>
      <w:r>
        <w:rPr>
          <w:i/>
        </w:rPr>
        <w:t>embedding</w:t>
      </w:r>
      <w:r>
        <w:t xml:space="preserve">. Gaurav et al. (2025) melalui Dynamic ReAct [11] mengatasi persoalan yang serupa dengan penelitian ini — keterbatasan konteks LLM yang tidak mampu menampung ratusan hingga ribuan </w:t>
      </w:r>
      <w:r>
        <w:rPr>
          <w:i/>
        </w:rPr>
        <w:t>tool</w:t>
      </w:r>
      <w:r>
        <w:t xml:space="preserve"> MCP — dan membuktikan bahwa pemuatan </w:t>
      </w:r>
      <w:r>
        <w:rPr>
          <w:i/>
        </w:rPr>
        <w:t>tool</w:t>
      </w:r>
      <w:r>
        <w:t xml:space="preserve"> secara dinamis mengurangi beban pemuatan hingga 50% sambil mempertahankan akurasi penyelesaian tugas. Hasil ini sejajar langsung dengan temuan penelitian ini, yakni pengurangan </w:t>
      </w:r>
      <w:r>
        <w:rPr>
          <w:i/>
        </w:rPr>
        <w:t>visible tools</w:t>
      </w:r>
      <w:r>
        <w:t xml:space="preserve"> dari 300 menjadi 15 (−95%) tanpa degradasi akurasi.</w:t>
      </w:r>
    </w:p>
    <w:p>
      <w:pPr>
        <w:ind w:firstLine="720"/>
        <w:jc w:val="both"/>
      </w:pPr>
      <w:r>
        <w:t xml:space="preserve">Justifikasi teoritis tambahan diberikan oleh Jia dan Li (2025) melalui AutoTool [12] yang memperkenalkan konsep </w:t>
      </w:r>
      <w:r>
        <w:rPr>
          <w:i/>
        </w:rPr>
        <w:t>tool usage inertia</w:t>
      </w:r>
      <w:r>
        <w:t xml:space="preserve"> — kecenderungan pemanggilan </w:t>
      </w:r>
      <w:r>
        <w:rPr>
          <w:i/>
        </w:rPr>
        <w:t>tool</w:t>
      </w:r>
      <w:r>
        <w:t xml:space="preserve"> mengikuti pola sekuensial yang dapat diprediksi. Dengan memodelkan pola tersebut sebagai </w:t>
      </w:r>
      <w:r>
        <w:rPr>
          <w:i/>
        </w:rPr>
        <w:t>directed graph</w:t>
      </w:r>
      <w:r>
        <w:t xml:space="preserve"> dari trajektori historis agen, AutoTool mengurangi biaya inferensi hingga 30% sambil mempertahankan tingkat penyelesaian tugas. Apabila pemanggilan </w:t>
      </w:r>
      <w:r>
        <w:rPr>
          <w:i/>
        </w:rPr>
        <w:t>tool</w:t>
      </w:r>
      <w:r>
        <w:t xml:space="preserve"> memang berpola, maka penyaringan berbasis modul, peran, dan tingkat langganan sebagaimana diterapkan zerlo.id telah menangkap sebagian besar inersia tersebut secara deterministik. Pada arah evolusi sistem, ScaleMCP [20] mengusulkan </w:t>
      </w:r>
      <w:r>
        <w:rPr>
          <w:i/>
        </w:rPr>
        <w:t>registry</w:t>
      </w:r>
      <w:r>
        <w:t xml:space="preserve"> yang melakukan auto-sinkronisasi melalui operasi CRUD agar katalog </w:t>
      </w:r>
      <w:r>
        <w:rPr>
          <w:i/>
        </w:rPr>
        <w:t>tool</w:t>
      </w:r>
      <w:r>
        <w:t xml:space="preserve"> selalu mutakhir, sebuah visi jangka panjang yang relevan bagi pengembangan lanjutan zerlo.id.</w:t>
      </w:r>
    </w:p>
    <w:p>
      <w:pPr>
        <w:ind w:firstLine="720"/>
        <w:jc w:val="both"/>
      </w:pPr>
      <w:r>
        <w:t xml:space="preserve">Skala persoalan ini divalidasi pada tingkat industri oleh Wang et al. (2025) melalui MCP-Flow [13], yang mendokumentasikan 11.536 </w:t>
      </w:r>
      <w:r>
        <w:rPr>
          <w:i/>
        </w:rPr>
        <w:t>tool</w:t>
      </w:r>
      <w:r>
        <w:t xml:space="preserve"> pada 1.166 server MCP — membuktikan bahwa penskalaan katalog </w:t>
      </w:r>
      <w:r>
        <w:rPr>
          <w:i/>
        </w:rPr>
        <w:t>tool</w:t>
      </w:r>
      <w:r>
        <w:t xml:space="preserve"> ke ribuan entri merupakan tantangan nyata, bukan skenario hipotetis. Adopsi pola ini juga telah mencapai tingkat </w:t>
      </w:r>
      <w:r>
        <w:rPr>
          <w:i/>
        </w:rPr>
        <w:t>hyperscaler</w:t>
      </w:r>
      <w:r>
        <w:t xml:space="preserve">: AWS Agent Registry [14] menyediakan manajemen metadata, kendali akses berbasis IAM, pelacakan siklus hidup, dan </w:t>
      </w:r>
      <w:r>
        <w:rPr>
          <w:i/>
        </w:rPr>
        <w:t>hybrid search</w:t>
      </w:r>
      <w:r>
        <w:t xml:space="preserve"> (kata kunci + semantik). Pada tataran konseptual, TrueFoundry [21] mendefinisikan enam fungsi inti </w:t>
      </w:r>
      <w:r>
        <w:rPr>
          <w:i/>
        </w:rPr>
        <w:t>agent registry</w:t>
      </w:r>
      <w:r>
        <w:t xml:space="preserve"> — registrasi, penemuan (</w:t>
      </w:r>
      <w:r>
        <w:rPr>
          <w:i/>
        </w:rPr>
        <w:t>discovery</w:t>
      </w:r>
      <w:r>
        <w:t xml:space="preserve">), manajemen metadata, pemantauan kesehatan, kendali akses, dan pencatatan audit — yang memberikan kerangka untuk mengevaluasi kelengkapan implementasi. Kolchinsky dari Red Hat (2025) [22] secara independen sampai pada kesimpulan yang sama dengan penelitian ini, yakni bahwa pemberian seluruh </w:t>
      </w:r>
      <w:r>
        <w:rPr>
          <w:i/>
        </w:rPr>
        <w:t>tool</w:t>
      </w:r>
      <w:r>
        <w:t xml:space="preserve"> sekaligus menurunkan akurasi secara drastis, dan menyatakan bahwa </w:t>
      </w:r>
      <w:r>
        <w:rPr>
          <w:i/>
        </w:rPr>
        <w:t>retrieval tool</w:t>
      </w:r>
      <w:r>
        <w:t xml:space="preserve"> yang cerdas dapat melipattigakan akurasi </w:t>
      </w:r>
      <w:r>
        <w:rPr>
          <w:i/>
        </w:rPr>
        <w:t>invocation</w:t>
      </w:r>
      <w:r>
        <w:t xml:space="preserve"> sambil mempersingkat </w:t>
      </w:r>
      <w:r>
        <w:rPr>
          <w:i/>
        </w:rPr>
        <w:t>prompt</w:t>
      </w:r>
      <w:r>
        <w:t xml:space="preserve"> — selaras dengan temuan penelitian ini berupa peningkatan akurasi 6,3 pp dengan pengurangan </w:t>
      </w:r>
      <w:r>
        <w:rPr>
          <w:i/>
        </w:rPr>
        <w:t>prompt</w:t>
      </w:r>
      <w:r>
        <w:t xml:space="preserve"> 63–95%.</w:t>
      </w:r>
    </w:p>
    <w:p>
      <w:pPr>
        <w:pStyle w:val="Heading2"/>
      </w:pPr>
      <w:r>
        <w:t>2.5 Antarmuka Native Pydantic AI vs Tool Registry zerlo.id</w:t>
      </w:r>
    </w:p>
    <w:p>
      <w:pPr>
        <w:ind w:firstLine="720"/>
        <w:jc w:val="both"/>
      </w:pPr>
      <w:r>
        <w:t xml:space="preserve">Platform zerlo.id membangun AI Agent di atas kerangka Pydantic AI [23], yang menyediakan abstraksi </w:t>
      </w:r>
      <w:r>
        <w:rPr>
          <w:rFonts w:ascii="Courier New" w:hAnsi="Courier New"/>
        </w:rPr>
        <w:t>AbstractToolset</w:t>
      </w:r>
      <w:r>
        <w:t xml:space="preserve"> sebagai kontrak pengelolaan himpunan </w:t>
      </w:r>
      <w:r>
        <w:rPr>
          <w:i/>
        </w:rPr>
        <w:t>tool</w:t>
      </w:r>
      <w:r>
        <w:t xml:space="preserve">. Salah satu implementasi turunannya, </w:t>
      </w:r>
      <w:r>
        <w:rPr>
          <w:rFonts w:ascii="Courier New" w:hAnsi="Courier New"/>
        </w:rPr>
        <w:t>FilteredToolset</w:t>
      </w:r>
      <w:r>
        <w:t xml:space="preserve">, memungkinkan penyaringan </w:t>
      </w:r>
      <w:r>
        <w:rPr>
          <w:i/>
        </w:rPr>
        <w:t>tool</w:t>
      </w:r>
      <w:r>
        <w:t xml:space="preserve"> berdasarkan sebuah predikat tunggal (</w:t>
      </w:r>
      <w:r>
        <w:rPr>
          <w:i/>
        </w:rPr>
        <w:t>single predicate</w:t>
      </w:r>
      <w:r>
        <w:t xml:space="preserve">) — misalnya menyaring </w:t>
      </w:r>
      <w:r>
        <w:rPr>
          <w:i/>
        </w:rPr>
        <w:t>tool</w:t>
      </w:r>
      <w:r>
        <w:t xml:space="preserve"> berdasarkan satu atribut konteks pemanggilan. Antarmuka ini memadai untuk kebutuhan penyaringan sederhana, namun tidak dirancang untuk penyaringan multi-kriteria yang dibutuhkan platform ERP multi-modul.</w:t>
      </w:r>
    </w:p>
    <w:p>
      <w:pPr>
        <w:ind w:firstLine="720"/>
        <w:jc w:val="both"/>
      </w:pPr>
      <w:r>
        <w:t xml:space="preserve">Tool Registry zerlo.id memposisikan diri sebagai lapisan multi-kriteria di atas antarmuka </w:t>
      </w:r>
      <w:r>
        <w:rPr>
          <w:i/>
        </w:rPr>
        <w:t>native</w:t>
      </w:r>
      <w:r>
        <w:t xml:space="preserve"> tersebut. Berbeda dengan </w:t>
      </w:r>
      <w:r>
        <w:rPr>
          <w:rFonts w:ascii="Courier New" w:hAnsi="Courier New"/>
        </w:rPr>
        <w:t>FilteredToolset</w:t>
      </w:r>
      <w:r>
        <w:t xml:space="preserve"> yang mengevaluasi satu predikat, Tool Registry menyaring katalog berdasarkan kombinasi modul, peran (</w:t>
      </w:r>
      <w:r>
        <w:rPr>
          <w:i/>
        </w:rPr>
        <w:t>role</w:t>
      </w:r>
      <w:r>
        <w:t>), tingkat langganan (</w:t>
      </w:r>
      <w:r>
        <w:rPr>
          <w:i/>
        </w:rPr>
        <w:t>subscription tier</w:t>
      </w:r>
      <w:r>
        <w:t>), kata kunci (</w:t>
      </w:r>
      <w:r>
        <w:rPr>
          <w:i/>
        </w:rPr>
        <w:t>keywords</w:t>
      </w:r>
      <w:r>
        <w:t>), dan batas anggaran token (</w:t>
      </w:r>
      <w:r>
        <w:rPr>
          <w:i/>
        </w:rPr>
        <w:t>token budget</w:t>
      </w:r>
      <w:r>
        <w:t xml:space="preserve">) secara simultan, lalu menerapkan </w:t>
      </w:r>
      <w:r>
        <w:rPr>
          <w:i/>
        </w:rPr>
        <w:t>budget cap</w:t>
      </w:r>
      <w:r>
        <w:t xml:space="preserve"> untuk membatasi jumlah </w:t>
      </w:r>
      <w:r>
        <w:rPr>
          <w:i/>
        </w:rPr>
        <w:t>tool</w:t>
      </w:r>
      <w:r>
        <w:t xml:space="preserve"> yang diteruskan ke LLM. Dengan demikian, kontribusi penelitian ini bukan menggantikan abstraksi Pydantic AI, melainkan memperluasnya menjadi </w:t>
      </w:r>
      <w:r>
        <w:rPr>
          <w:i/>
        </w:rPr>
        <w:t>pipeline</w:t>
      </w:r>
      <w:r>
        <w:t xml:space="preserve"> penyaringan deterministik berbasis metadata yang sesuai dengan karakteristik ERP. Kesenjangan antara kemampuan predikat tunggal </w:t>
      </w:r>
      <w:r>
        <w:rPr>
          <w:rFonts w:ascii="Courier New" w:hAnsi="Courier New"/>
        </w:rPr>
        <w:t>FilteredToolset</w:t>
      </w:r>
      <w:r>
        <w:t xml:space="preserve"> dan kebutuhan penyaringan multi-kriteria inilah yang menjadi motivasi utama perancangan artefak pada Bab III.</w:t>
      </w:r>
    </w:p>
    <w:p>
      <w:pPr>
        <w:pStyle w:val="Heading2"/>
      </w:pPr>
      <w:r>
        <w:t>2.6 Design Science Research</w:t>
      </w:r>
    </w:p>
    <w:p>
      <w:pPr>
        <w:ind w:firstLine="720"/>
        <w:jc w:val="both"/>
      </w:pPr>
      <w:r>
        <w:t xml:space="preserve">Penelitian ini menggunakan kerangka </w:t>
      </w:r>
      <w:r>
        <w:rPr>
          <w:i/>
        </w:rPr>
        <w:t>Design Science Research</w:t>
      </w:r>
      <w:r>
        <w:t xml:space="preserve"> (DSR) sebagaimana dikemukakan oleh Hevner et al. (2004) [15]. DSR merupakan paradigma penelitian sistem informasi yang berorientasi pada penciptaan dan evaluasi artefak (</w:t>
      </w:r>
      <w:r>
        <w:rPr>
          <w:i/>
        </w:rPr>
        <w:t>artifact</w:t>
      </w:r>
      <w:r>
        <w:t>) untuk menyelesaikan masalah organisasi yang teridentifikasi. Kerangka ini terdiri dari lima tahap berurutan: identifikasi masalah (</w:t>
      </w:r>
      <w:r>
        <w:rPr>
          <w:i/>
        </w:rPr>
        <w:t>problem identification</w:t>
      </w:r>
      <w:r>
        <w:t>), penetapan tujuan solusi (</w:t>
      </w:r>
      <w:r>
        <w:rPr>
          <w:i/>
        </w:rPr>
        <w:t>objective of solution</w:t>
      </w:r>
      <w:r>
        <w:t>), perancangan dan pengembangan artefak (</w:t>
      </w:r>
      <w:r>
        <w:rPr>
          <w:i/>
        </w:rPr>
        <w:t>design and development</w:t>
      </w:r>
      <w:r>
        <w:t>), demonstrasi (</w:t>
      </w:r>
      <w:r>
        <w:rPr>
          <w:i/>
        </w:rPr>
        <w:t>demonstration</w:t>
      </w:r>
      <w:r>
        <w:t>), dan evaluasi (</w:t>
      </w:r>
      <w:r>
        <w:rPr>
          <w:i/>
        </w:rPr>
        <w:t>evaluation</w:t>
      </w:r>
      <w:r>
        <w:t>), yang ditutup dengan komunikasi hasil (</w:t>
      </w:r>
      <w:r>
        <w:rPr>
          <w:i/>
        </w:rPr>
        <w:t>communication</w:t>
      </w:r>
      <w:r>
        <w:t>). Alur tahapan tersebut beserta titik iterasi perbaikan diilustrasikan pada Gambar 2.1.</w:t>
      </w:r>
    </w:p>
    <w:p>
      <w:pPr>
        <w:keepNext/>
        <w:spacing w:before="120"/>
        <w:jc w:val="center"/>
      </w:pPr>
      <w:r>
        <w:drawing>
          <wp:inline xmlns:a="http://schemas.openxmlformats.org/drawingml/2006/main" xmlns:pic="http://schemas.openxmlformats.org/drawingml/2006/picture">
            <wp:extent cx="3718794" cy="6479999"/>
            <wp:docPr id="2" name="Picture 2"/>
            <wp:cNvGraphicFramePr>
              <a:graphicFrameLocks noChangeAspect="1"/>
            </wp:cNvGraphicFramePr>
            <a:graphic>
              <a:graphicData uri="http://schemas.openxmlformats.org/drawingml/2006/picture">
                <pic:pic>
                  <pic:nvPicPr>
                    <pic:cNvPr id="0" name="alur-penelitian-dsr.png"/>
                    <pic:cNvPicPr/>
                  </pic:nvPicPr>
                  <pic:blipFill>
                    <a:blip r:embed="rId12"/>
                    <a:stretch>
                      <a:fillRect/>
                    </a:stretch>
                  </pic:blipFill>
                  <pic:spPr>
                    <a:xfrm>
                      <a:off x="0" y="0"/>
                      <a:ext cx="3718794" cy="6479999"/>
                    </a:xfrm>
                    <a:prstGeom prst="rect"/>
                  </pic:spPr>
                </pic:pic>
              </a:graphicData>
            </a:graphic>
          </wp:inline>
        </w:drawing>
      </w:r>
    </w:p>
    <w:p>
      <w:pPr>
        <w:pStyle w:val="Caption"/>
        <w:jc w:val="center"/>
      </w:pPr>
      <w:r>
        <w:t>Gambar 2.</w:t>
      </w:r>
      <w:fldSimple w:instr=" SEQ Gambar \* ARABIC \s 1 ">
        <w:r>
          <w:t>1</w:t>
        </w:r>
      </w:fldSimple>
      <w:r>
        <w:t xml:space="preserve"> Tahapan Design Science Research pada Penelitian Ini.</w:t>
      </w:r>
    </w:p>
    <w:p>
      <w:pPr>
        <w:ind w:firstLine="720"/>
        <w:jc w:val="both"/>
      </w:pPr>
      <w:r>
        <w:t xml:space="preserve">DSR dipilih karena karakteristik penelitian ini yang menghasilkan artefak perangkat lunak konkret — </w:t>
      </w:r>
      <w:r>
        <w:rPr>
          <w:i/>
        </w:rPr>
        <w:t>dataclass</w:t>
      </w:r>
      <w:r>
        <w:t xml:space="preserve"> </w:t>
      </w:r>
      <w:r>
        <w:rPr>
          <w:rFonts w:ascii="Courier New" w:hAnsi="Courier New"/>
        </w:rPr>
        <w:t>ToolMeta</w:t>
      </w:r>
      <w:r>
        <w:t xml:space="preserve">, kelas </w:t>
      </w:r>
      <w:r>
        <w:rPr>
          <w:rFonts w:ascii="Courier New" w:hAnsi="Courier New"/>
        </w:rPr>
        <w:t>ToolRegistry</w:t>
      </w:r>
      <w:r>
        <w:t xml:space="preserve">, dan fungsi </w:t>
      </w:r>
      <w:r>
        <w:rPr>
          <w:rFonts w:ascii="Courier New" w:hAnsi="Courier New"/>
        </w:rPr>
        <w:t>registry_filter()</w:t>
      </w:r>
      <w:r>
        <w:t xml:space="preserve"> — sekaligus mengukur dampaknya secara kuantitatif. Tahap identifikasi masalah memetakan fenomena </w:t>
      </w:r>
      <w:r>
        <w:rPr>
          <w:i/>
        </w:rPr>
        <w:t>tool overload</w:t>
      </w:r>
      <w:r>
        <w:t xml:space="preserve"> dari data operasional zerlo.id; tahap perancangan menghasilkan artefak Tool Registry beserta kerangka evaluasinya; tahap demonstrasi mengintegrasikan artefak ke dalam AI Agent dan menjalankannya pada tiga skenario katalog; dan tahap evaluasi menganalisis hasil menggunakan uji statistik Wilcoxon </w:t>
      </w:r>
      <w:r>
        <w:rPr>
          <w:i/>
        </w:rPr>
        <w:t>signed-rank</w:t>
      </w:r>
      <w:r>
        <w:t xml:space="preserve">, Cohen's d, dan </w:t>
      </w:r>
      <w:r>
        <w:rPr>
          <w:i/>
        </w:rPr>
        <w:t>confidence interval</w:t>
      </w:r>
      <w:r>
        <w:t xml:space="preserve"> 95%. Pemetaan tahapan DSR secara rinci diuraikan pada Bab III.</w:t>
      </w:r>
    </w:p>
    <w:p>
      <w:pPr>
        <w:ind w:firstLine="720"/>
        <w:jc w:val="both"/>
      </w:pPr>
      <w:r>
        <w:t xml:space="preserve">Secara arsitektural, Tool Registry juga mengadaptasi pola rekayasa perangkat lunak yang telah matang dari ranah </w:t>
      </w:r>
      <w:r>
        <w:rPr>
          <w:i/>
        </w:rPr>
        <w:t>microservices</w:t>
      </w:r>
      <w:r>
        <w:t xml:space="preserve"> [24], yakni </w:t>
      </w:r>
      <w:r>
        <w:rPr>
          <w:i/>
        </w:rPr>
        <w:t>service registry</w:t>
      </w:r>
      <w:r>
        <w:t xml:space="preserve"> dan </w:t>
      </w:r>
      <w:r>
        <w:rPr>
          <w:i/>
        </w:rPr>
        <w:t>API gateway</w:t>
      </w:r>
      <w:r>
        <w:t xml:space="preserve">. Pada pola tersebut, </w:t>
      </w:r>
      <w:r>
        <w:rPr>
          <w:i/>
        </w:rPr>
        <w:t>service registry</w:t>
      </w:r>
      <w:r>
        <w:t xml:space="preserve"> menyimpan metadata layanan (lokasi, kapabilitas, status) untuk memungkinkan </w:t>
      </w:r>
      <w:r>
        <w:rPr>
          <w:i/>
        </w:rPr>
        <w:t>service discovery</w:t>
      </w:r>
      <w:r>
        <w:t xml:space="preserve">, sementara </w:t>
      </w:r>
      <w:r>
        <w:rPr>
          <w:i/>
        </w:rPr>
        <w:t>API gateway</w:t>
      </w:r>
      <w:r>
        <w:t xml:space="preserve"> berperan sebagai titik masuk tunggal yang merutekan permintaan ke layanan yang tepat. Tool Registry mengadaptasi pola ini ke domain AI Agent: LLM berperan sebagai </w:t>
      </w:r>
      <w:r>
        <w:rPr>
          <w:i/>
        </w:rPr>
        <w:t>client</w:t>
      </w:r>
      <w:r>
        <w:t xml:space="preserve">, </w:t>
      </w:r>
      <w:r>
        <w:rPr>
          <w:i/>
        </w:rPr>
        <w:t>tools</w:t>
      </w:r>
      <w:r>
        <w:t xml:space="preserve"> berperan sebagai </w:t>
      </w:r>
      <w:r>
        <w:rPr>
          <w:i/>
        </w:rPr>
        <w:t>services</w:t>
      </w:r>
      <w:r>
        <w:t xml:space="preserve">, dan Tool Registry menggabungkan fungsi </w:t>
      </w:r>
      <w:r>
        <w:rPr>
          <w:i/>
        </w:rPr>
        <w:t>service registry</w:t>
      </w:r>
      <w:r>
        <w:t xml:space="preserve"> dan </w:t>
      </w:r>
      <w:r>
        <w:rPr>
          <w:i/>
        </w:rPr>
        <w:t>API gateway</w:t>
      </w:r>
      <w:r>
        <w:t xml:space="preserve"> dengan menyaring </w:t>
      </w:r>
      <w:r>
        <w:rPr>
          <w:i/>
        </w:rPr>
        <w:t>tool</w:t>
      </w:r>
      <w:r>
        <w:t xml:space="preserve"> berdasarkan metadata sebelum diteruskan ke model.</w:t>
      </w:r>
    </w:p>
    <w:p>
      <w:pPr>
        <w:pStyle w:val="Heading2"/>
      </w:pPr>
      <w:r>
        <w:t>2.7 Penelitian Terdahulu</w:t>
      </w:r>
    </w:p>
    <w:p>
      <w:pPr>
        <w:ind w:firstLine="720"/>
        <w:jc w:val="both"/>
      </w:pPr>
      <w:r>
        <w:t xml:space="preserve">Untuk menegaskan posisi dan kebaruan penelitian, Tabel 2.1 membandingkan penelitian terdahulu yang relevan berdasarkan pendekatan penyaringan </w:t>
      </w:r>
      <w:r>
        <w:rPr>
          <w:i/>
        </w:rPr>
        <w:t>tool</w:t>
      </w:r>
      <w:r>
        <w:t>, mekanisme yang digunakan, skala evaluasi, dan ketersediaan pengukuran kuantitatif.</w:t>
      </w:r>
    </w:p>
    <w:p>
      <w:pPr>
        <w:pStyle w:val="Caption"/>
        <w:keepNext/>
        <w:jc w:val="center"/>
      </w:pPr>
      <w:r>
        <w:t>Tabel 2.</w:t>
      </w:r>
      <w:fldSimple w:instr=" SEQ Tabel \* ARABIC \s 1 ">
        <w:r>
          <w:t>1</w:t>
        </w:r>
      </w:fldSimple>
      <w:r>
        <w:t xml:space="preserve"> Perbandingan Penelitian Terdahulu</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1587"/>
        <w:gridCol w:w="1587"/>
        <w:gridCol w:w="1587"/>
        <w:gridCol w:w="1587"/>
        <w:gridCol w:w="1587"/>
      </w:tblGrid>
      <w:tr>
        <w:trPr>
          <w:cantSplit/>
          <w:tblHeader/>
        </w:trPr>
        <w:tc>
          <w:tcPr>
            <w:tcW w:type="dxa" w:w="1587"/>
            <w:tcBorders>
              <w:top w:val="none"/>
              <w:bottom w:val="single" w:sz="8" w:space="0" w:color="000000"/>
              <w:left w:val="none"/>
              <w:right w:val="none"/>
            </w:tcBorders>
          </w:tcPr>
          <w:p>
            <w:pPr>
              <w:spacing w:line="240" w:lineRule="auto" w:after="0"/>
            </w:pPr>
            <w:r>
              <w:rPr>
                <w:b/>
                <w:sz w:val="20"/>
              </w:rPr>
            </w:r>
            <w:r>
              <w:rPr>
                <w:b/>
                <w:sz w:val="20"/>
              </w:rPr>
              <w:t>Penelitian</w:t>
            </w:r>
          </w:p>
        </w:tc>
        <w:tc>
          <w:tcPr>
            <w:tcW w:type="dxa" w:w="1587"/>
            <w:tcBorders>
              <w:top w:val="none"/>
              <w:bottom w:val="single" w:sz="8" w:space="0" w:color="000000"/>
              <w:left w:val="none"/>
              <w:right w:val="none"/>
            </w:tcBorders>
          </w:tcPr>
          <w:p>
            <w:pPr>
              <w:spacing w:line="240" w:lineRule="auto" w:after="0"/>
            </w:pPr>
            <w:r>
              <w:rPr>
                <w:b/>
                <w:sz w:val="20"/>
              </w:rPr>
            </w:r>
            <w:r>
              <w:rPr>
                <w:b/>
                <w:sz w:val="20"/>
              </w:rPr>
              <w:t>Pendekatan</w:t>
            </w:r>
          </w:p>
        </w:tc>
        <w:tc>
          <w:tcPr>
            <w:tcW w:type="dxa" w:w="1587"/>
            <w:tcBorders>
              <w:top w:val="none"/>
              <w:bottom w:val="single" w:sz="8" w:space="0" w:color="000000"/>
              <w:left w:val="none"/>
              <w:right w:val="none"/>
            </w:tcBorders>
          </w:tcPr>
          <w:p>
            <w:pPr>
              <w:spacing w:line="240" w:lineRule="auto" w:after="0"/>
            </w:pPr>
            <w:r>
              <w:rPr>
                <w:b/>
                <w:sz w:val="20"/>
              </w:rPr>
            </w:r>
            <w:r>
              <w:rPr>
                <w:b/>
                <w:sz w:val="20"/>
              </w:rPr>
              <w:t>Mekanisme</w:t>
            </w:r>
          </w:p>
        </w:tc>
        <w:tc>
          <w:tcPr>
            <w:tcW w:type="dxa" w:w="1587"/>
            <w:tcBorders>
              <w:top w:val="none"/>
              <w:bottom w:val="single" w:sz="8" w:space="0" w:color="000000"/>
              <w:left w:val="none"/>
              <w:right w:val="none"/>
            </w:tcBorders>
          </w:tcPr>
          <w:p>
            <w:pPr>
              <w:spacing w:line="240" w:lineRule="auto" w:after="0"/>
            </w:pPr>
            <w:r>
              <w:rPr>
                <w:b/>
                <w:sz w:val="20"/>
              </w:rPr>
            </w:r>
            <w:r>
              <w:rPr>
                <w:b/>
                <w:sz w:val="20"/>
              </w:rPr>
              <w:t>Skala Evaluasi</w:t>
            </w:r>
          </w:p>
        </w:tc>
        <w:tc>
          <w:tcPr>
            <w:tcW w:type="dxa" w:w="1587"/>
            <w:tcBorders>
              <w:top w:val="none"/>
              <w:bottom w:val="single" w:sz="8" w:space="0" w:color="000000"/>
              <w:left w:val="none"/>
              <w:right w:val="none"/>
            </w:tcBorders>
          </w:tcPr>
          <w:p>
            <w:pPr>
              <w:spacing w:line="240" w:lineRule="auto" w:after="0"/>
            </w:pPr>
            <w:r>
              <w:rPr>
                <w:b/>
                <w:sz w:val="20"/>
              </w:rPr>
            </w:r>
            <w:r>
              <w:rPr>
                <w:b/>
                <w:sz w:val="20"/>
              </w:rPr>
              <w:t>Evaluasi Kuantitatif</w:t>
            </w:r>
          </w:p>
        </w:tc>
      </w:tr>
      <w:tr>
        <w:trPr>
          <w:cantSplit/>
        </w:trPr>
        <w:tc>
          <w:tcPr>
            <w:tcW w:type="dxa" w:w="1587"/>
          </w:tcPr>
          <w:p>
            <w:pPr>
              <w:spacing w:line="240" w:lineRule="auto" w:after="0"/>
            </w:pPr>
            <w:r>
              <w:rPr>
                <w:sz w:val="20"/>
              </w:rPr>
            </w:r>
            <w:r>
              <w:rPr>
                <w:sz w:val="20"/>
              </w:rPr>
              <w:t>Gorilla [8]</w:t>
            </w:r>
          </w:p>
        </w:tc>
        <w:tc>
          <w:tcPr>
            <w:tcW w:type="dxa" w:w="1587"/>
          </w:tcPr>
          <w:p>
            <w:pPr>
              <w:spacing w:line="240" w:lineRule="auto" w:after="0"/>
            </w:pPr>
            <w:r>
              <w:rPr>
                <w:sz w:val="20"/>
              </w:rPr>
            </w:r>
            <w:r>
              <w:rPr>
                <w:sz w:val="20"/>
              </w:rPr>
              <w:t>Tool RAG</w:t>
            </w:r>
          </w:p>
        </w:tc>
        <w:tc>
          <w:tcPr>
            <w:tcW w:type="dxa" w:w="1587"/>
          </w:tcPr>
          <w:p>
            <w:pPr>
              <w:spacing w:line="240" w:lineRule="auto" w:after="0"/>
            </w:pPr>
            <w:r>
              <w:rPr>
                <w:sz w:val="20"/>
              </w:rPr>
            </w:r>
            <w:r>
              <w:rPr>
                <w:i/>
                <w:sz w:val="20"/>
              </w:rPr>
              <w:t>Document retriever</w:t>
            </w:r>
            <w:r>
              <w:rPr>
                <w:sz w:val="20"/>
              </w:rPr>
              <w:t xml:space="preserve"> + </w:t>
            </w:r>
            <w:r>
              <w:rPr>
                <w:i/>
                <w:sz w:val="20"/>
              </w:rPr>
              <w:t>fine-tuning</w:t>
            </w:r>
          </w:p>
        </w:tc>
        <w:tc>
          <w:tcPr>
            <w:tcW w:type="dxa" w:w="1587"/>
          </w:tcPr>
          <w:p>
            <w:pPr>
              <w:spacing w:line="240" w:lineRule="auto" w:after="0"/>
            </w:pPr>
            <w:r>
              <w:rPr>
                <w:sz w:val="20"/>
              </w:rPr>
            </w:r>
            <w:r>
              <w:rPr>
                <w:sz w:val="20"/>
              </w:rPr>
              <w:t>&gt;11.000 API</w:t>
            </w:r>
          </w:p>
        </w:tc>
        <w:tc>
          <w:tcPr>
            <w:tcW w:type="dxa" w:w="1587"/>
          </w:tcPr>
          <w:p>
            <w:pPr>
              <w:spacing w:line="240" w:lineRule="auto" w:after="0"/>
            </w:pPr>
            <w:r>
              <w:rPr>
                <w:sz w:val="20"/>
              </w:rPr>
            </w:r>
            <w:r>
              <w:rPr>
                <w:sz w:val="20"/>
              </w:rPr>
              <w:t xml:space="preserve">Akurasi </w:t>
            </w:r>
            <w:r>
              <w:rPr>
                <w:i/>
                <w:sz w:val="20"/>
              </w:rPr>
              <w:t>API call</w:t>
            </w:r>
          </w:p>
        </w:tc>
      </w:tr>
      <w:tr>
        <w:trPr>
          <w:cantSplit/>
        </w:trPr>
        <w:tc>
          <w:tcPr>
            <w:tcW w:type="dxa" w:w="1587"/>
          </w:tcPr>
          <w:p>
            <w:pPr>
              <w:spacing w:line="240" w:lineRule="auto" w:after="0"/>
            </w:pPr>
            <w:r>
              <w:rPr>
                <w:sz w:val="20"/>
              </w:rPr>
            </w:r>
            <w:r>
              <w:rPr>
                <w:sz w:val="20"/>
              </w:rPr>
              <w:t>ToolLLM [9]</w:t>
            </w:r>
          </w:p>
        </w:tc>
        <w:tc>
          <w:tcPr>
            <w:tcW w:type="dxa" w:w="1587"/>
          </w:tcPr>
          <w:p>
            <w:pPr>
              <w:spacing w:line="240" w:lineRule="auto" w:after="0"/>
            </w:pPr>
            <w:r>
              <w:rPr>
                <w:sz w:val="20"/>
              </w:rPr>
            </w:r>
            <w:r>
              <w:rPr>
                <w:sz w:val="20"/>
              </w:rPr>
              <w:t>Tool RAG</w:t>
            </w:r>
          </w:p>
        </w:tc>
        <w:tc>
          <w:tcPr>
            <w:tcW w:type="dxa" w:w="1587"/>
          </w:tcPr>
          <w:p>
            <w:pPr>
              <w:spacing w:line="240" w:lineRule="auto" w:after="0"/>
            </w:pPr>
            <w:r>
              <w:rPr>
                <w:sz w:val="20"/>
              </w:rPr>
            </w:r>
            <w:r>
              <w:rPr>
                <w:i/>
                <w:sz w:val="20"/>
              </w:rPr>
              <w:t>Neural API retriever</w:t>
            </w:r>
          </w:p>
        </w:tc>
        <w:tc>
          <w:tcPr>
            <w:tcW w:type="dxa" w:w="1587"/>
          </w:tcPr>
          <w:p>
            <w:pPr>
              <w:spacing w:line="240" w:lineRule="auto" w:after="0"/>
            </w:pPr>
            <w:r>
              <w:rPr>
                <w:sz w:val="20"/>
              </w:rPr>
            </w:r>
            <w:r>
              <w:rPr>
                <w:sz w:val="20"/>
              </w:rPr>
              <w:t>&gt;16.000 API</w:t>
            </w:r>
          </w:p>
        </w:tc>
        <w:tc>
          <w:tcPr>
            <w:tcW w:type="dxa" w:w="1587"/>
          </w:tcPr>
          <w:p>
            <w:pPr>
              <w:spacing w:line="240" w:lineRule="auto" w:after="0"/>
            </w:pPr>
            <w:r>
              <w:rPr>
                <w:sz w:val="20"/>
              </w:rPr>
            </w:r>
            <w:r>
              <w:rPr>
                <w:sz w:val="20"/>
              </w:rPr>
              <w:t>Pass rate, win rate</w:t>
            </w:r>
          </w:p>
        </w:tc>
      </w:tr>
      <w:tr>
        <w:trPr>
          <w:cantSplit/>
        </w:trPr>
        <w:tc>
          <w:tcPr>
            <w:tcW w:type="dxa" w:w="1587"/>
          </w:tcPr>
          <w:p>
            <w:pPr>
              <w:spacing w:line="240" w:lineRule="auto" w:after="0"/>
            </w:pPr>
            <w:r>
              <w:rPr>
                <w:sz w:val="20"/>
              </w:rPr>
            </w:r>
            <w:r>
              <w:rPr>
                <w:sz w:val="20"/>
              </w:rPr>
              <w:t>Toolshed [10]</w:t>
            </w:r>
          </w:p>
        </w:tc>
        <w:tc>
          <w:tcPr>
            <w:tcW w:type="dxa" w:w="1587"/>
          </w:tcPr>
          <w:p>
            <w:pPr>
              <w:spacing w:line="240" w:lineRule="auto" w:after="0"/>
            </w:pPr>
            <w:r>
              <w:rPr>
                <w:sz w:val="20"/>
              </w:rPr>
            </w:r>
            <w:r>
              <w:rPr>
                <w:sz w:val="20"/>
              </w:rPr>
              <w:t>Tool RAG</w:t>
            </w:r>
          </w:p>
        </w:tc>
        <w:tc>
          <w:tcPr>
            <w:tcW w:type="dxa" w:w="1587"/>
          </w:tcPr>
          <w:p>
            <w:pPr>
              <w:spacing w:line="240" w:lineRule="auto" w:after="0"/>
            </w:pPr>
            <w:r>
              <w:rPr>
                <w:sz w:val="20"/>
              </w:rPr>
            </w:r>
            <w:r>
              <w:rPr>
                <w:i/>
                <w:sz w:val="20"/>
              </w:rPr>
              <w:t>RAG-Tool Fusion</w:t>
            </w:r>
            <w:r>
              <w:rPr>
                <w:sz w:val="20"/>
              </w:rPr>
              <w:t xml:space="preserve"> 3 fase</w:t>
            </w:r>
          </w:p>
        </w:tc>
        <w:tc>
          <w:tcPr>
            <w:tcW w:type="dxa" w:w="1587"/>
          </w:tcPr>
          <w:p>
            <w:pPr>
              <w:spacing w:line="240" w:lineRule="auto" w:after="0"/>
            </w:pPr>
            <w:r>
              <w:rPr>
                <w:sz w:val="20"/>
              </w:rPr>
            </w:r>
            <w:r>
              <w:rPr>
                <w:sz w:val="20"/>
              </w:rPr>
              <w:t xml:space="preserve">Katalog </w:t>
            </w:r>
            <w:r>
              <w:rPr>
                <w:i/>
                <w:sz w:val="20"/>
              </w:rPr>
              <w:t>tool</w:t>
            </w:r>
            <w:r>
              <w:rPr>
                <w:sz w:val="20"/>
              </w:rPr>
              <w:t xml:space="preserve"> besar</w:t>
            </w:r>
          </w:p>
        </w:tc>
        <w:tc>
          <w:tcPr>
            <w:tcW w:type="dxa" w:w="1587"/>
          </w:tcPr>
          <w:p>
            <w:pPr>
              <w:spacing w:line="240" w:lineRule="auto" w:after="0"/>
            </w:pPr>
            <w:r>
              <w:rPr>
                <w:sz w:val="20"/>
              </w:rPr>
            </w:r>
            <w:r>
              <w:rPr>
                <w:sz w:val="20"/>
              </w:rPr>
              <w:t>Recall@5 (+46–56%)</w:t>
            </w:r>
          </w:p>
        </w:tc>
      </w:tr>
      <w:tr>
        <w:trPr>
          <w:cantSplit/>
        </w:trPr>
        <w:tc>
          <w:tcPr>
            <w:tcW w:type="dxa" w:w="1587"/>
          </w:tcPr>
          <w:p>
            <w:pPr>
              <w:spacing w:line="240" w:lineRule="auto" w:after="0"/>
            </w:pPr>
            <w:r>
              <w:rPr>
                <w:sz w:val="20"/>
              </w:rPr>
            </w:r>
            <w:r>
              <w:rPr>
                <w:sz w:val="20"/>
              </w:rPr>
              <w:t>COLT [18]</w:t>
            </w:r>
          </w:p>
        </w:tc>
        <w:tc>
          <w:tcPr>
            <w:tcW w:type="dxa" w:w="1587"/>
          </w:tcPr>
          <w:p>
            <w:pPr>
              <w:spacing w:line="240" w:lineRule="auto" w:after="0"/>
            </w:pPr>
            <w:r>
              <w:rPr>
                <w:sz w:val="20"/>
              </w:rPr>
            </w:r>
            <w:r>
              <w:rPr>
                <w:sz w:val="20"/>
              </w:rPr>
              <w:t>Tool RAG</w:t>
            </w:r>
          </w:p>
        </w:tc>
        <w:tc>
          <w:tcPr>
            <w:tcW w:type="dxa" w:w="1587"/>
          </w:tcPr>
          <w:p>
            <w:pPr>
              <w:spacing w:line="240" w:lineRule="auto" w:after="0"/>
            </w:pPr>
            <w:r>
              <w:rPr>
                <w:sz w:val="20"/>
              </w:rPr>
            </w:r>
            <w:r>
              <w:rPr>
                <w:i/>
                <w:sz w:val="20"/>
              </w:rPr>
              <w:t>Graph collaborative learning</w:t>
            </w:r>
          </w:p>
        </w:tc>
        <w:tc>
          <w:tcPr>
            <w:tcW w:type="dxa" w:w="1587"/>
          </w:tcPr>
          <w:p>
            <w:pPr>
              <w:spacing w:line="240" w:lineRule="auto" w:after="0"/>
            </w:pPr>
            <w:r>
              <w:rPr>
                <w:sz w:val="20"/>
              </w:rPr>
            </w:r>
            <w:r>
              <w:rPr>
                <w:i/>
                <w:sz w:val="20"/>
              </w:rPr>
              <w:t>Benchmark</w:t>
            </w:r>
            <w:r>
              <w:rPr>
                <w:sz w:val="20"/>
              </w:rPr>
              <w:t xml:space="preserve"> ToolLens</w:t>
            </w:r>
          </w:p>
        </w:tc>
        <w:tc>
          <w:tcPr>
            <w:tcW w:type="dxa" w:w="1587"/>
          </w:tcPr>
          <w:p>
            <w:pPr>
              <w:spacing w:line="240" w:lineRule="auto" w:after="0"/>
            </w:pPr>
            <w:r>
              <w:rPr>
                <w:sz w:val="20"/>
              </w:rPr>
            </w:r>
            <w:r>
              <w:rPr>
                <w:sz w:val="20"/>
              </w:rPr>
              <w:t>Completeness metric</w:t>
            </w:r>
          </w:p>
        </w:tc>
      </w:tr>
      <w:tr>
        <w:trPr>
          <w:cantSplit/>
        </w:trPr>
        <w:tc>
          <w:tcPr>
            <w:tcW w:type="dxa" w:w="1587"/>
          </w:tcPr>
          <w:p>
            <w:pPr>
              <w:spacing w:line="240" w:lineRule="auto" w:after="0"/>
            </w:pPr>
            <w:r>
              <w:rPr>
                <w:sz w:val="20"/>
              </w:rPr>
            </w:r>
            <w:r>
              <w:rPr>
                <w:sz w:val="20"/>
              </w:rPr>
              <w:t>Dynamic ReAct [11]</w:t>
            </w:r>
          </w:p>
        </w:tc>
        <w:tc>
          <w:tcPr>
            <w:tcW w:type="dxa" w:w="1587"/>
          </w:tcPr>
          <w:p>
            <w:pPr>
              <w:spacing w:line="240" w:lineRule="auto" w:after="0"/>
            </w:pPr>
            <w:r>
              <w:rPr>
                <w:sz w:val="20"/>
              </w:rPr>
            </w:r>
            <w:r>
              <w:rPr>
                <w:i/>
                <w:sz w:val="20"/>
              </w:rPr>
              <w:t>Dynamic loading</w:t>
            </w:r>
          </w:p>
        </w:tc>
        <w:tc>
          <w:tcPr>
            <w:tcW w:type="dxa" w:w="1587"/>
          </w:tcPr>
          <w:p>
            <w:pPr>
              <w:spacing w:line="240" w:lineRule="auto" w:after="0"/>
            </w:pPr>
            <w:r>
              <w:rPr>
                <w:sz w:val="20"/>
              </w:rPr>
            </w:r>
            <w:r>
              <w:rPr>
                <w:i/>
                <w:sz w:val="20"/>
              </w:rPr>
              <w:t>Search-and-load</w:t>
            </w:r>
            <w:r>
              <w:rPr>
                <w:sz w:val="20"/>
              </w:rPr>
              <w:t xml:space="preserve"> MCP</w:t>
            </w:r>
          </w:p>
        </w:tc>
        <w:tc>
          <w:tcPr>
            <w:tcW w:type="dxa" w:w="1587"/>
          </w:tcPr>
          <w:p>
            <w:pPr>
              <w:spacing w:line="240" w:lineRule="auto" w:after="0"/>
            </w:pPr>
            <w:r>
              <w:rPr>
                <w:sz w:val="20"/>
              </w:rPr>
            </w:r>
            <w:r>
              <w:rPr>
                <w:sz w:val="20"/>
              </w:rPr>
              <w:t>Lingkungan MCP</w:t>
            </w:r>
          </w:p>
        </w:tc>
        <w:tc>
          <w:tcPr>
            <w:tcW w:type="dxa" w:w="1587"/>
          </w:tcPr>
          <w:p>
            <w:pPr>
              <w:spacing w:line="240" w:lineRule="auto" w:after="0"/>
            </w:pPr>
            <w:r>
              <w:rPr>
                <w:sz w:val="20"/>
              </w:rPr>
            </w:r>
            <w:r>
              <w:rPr>
                <w:i/>
                <w:sz w:val="20"/>
              </w:rPr>
              <w:t>Tool loading</w:t>
            </w:r>
            <w:r>
              <w:rPr>
                <w:sz w:val="20"/>
              </w:rPr>
              <w:t xml:space="preserve"> (−50%)</w:t>
            </w:r>
          </w:p>
        </w:tc>
      </w:tr>
      <w:tr>
        <w:trPr>
          <w:cantSplit/>
        </w:trPr>
        <w:tc>
          <w:tcPr>
            <w:tcW w:type="dxa" w:w="1587"/>
          </w:tcPr>
          <w:p>
            <w:pPr>
              <w:spacing w:line="240" w:lineRule="auto" w:after="0"/>
            </w:pPr>
            <w:r>
              <w:rPr>
                <w:sz w:val="20"/>
              </w:rPr>
            </w:r>
            <w:r>
              <w:rPr>
                <w:sz w:val="20"/>
              </w:rPr>
              <w:t>AutoTool [12]</w:t>
            </w:r>
          </w:p>
        </w:tc>
        <w:tc>
          <w:tcPr>
            <w:tcW w:type="dxa" w:w="1587"/>
          </w:tcPr>
          <w:p>
            <w:pPr>
              <w:spacing w:line="240" w:lineRule="auto" w:after="0"/>
            </w:pPr>
            <w:r>
              <w:rPr>
                <w:sz w:val="20"/>
              </w:rPr>
            </w:r>
            <w:r>
              <w:rPr>
                <w:i/>
                <w:sz w:val="20"/>
              </w:rPr>
              <w:t>Pattern-based</w:t>
            </w:r>
          </w:p>
        </w:tc>
        <w:tc>
          <w:tcPr>
            <w:tcW w:type="dxa" w:w="1587"/>
          </w:tcPr>
          <w:p>
            <w:pPr>
              <w:spacing w:line="240" w:lineRule="auto" w:after="0"/>
            </w:pPr>
            <w:r>
              <w:rPr>
                <w:sz w:val="20"/>
              </w:rPr>
            </w:r>
            <w:r>
              <w:rPr>
                <w:i/>
                <w:sz w:val="20"/>
              </w:rPr>
              <w:t>Directed graph</w:t>
            </w:r>
            <w:r>
              <w:rPr>
                <w:sz w:val="20"/>
              </w:rPr>
              <w:t xml:space="preserve"> inersia</w:t>
            </w:r>
          </w:p>
        </w:tc>
        <w:tc>
          <w:tcPr>
            <w:tcW w:type="dxa" w:w="1587"/>
          </w:tcPr>
          <w:p>
            <w:pPr>
              <w:spacing w:line="240" w:lineRule="auto" w:after="0"/>
            </w:pPr>
            <w:r>
              <w:rPr>
                <w:sz w:val="20"/>
              </w:rPr>
            </w:r>
            <w:r>
              <w:rPr>
                <w:sz w:val="20"/>
              </w:rPr>
              <w:t>Trajektori agen</w:t>
            </w:r>
          </w:p>
        </w:tc>
        <w:tc>
          <w:tcPr>
            <w:tcW w:type="dxa" w:w="1587"/>
          </w:tcPr>
          <w:p>
            <w:pPr>
              <w:spacing w:line="240" w:lineRule="auto" w:after="0"/>
            </w:pPr>
            <w:r>
              <w:rPr>
                <w:sz w:val="20"/>
              </w:rPr>
            </w:r>
            <w:r>
              <w:rPr>
                <w:sz w:val="20"/>
              </w:rPr>
              <w:t>Biaya inferensi (−30%)</w:t>
            </w:r>
          </w:p>
        </w:tc>
      </w:tr>
      <w:tr>
        <w:trPr>
          <w:cantSplit/>
        </w:trPr>
        <w:tc>
          <w:tcPr>
            <w:tcW w:type="dxa" w:w="1587"/>
          </w:tcPr>
          <w:p>
            <w:pPr>
              <w:spacing w:line="240" w:lineRule="auto" w:after="0"/>
            </w:pPr>
            <w:r>
              <w:rPr>
                <w:sz w:val="20"/>
              </w:rPr>
            </w:r>
            <w:r>
              <w:rPr>
                <w:sz w:val="20"/>
              </w:rPr>
              <w:t>AWS Agent Registry [14]</w:t>
            </w:r>
          </w:p>
        </w:tc>
        <w:tc>
          <w:tcPr>
            <w:tcW w:type="dxa" w:w="1587"/>
          </w:tcPr>
          <w:p>
            <w:pPr>
              <w:spacing w:line="240" w:lineRule="auto" w:after="0"/>
            </w:pPr>
            <w:r>
              <w:rPr>
                <w:sz w:val="20"/>
              </w:rPr>
            </w:r>
            <w:r>
              <w:rPr>
                <w:i/>
                <w:sz w:val="20"/>
              </w:rPr>
              <w:t>Tool Registry</w:t>
            </w:r>
          </w:p>
        </w:tc>
        <w:tc>
          <w:tcPr>
            <w:tcW w:type="dxa" w:w="1587"/>
          </w:tcPr>
          <w:p>
            <w:pPr>
              <w:spacing w:line="240" w:lineRule="auto" w:after="0"/>
            </w:pPr>
            <w:r>
              <w:rPr>
                <w:sz w:val="20"/>
              </w:rPr>
            </w:r>
            <w:r>
              <w:rPr>
                <w:sz w:val="20"/>
              </w:rPr>
              <w:t xml:space="preserve">Metadata + </w:t>
            </w:r>
            <w:r>
              <w:rPr>
                <w:i/>
                <w:sz w:val="20"/>
              </w:rPr>
              <w:t>hybrid search</w:t>
            </w:r>
            <w:r>
              <w:rPr>
                <w:sz w:val="20"/>
              </w:rPr>
              <w:t xml:space="preserve"> + IAM</w:t>
            </w:r>
          </w:p>
        </w:tc>
        <w:tc>
          <w:tcPr>
            <w:tcW w:type="dxa" w:w="1587"/>
          </w:tcPr>
          <w:p>
            <w:pPr>
              <w:spacing w:line="240" w:lineRule="auto" w:after="0"/>
            </w:pPr>
            <w:r>
              <w:rPr>
                <w:sz w:val="20"/>
              </w:rPr>
            </w:r>
            <w:r>
              <w:rPr>
                <w:sz w:val="20"/>
              </w:rPr>
              <w:t>Skala enterprise</w:t>
            </w:r>
          </w:p>
        </w:tc>
        <w:tc>
          <w:tcPr>
            <w:tcW w:type="dxa" w:w="1587"/>
          </w:tcPr>
          <w:p>
            <w:pPr>
              <w:spacing w:line="240" w:lineRule="auto" w:after="0"/>
            </w:pPr>
            <w:r>
              <w:rPr>
                <w:sz w:val="20"/>
              </w:rPr>
            </w:r>
            <w:r>
              <w:rPr>
                <w:sz w:val="20"/>
              </w:rPr>
              <w:t>— (produk industri)</w:t>
            </w:r>
          </w:p>
        </w:tc>
      </w:tr>
      <w:tr>
        <w:trPr>
          <w:cantSplit/>
        </w:trPr>
        <w:tc>
          <w:tcPr>
            <w:tcW w:type="dxa" w:w="1587"/>
          </w:tcPr>
          <w:p>
            <w:pPr>
              <w:spacing w:line="240" w:lineRule="auto" w:after="0"/>
            </w:pPr>
            <w:r>
              <w:rPr>
                <w:sz w:val="20"/>
              </w:rPr>
            </w:r>
            <w:r>
              <w:rPr>
                <w:b/>
                <w:sz w:val="20"/>
              </w:rPr>
              <w:t>Penelitian ini</w:t>
            </w:r>
          </w:p>
        </w:tc>
        <w:tc>
          <w:tcPr>
            <w:tcW w:type="dxa" w:w="1587"/>
          </w:tcPr>
          <w:p>
            <w:pPr>
              <w:spacing w:line="240" w:lineRule="auto" w:after="0"/>
            </w:pPr>
            <w:r>
              <w:rPr>
                <w:sz w:val="20"/>
              </w:rPr>
            </w:r>
            <w:r>
              <w:rPr>
                <w:b/>
                <w:sz w:val="20"/>
              </w:rPr>
              <w:t>*Tool Registry</w:t>
            </w:r>
            <w:r>
              <w:rPr>
                <w:i/>
                <w:sz w:val="20"/>
              </w:rPr>
              <w:t xml:space="preserve"> </w:t>
            </w:r>
            <w:r>
              <w:rPr>
                <w:sz w:val="20"/>
              </w:rPr>
              <w:t>deterministik*</w:t>
            </w:r>
          </w:p>
        </w:tc>
        <w:tc>
          <w:tcPr>
            <w:tcW w:type="dxa" w:w="1587"/>
          </w:tcPr>
          <w:p>
            <w:pPr>
              <w:spacing w:line="240" w:lineRule="auto" w:after="0"/>
            </w:pPr>
            <w:r>
              <w:rPr>
                <w:sz w:val="20"/>
              </w:rPr>
            </w:r>
            <w:r>
              <w:rPr>
                <w:i/>
                <w:sz w:val="20"/>
              </w:rPr>
              <w:t>Metadata multi-kriteria</w:t>
            </w:r>
            <w:r>
              <w:rPr>
                <w:sz w:val="20"/>
              </w:rPr>
              <w:t xml:space="preserve"> (modul, </w:t>
            </w:r>
            <w:r>
              <w:rPr>
                <w:i/>
                <w:sz w:val="20"/>
              </w:rPr>
              <w:t>role</w:t>
            </w:r>
            <w:r>
              <w:rPr>
                <w:sz w:val="20"/>
              </w:rPr>
              <w:t xml:space="preserve">, </w:t>
            </w:r>
            <w:r>
              <w:rPr>
                <w:i/>
                <w:sz w:val="20"/>
              </w:rPr>
              <w:t>tier</w:t>
            </w:r>
            <w:r>
              <w:rPr>
                <w:sz w:val="20"/>
              </w:rPr>
              <w:t xml:space="preserve">, </w:t>
            </w:r>
            <w:r>
              <w:rPr>
                <w:i/>
                <w:sz w:val="20"/>
              </w:rPr>
              <w:t>token budget</w:t>
            </w:r>
            <w:r>
              <w:rPr>
                <w:sz w:val="20"/>
              </w:rPr>
              <w:t>) pada Pydantic AI</w:t>
            </w:r>
          </w:p>
        </w:tc>
        <w:tc>
          <w:tcPr>
            <w:tcW w:type="dxa" w:w="1587"/>
          </w:tcPr>
          <w:p>
            <w:pPr>
              <w:spacing w:line="240" w:lineRule="auto" w:after="0"/>
            </w:pPr>
            <w:r>
              <w:rPr>
                <w:sz w:val="20"/>
              </w:rPr>
            </w:r>
            <w:r>
              <w:rPr>
                <w:sz w:val="20"/>
              </w:rPr>
              <w:t xml:space="preserve">S1–S3 (30/100/300 </w:t>
            </w:r>
            <w:r>
              <w:rPr>
                <w:i/>
                <w:sz w:val="20"/>
              </w:rPr>
              <w:t>tool</w:t>
            </w:r>
            <w:r>
              <w:rPr>
                <w:sz w:val="20"/>
              </w:rPr>
              <w:t>)</w:t>
            </w:r>
          </w:p>
        </w:tc>
        <w:tc>
          <w:tcPr>
            <w:tcW w:type="dxa" w:w="1587"/>
          </w:tcPr>
          <w:p>
            <w:pPr>
              <w:spacing w:line="240" w:lineRule="auto" w:after="0"/>
            </w:pPr>
            <w:r>
              <w:rPr>
                <w:sz w:val="20"/>
              </w:rPr>
            </w:r>
            <w:r>
              <w:rPr>
                <w:i/>
                <w:sz w:val="20"/>
              </w:rPr>
              <w:t>Token</w:t>
            </w:r>
            <w:r>
              <w:rPr>
                <w:sz w:val="20"/>
              </w:rPr>
              <w:t xml:space="preserve"> (−63–95%), akurasi (+6,3 pp), Wilcoxon p&lt;0,0001, Cohen's d≥11</w:t>
            </w:r>
          </w:p>
        </w:tc>
      </w:tr>
    </w:tbl>
    <w:p>
      <w:pPr>
        <w:ind w:firstLine="720"/>
        <w:jc w:val="both"/>
      </w:pPr>
      <w:r>
        <w:t xml:space="preserve">Berdasarkan Tabel 2.1, mayoritas penelitian terdahulu berfokus pada pendekatan </w:t>
      </w:r>
      <w:r>
        <w:rPr>
          <w:i/>
        </w:rPr>
        <w:t>Tool RAG</w:t>
      </w:r>
      <w:r>
        <w:t xml:space="preserve"> berbasis </w:t>
      </w:r>
      <w:r>
        <w:rPr>
          <w:i/>
        </w:rPr>
        <w:t>embedding</w:t>
      </w:r>
      <w:r>
        <w:t xml:space="preserve"> atau </w:t>
      </w:r>
      <w:r>
        <w:rPr>
          <w:i/>
        </w:rPr>
        <w:t>fine-tuning</w:t>
      </w:r>
      <w:r>
        <w:t xml:space="preserve"> yang memerlukan infrastruktur vektor, sedangkan pendekatan berbasis metadata deterministik masih jarang dievaluasi secara kuantitatif. Adopsi industri seperti AWS Agent Registry membuktikan relevansi praktis konsep </w:t>
      </w:r>
      <w:r>
        <w:rPr>
          <w:i/>
        </w:rPr>
        <w:t>Tool Registry</w:t>
      </w:r>
      <w:r>
        <w:t xml:space="preserve">, namun tidak menyertakan pengukuran ilmiah yang dapat direplikasi. Dengan demikian, kebaruan penelitian ini terletak pada penyediaan </w:t>
      </w:r>
      <w:r>
        <w:rPr>
          <w:i/>
        </w:rPr>
        <w:t>baseline</w:t>
      </w:r>
      <w:r>
        <w:t xml:space="preserve"> kuantitatif pertama untuk Tool Registry deterministik berbasis metadata multi-kriteria pada kerangka Pydantic AI 1.x, lengkap dengan uji statistik atas penghematan token, akurasi pemilihan </w:t>
      </w:r>
      <w:r>
        <w:rPr>
          <w:i/>
        </w:rPr>
        <w:t>tool</w:t>
      </w:r>
      <w:r>
        <w:t xml:space="preserve">, dan sifat skalabilitas </w:t>
      </w:r>
      <w:r>
        <w:rPr>
          <w:i/>
        </w:rPr>
        <w:t>sub-linear</w:t>
      </w:r>
      <w:r>
        <w:t>-nya.</w:t>
      </w:r>
    </w:p>
    <w:p>
      <w:r>
        <w:br w:type="page"/>
      </w:r>
    </w:p>
    <w:p>
      <w:pPr>
        <w:pStyle w:val="Heading1"/>
      </w:pPr>
      <w:r>
        <w:t>BAB III IMPLEMENTASI METODE USULAN</w:t>
      </w:r>
    </w:p>
    <w:p>
      <w:pPr>
        <w:ind w:firstLine="720"/>
        <w:jc w:val="both"/>
      </w:pPr>
      <w:r>
        <w:t xml:space="preserve">Bab ini menguraikan rancangan dan implementasi artefak Tool Registry beserta kerangka evaluasinya, mengikuti tahap </w:t>
      </w:r>
      <w:r>
        <w:rPr>
          <w:i/>
        </w:rPr>
        <w:t>design and development</w:t>
      </w:r>
      <w:r>
        <w:t xml:space="preserve"> pada kerangka </w:t>
      </w:r>
      <w:r>
        <w:rPr>
          <w:i/>
        </w:rPr>
        <w:t>Design Science Research</w:t>
      </w:r>
      <w:r>
        <w:t xml:space="preserve"> [15]. Pembahasan dimulai dari analisis sistem eksisting zerlo.id sebagai sumber masalah, dilanjutkan dengan perancangan struktur metadata dan </w:t>
      </w:r>
      <w:r>
        <w:rPr>
          <w:i/>
        </w:rPr>
        <w:t>pipeline</w:t>
      </w:r>
      <w:r>
        <w:t xml:space="preserve"> penyaringan, perancangan kerangka evaluasi, lalu penelusuran kode (</w:t>
      </w:r>
      <w:r>
        <w:rPr>
          <w:i/>
        </w:rPr>
        <w:t>code walkthrough</w:t>
      </w:r>
      <w:r>
        <w:t xml:space="preserve">) atas implementasi Tool Registry dan </w:t>
      </w:r>
      <w:r>
        <w:rPr>
          <w:i/>
        </w:rPr>
        <w:t>eval runner</w:t>
      </w:r>
      <w:r>
        <w:t>, dan ditutup dengan konfigurasi eksperimen yang dikendalikan.</w:t>
      </w:r>
    </w:p>
    <w:p>
      <w:pPr>
        <w:pStyle w:val="Heading2"/>
      </w:pPr>
      <w:r>
        <w:t>3.1 Analisis Sistem Eksisting</w:t>
      </w:r>
    </w:p>
    <w:p>
      <w:pPr>
        <w:ind w:firstLine="720"/>
        <w:jc w:val="both"/>
      </w:pPr>
      <w:r>
        <w:t xml:space="preserve">Platform zerlo.id pada tahap </w:t>
      </w:r>
      <w:r>
        <w:rPr>
          <w:i/>
        </w:rPr>
        <w:t>beta testing</w:t>
      </w:r>
      <w:r>
        <w:t xml:space="preserve"> mengoperasikan 38 modul bisnis dengan 1.176 </w:t>
      </w:r>
      <w:r>
        <w:rPr>
          <w:i/>
        </w:rPr>
        <w:t>endpoint</w:t>
      </w:r>
      <w:r>
        <w:t xml:space="preserve">, 11 AI Agent aktif, dan lebih dari 60 </w:t>
      </w:r>
      <w:r>
        <w:rPr>
          <w:i/>
        </w:rPr>
        <w:t>tools</w:t>
      </w:r>
      <w:r>
        <w:t xml:space="preserve"> produksi. Setiap </w:t>
      </w:r>
      <w:r>
        <w:rPr>
          <w:i/>
        </w:rPr>
        <w:t>tool</w:t>
      </w:r>
      <w:r>
        <w:t xml:space="preserve"> didaftarkan ke agen secara statis melalui dekorator </w:t>
      </w:r>
      <w:r>
        <w:rPr>
          <w:i/>
        </w:rPr>
        <w:t>native</w:t>
      </w:r>
      <w:r>
        <w:t xml:space="preserve"> Pydantic AI, sebagaimana pola </w:t>
      </w:r>
      <w:r>
        <w:rPr>
          <w:rFonts w:ascii="Courier New" w:hAnsi="Courier New"/>
        </w:rPr>
        <w:t>@agent.tool</w:t>
      </w:r>
      <w:r>
        <w:t xml:space="preserve"> yang mendaftarkan seluruh fungsi ke dalam satu himpunan </w:t>
      </w:r>
      <w:r>
        <w:rPr>
          <w:i/>
        </w:rPr>
        <w:t>tool</w:t>
      </w:r>
      <w:r>
        <w:t xml:space="preserve"> tunggal. Pada pola tersebut, seluruh definisi </w:t>
      </w:r>
      <w:r>
        <w:rPr>
          <w:i/>
        </w:rPr>
        <w:t>tool</w:t>
      </w:r>
      <w:r>
        <w:t xml:space="preserve"> — nama, deskripsi, dan skema parameter — diserialisasi menjadi </w:t>
      </w:r>
      <w:r>
        <w:rPr>
          <w:i/>
        </w:rPr>
        <w:t>FunctionDeclaration</w:t>
      </w:r>
      <w:r>
        <w:t xml:space="preserve"> dan diteruskan ke LLM pada setiap panggilan, tanpa memandang relevansinya terhadap permintaan pengguna.</w:t>
      </w:r>
    </w:p>
    <w:p>
      <w:pPr>
        <w:ind w:firstLine="720"/>
        <w:jc w:val="both"/>
      </w:pPr>
      <w:r>
        <w:t xml:space="preserve">Pendekatan statis ini menimbulkan </w:t>
      </w:r>
      <w:r>
        <w:rPr>
          <w:i/>
        </w:rPr>
        <w:t>bottleneck</w:t>
      </w:r>
      <w:r>
        <w:t xml:space="preserve"> yang bersifat O(N) terhadap ukuran katalog: jumlah token input tumbuh proporsional terhadap jumlah </w:t>
      </w:r>
      <w:r>
        <w:rPr>
          <w:i/>
        </w:rPr>
        <w:t>tool</w:t>
      </w:r>
      <w:r>
        <w:t xml:space="preserve"> yang terdaftar. Pengukuran awal pada penelitian ini menunjukkan bahwa katalog 300 </w:t>
      </w:r>
      <w:r>
        <w:rPr>
          <w:i/>
        </w:rPr>
        <w:t>tool</w:t>
      </w:r>
      <w:r>
        <w:t xml:space="preserve"> (skenario S3) mengonsumsi rata-rata 23.893 token per kueri hanya untuk mendefinisikan </w:t>
      </w:r>
      <w:r>
        <w:rPr>
          <w:i/>
        </w:rPr>
        <w:t>tool</w:t>
      </w:r>
      <w:r>
        <w:t xml:space="preserve"> yang tersedia, bahkan sebelum pertanyaan pengguna diproses. Konsumsi token sebesar ini berdampak langsung pada biaya inferensi, latensi respons, dan — sebagaimana dibuktikan oleh fenomena </w:t>
      </w:r>
      <w:r>
        <w:rPr>
          <w:i/>
        </w:rPr>
        <w:t>context rot</w:t>
      </w:r>
      <w:r>
        <w:t xml:space="preserve"> yang diuraikan pada Bab II — penurunan akurasi pemilihan </w:t>
      </w:r>
      <w:r>
        <w:rPr>
          <w:i/>
        </w:rPr>
        <w:t>tool</w:t>
      </w:r>
      <w:r>
        <w:t xml:space="preserve"> akibat sebagian definisi berada di posisi tengah konteks yang rawan diabaikan.</w:t>
      </w:r>
    </w:p>
    <w:p>
      <w:pPr>
        <w:ind w:firstLine="720"/>
        <w:jc w:val="both"/>
      </w:pPr>
      <w:r>
        <w:t xml:space="preserve">Kerangka Pydantic AI [23] menyediakan abstraksi </w:t>
      </w:r>
      <w:r>
        <w:rPr>
          <w:rFonts w:ascii="Courier New" w:hAnsi="Courier New"/>
        </w:rPr>
        <w:t>FilteredToolset</w:t>
      </w:r>
      <w:r>
        <w:t xml:space="preserve"> yang memungkinkan penyaringan </w:t>
      </w:r>
      <w:r>
        <w:rPr>
          <w:i/>
        </w:rPr>
        <w:t>tool</w:t>
      </w:r>
      <w:r>
        <w:t xml:space="preserve"> berdasarkan sebuah predikat tunggal. Namun antarmuka tersebut tidak dirancang untuk penyaringan multi-kriteria yang dibutuhkan platform ERP multi-modul, yakni penyaringan simultan berdasarkan modul, peran (</w:t>
      </w:r>
      <w:r>
        <w:rPr>
          <w:i/>
        </w:rPr>
        <w:t>role</w:t>
      </w:r>
      <w:r>
        <w:t>), tingkat langganan (</w:t>
      </w:r>
      <w:r>
        <w:rPr>
          <w:i/>
        </w:rPr>
        <w:t>subscription tier</w:t>
      </w:r>
      <w:r>
        <w:t>), dan anggaran token (</w:t>
      </w:r>
      <w:r>
        <w:rPr>
          <w:i/>
        </w:rPr>
        <w:t>token budget</w:t>
      </w:r>
      <w:r>
        <w:t>). Kesenjangan antara kemampuan predikat tunggal dan kebutuhan penyaringan multi-kriteria inilah yang menjadi motivasi perancangan artefak Tool Registry pada penelitian ini.</w:t>
      </w:r>
    </w:p>
    <w:p>
      <w:pPr>
        <w:pStyle w:val="Heading2"/>
      </w:pPr>
      <w:r>
        <w:t>3.2 Perancangan Tool Registry</w:t>
      </w:r>
    </w:p>
    <w:p>
      <w:pPr>
        <w:ind w:firstLine="720"/>
        <w:jc w:val="both"/>
      </w:pPr>
      <w:r>
        <w:t xml:space="preserve">Artefak utama yang dirancang adalah lapisan penyaringan deterministik berbasis metadata terstruktur yang ditempatkan di antara katalog </w:t>
      </w:r>
      <w:r>
        <w:rPr>
          <w:i/>
        </w:rPr>
        <w:t>tool</w:t>
      </w:r>
      <w:r>
        <w:t xml:space="preserve"> dan LLM. Rancangan ini mengadaptasi prinsip </w:t>
      </w:r>
      <w:r>
        <w:rPr>
          <w:i/>
        </w:rPr>
        <w:t>smallest possible set of high-signal tokens</w:t>
      </w:r>
      <w:r>
        <w:t xml:space="preserve"> dari rekayasa konteks Anthropic [7], yakni meneruskan hanya himpunan </w:t>
      </w:r>
      <w:r>
        <w:rPr>
          <w:i/>
        </w:rPr>
        <w:t>tool</w:t>
      </w:r>
      <w:r>
        <w:t xml:space="preserve"> paling relevan dan sekecil mungkin kepada model.</w:t>
      </w:r>
    </w:p>
    <w:p>
      <w:pPr>
        <w:ind w:firstLine="720"/>
        <w:jc w:val="both"/>
      </w:pPr>
      <w:r>
        <w:t xml:space="preserve">Setiap </w:t>
      </w:r>
      <w:r>
        <w:rPr>
          <w:i/>
        </w:rPr>
        <w:t>tool</w:t>
      </w:r>
      <w:r>
        <w:t xml:space="preserve"> direpresentasikan oleh skema metadata terstruktur yang menyimpan atribut penyaringan. Atribut-atribut tersebut dirangkum pada Tabel 3.1.</w:t>
      </w:r>
    </w:p>
    <w:p>
      <w:pPr>
        <w:pStyle w:val="Caption"/>
        <w:keepNext/>
        <w:jc w:val="center"/>
      </w:pPr>
      <w:r>
        <w:t>Tabel 3.</w:t>
      </w:r>
      <w:fldSimple w:instr=" SEQ Tabel \* ARABIC \s 1 ">
        <w:r>
          <w:t>1</w:t>
        </w:r>
      </w:fldSimple>
      <w:r>
        <w:t xml:space="preserve"> Atribut Metadata Tool</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2646"/>
        <w:gridCol w:w="2646"/>
        <w:gridCol w:w="2646"/>
      </w:tblGrid>
      <w:tr>
        <w:trPr>
          <w:cantSplit/>
          <w:tblHeader/>
        </w:trPr>
        <w:tc>
          <w:tcPr>
            <w:tcW w:type="dxa" w:w="2646"/>
            <w:tcBorders>
              <w:top w:val="none"/>
              <w:bottom w:val="single" w:sz="8" w:space="0" w:color="000000"/>
              <w:left w:val="none"/>
              <w:right w:val="none"/>
            </w:tcBorders>
          </w:tcPr>
          <w:p>
            <w:pPr>
              <w:spacing w:line="240" w:lineRule="auto" w:after="0"/>
            </w:pPr>
            <w:r>
              <w:rPr>
                <w:b/>
                <w:sz w:val="20"/>
              </w:rPr>
            </w:r>
            <w:r>
              <w:rPr>
                <w:b/>
                <w:sz w:val="20"/>
              </w:rPr>
              <w:t>Atribut</w:t>
            </w:r>
          </w:p>
        </w:tc>
        <w:tc>
          <w:tcPr>
            <w:tcW w:type="dxa" w:w="2646"/>
            <w:tcBorders>
              <w:top w:val="none"/>
              <w:bottom w:val="single" w:sz="8" w:space="0" w:color="000000"/>
              <w:left w:val="none"/>
              <w:right w:val="none"/>
            </w:tcBorders>
          </w:tcPr>
          <w:p>
            <w:pPr>
              <w:spacing w:line="240" w:lineRule="auto" w:after="0"/>
            </w:pPr>
            <w:r>
              <w:rPr>
                <w:b/>
                <w:sz w:val="20"/>
              </w:rPr>
            </w:r>
            <w:r>
              <w:rPr>
                <w:b/>
                <w:sz w:val="20"/>
              </w:rPr>
              <w:t>Tipe</w:t>
            </w:r>
          </w:p>
        </w:tc>
        <w:tc>
          <w:tcPr>
            <w:tcW w:type="dxa" w:w="2646"/>
            <w:tcBorders>
              <w:top w:val="none"/>
              <w:bottom w:val="single" w:sz="8" w:space="0" w:color="000000"/>
              <w:left w:val="none"/>
              <w:right w:val="none"/>
            </w:tcBorders>
          </w:tcPr>
          <w:p>
            <w:pPr>
              <w:spacing w:line="240" w:lineRule="auto" w:after="0"/>
            </w:pPr>
            <w:r>
              <w:rPr>
                <w:b/>
                <w:sz w:val="20"/>
              </w:rPr>
            </w:r>
            <w:r>
              <w:rPr>
                <w:b/>
                <w:sz w:val="20"/>
              </w:rPr>
              <w:t>Fungsi dalam Penyaringan</w:t>
            </w:r>
          </w:p>
        </w:tc>
      </w:tr>
      <w:tr>
        <w:trPr>
          <w:cantSplit/>
        </w:trPr>
        <w:tc>
          <w:tcPr>
            <w:tcW w:type="dxa" w:w="2646"/>
          </w:tcPr>
          <w:p>
            <w:pPr>
              <w:spacing w:line="240" w:lineRule="auto" w:after="0"/>
            </w:pPr>
            <w:r>
              <w:rPr>
                <w:sz w:val="20"/>
              </w:rPr>
            </w:r>
            <w:r>
              <w:rPr>
                <w:rFonts w:ascii="Courier New" w:hAnsi="Courier New"/>
                <w:sz w:val="20"/>
              </w:rPr>
              <w:t>name</w:t>
            </w:r>
          </w:p>
        </w:tc>
        <w:tc>
          <w:tcPr>
            <w:tcW w:type="dxa" w:w="2646"/>
          </w:tcPr>
          <w:p>
            <w:pPr>
              <w:spacing w:line="240" w:lineRule="auto" w:after="0"/>
            </w:pPr>
            <w:r>
              <w:rPr>
                <w:sz w:val="20"/>
              </w:rPr>
            </w:r>
            <w:r>
              <w:rPr>
                <w:i/>
                <w:sz w:val="20"/>
              </w:rPr>
              <w:t>string</w:t>
            </w:r>
          </w:p>
        </w:tc>
        <w:tc>
          <w:tcPr>
            <w:tcW w:type="dxa" w:w="2646"/>
          </w:tcPr>
          <w:p>
            <w:pPr>
              <w:spacing w:line="240" w:lineRule="auto" w:after="0"/>
            </w:pPr>
            <w:r>
              <w:rPr>
                <w:sz w:val="20"/>
              </w:rPr>
            </w:r>
            <w:r>
              <w:rPr>
                <w:sz w:val="20"/>
              </w:rPr>
              <w:t xml:space="preserve">Pengenal unik </w:t>
            </w:r>
            <w:r>
              <w:rPr>
                <w:i/>
                <w:sz w:val="20"/>
              </w:rPr>
              <w:t>tool</w:t>
            </w:r>
            <w:r>
              <w:rPr>
                <w:sz w:val="20"/>
              </w:rPr>
              <w:t xml:space="preserve"> yang dipanggil LLM</w:t>
            </w:r>
          </w:p>
        </w:tc>
      </w:tr>
      <w:tr>
        <w:trPr>
          <w:cantSplit/>
        </w:trPr>
        <w:tc>
          <w:tcPr>
            <w:tcW w:type="dxa" w:w="2646"/>
          </w:tcPr>
          <w:p>
            <w:pPr>
              <w:spacing w:line="240" w:lineRule="auto" w:after="0"/>
            </w:pPr>
            <w:r>
              <w:rPr>
                <w:sz w:val="20"/>
              </w:rPr>
            </w:r>
            <w:r>
              <w:rPr>
                <w:rFonts w:ascii="Courier New" w:hAnsi="Courier New"/>
                <w:sz w:val="20"/>
              </w:rPr>
              <w:t>module</w:t>
            </w:r>
          </w:p>
        </w:tc>
        <w:tc>
          <w:tcPr>
            <w:tcW w:type="dxa" w:w="2646"/>
          </w:tcPr>
          <w:p>
            <w:pPr>
              <w:spacing w:line="240" w:lineRule="auto" w:after="0"/>
            </w:pPr>
            <w:r>
              <w:rPr>
                <w:sz w:val="20"/>
              </w:rPr>
            </w:r>
            <w:r>
              <w:rPr>
                <w:i/>
                <w:sz w:val="20"/>
              </w:rPr>
              <w:t>string</w:t>
            </w:r>
          </w:p>
        </w:tc>
        <w:tc>
          <w:tcPr>
            <w:tcW w:type="dxa" w:w="2646"/>
          </w:tcPr>
          <w:p>
            <w:pPr>
              <w:spacing w:line="240" w:lineRule="auto" w:after="0"/>
            </w:pPr>
            <w:r>
              <w:rPr>
                <w:sz w:val="20"/>
              </w:rPr>
            </w:r>
            <w:r>
              <w:rPr>
                <w:sz w:val="20"/>
              </w:rPr>
              <w:t xml:space="preserve">Modul pemilik </w:t>
            </w:r>
            <w:r>
              <w:rPr>
                <w:i/>
                <w:sz w:val="20"/>
              </w:rPr>
              <w:t>tool</w:t>
            </w:r>
            <w:r>
              <w:rPr>
                <w:sz w:val="20"/>
              </w:rPr>
              <w:t>; difilter terhadap modul kueri</w:t>
            </w:r>
          </w:p>
        </w:tc>
      </w:tr>
      <w:tr>
        <w:trPr>
          <w:cantSplit/>
        </w:trPr>
        <w:tc>
          <w:tcPr>
            <w:tcW w:type="dxa" w:w="2646"/>
          </w:tcPr>
          <w:p>
            <w:pPr>
              <w:spacing w:line="240" w:lineRule="auto" w:after="0"/>
            </w:pPr>
            <w:r>
              <w:rPr>
                <w:sz w:val="20"/>
              </w:rPr>
            </w:r>
            <w:r>
              <w:rPr>
                <w:rFonts w:ascii="Courier New" w:hAnsi="Courier New"/>
                <w:sz w:val="20"/>
              </w:rPr>
              <w:t>op_type</w:t>
            </w:r>
          </w:p>
        </w:tc>
        <w:tc>
          <w:tcPr>
            <w:tcW w:type="dxa" w:w="2646"/>
          </w:tcPr>
          <w:p>
            <w:pPr>
              <w:spacing w:line="240" w:lineRule="auto" w:after="0"/>
            </w:pPr>
            <w:r>
              <w:rPr>
                <w:sz w:val="20"/>
              </w:rPr>
            </w:r>
            <w:r>
              <w:rPr>
                <w:i/>
                <w:sz w:val="20"/>
              </w:rPr>
              <w:t>string</w:t>
            </w:r>
          </w:p>
        </w:tc>
        <w:tc>
          <w:tcPr>
            <w:tcW w:type="dxa" w:w="2646"/>
          </w:tcPr>
          <w:p>
            <w:pPr>
              <w:spacing w:line="240" w:lineRule="auto" w:after="0"/>
            </w:pPr>
            <w:r>
              <w:rPr>
                <w:sz w:val="20"/>
              </w:rPr>
            </w:r>
            <w:r>
              <w:rPr>
                <w:sz w:val="20"/>
              </w:rPr>
              <w:t>Tipe operasi (</w:t>
            </w:r>
            <w:r>
              <w:rPr>
                <w:i/>
                <w:sz w:val="20"/>
              </w:rPr>
              <w:t>read</w:t>
            </w:r>
            <w:r>
              <w:rPr>
                <w:sz w:val="20"/>
              </w:rPr>
              <w:t xml:space="preserve">, </w:t>
            </w:r>
            <w:r>
              <w:rPr>
                <w:i/>
                <w:sz w:val="20"/>
              </w:rPr>
              <w:t>analytical</w:t>
            </w:r>
            <w:r>
              <w:rPr>
                <w:sz w:val="20"/>
              </w:rPr>
              <w:t xml:space="preserve">, </w:t>
            </w:r>
            <w:r>
              <w:rPr>
                <w:i/>
                <w:sz w:val="20"/>
              </w:rPr>
              <w:t>write</w:t>
            </w:r>
            <w:r>
              <w:rPr>
                <w:sz w:val="20"/>
              </w:rPr>
              <w:t xml:space="preserve">, </w:t>
            </w:r>
            <w:r>
              <w:rPr>
                <w:i/>
                <w:sz w:val="20"/>
              </w:rPr>
              <w:t>admin</w:t>
            </w:r>
            <w:r>
              <w:rPr>
                <w:sz w:val="20"/>
              </w:rPr>
              <w:t>)</w:t>
            </w:r>
          </w:p>
        </w:tc>
      </w:tr>
      <w:tr>
        <w:trPr>
          <w:cantSplit/>
        </w:trPr>
        <w:tc>
          <w:tcPr>
            <w:tcW w:type="dxa" w:w="2646"/>
          </w:tcPr>
          <w:p>
            <w:pPr>
              <w:spacing w:line="240" w:lineRule="auto" w:after="0"/>
            </w:pPr>
            <w:r>
              <w:rPr>
                <w:sz w:val="20"/>
              </w:rPr>
            </w:r>
            <w:r>
              <w:rPr>
                <w:rFonts w:ascii="Courier New" w:hAnsi="Courier New"/>
                <w:sz w:val="20"/>
              </w:rPr>
              <w:t>roles</w:t>
            </w:r>
          </w:p>
        </w:tc>
        <w:tc>
          <w:tcPr>
            <w:tcW w:type="dxa" w:w="2646"/>
          </w:tcPr>
          <w:p>
            <w:pPr>
              <w:spacing w:line="240" w:lineRule="auto" w:after="0"/>
            </w:pPr>
            <w:r>
              <w:rPr>
                <w:sz w:val="20"/>
              </w:rPr>
            </w:r>
            <w:r>
              <w:rPr>
                <w:i/>
                <w:sz w:val="20"/>
              </w:rPr>
              <w:t>list</w:t>
            </w:r>
          </w:p>
        </w:tc>
        <w:tc>
          <w:tcPr>
            <w:tcW w:type="dxa" w:w="2646"/>
          </w:tcPr>
          <w:p>
            <w:pPr>
              <w:spacing w:line="240" w:lineRule="auto" w:after="0"/>
            </w:pPr>
            <w:r>
              <w:rPr>
                <w:sz w:val="20"/>
              </w:rPr>
            </w:r>
            <w:r>
              <w:rPr>
                <w:sz w:val="20"/>
              </w:rPr>
              <w:t>Peran yang diizinkan; difilter terhadap peran kueri</w:t>
            </w:r>
          </w:p>
        </w:tc>
      </w:tr>
      <w:tr>
        <w:trPr>
          <w:cantSplit/>
        </w:trPr>
        <w:tc>
          <w:tcPr>
            <w:tcW w:type="dxa" w:w="2646"/>
          </w:tcPr>
          <w:p>
            <w:pPr>
              <w:spacing w:line="240" w:lineRule="auto" w:after="0"/>
            </w:pPr>
            <w:r>
              <w:rPr>
                <w:sz w:val="20"/>
              </w:rPr>
            </w:r>
            <w:r>
              <w:rPr>
                <w:rFonts w:ascii="Courier New" w:hAnsi="Courier New"/>
                <w:sz w:val="20"/>
              </w:rPr>
              <w:t>tiers</w:t>
            </w:r>
          </w:p>
        </w:tc>
        <w:tc>
          <w:tcPr>
            <w:tcW w:type="dxa" w:w="2646"/>
          </w:tcPr>
          <w:p>
            <w:pPr>
              <w:spacing w:line="240" w:lineRule="auto" w:after="0"/>
            </w:pPr>
            <w:r>
              <w:rPr>
                <w:sz w:val="20"/>
              </w:rPr>
            </w:r>
            <w:r>
              <w:rPr>
                <w:i/>
                <w:sz w:val="20"/>
              </w:rPr>
              <w:t>list</w:t>
            </w:r>
          </w:p>
        </w:tc>
        <w:tc>
          <w:tcPr>
            <w:tcW w:type="dxa" w:w="2646"/>
          </w:tcPr>
          <w:p>
            <w:pPr>
              <w:spacing w:line="240" w:lineRule="auto" w:after="0"/>
            </w:pPr>
            <w:r>
              <w:rPr>
                <w:sz w:val="20"/>
              </w:rPr>
            </w:r>
            <w:r>
              <w:rPr>
                <w:sz w:val="20"/>
              </w:rPr>
              <w:t>Tingkat langganan yang diizinkan; difilter terhadap tier kueri</w:t>
            </w:r>
          </w:p>
        </w:tc>
      </w:tr>
      <w:tr>
        <w:trPr>
          <w:cantSplit/>
        </w:trPr>
        <w:tc>
          <w:tcPr>
            <w:tcW w:type="dxa" w:w="2646"/>
          </w:tcPr>
          <w:p>
            <w:pPr>
              <w:spacing w:line="240" w:lineRule="auto" w:after="0"/>
            </w:pPr>
            <w:r>
              <w:rPr>
                <w:sz w:val="20"/>
              </w:rPr>
            </w:r>
            <w:r>
              <w:rPr>
                <w:rFonts w:ascii="Courier New" w:hAnsi="Courier New"/>
                <w:sz w:val="20"/>
              </w:rPr>
              <w:t>keywords</w:t>
            </w:r>
          </w:p>
        </w:tc>
        <w:tc>
          <w:tcPr>
            <w:tcW w:type="dxa" w:w="2646"/>
          </w:tcPr>
          <w:p>
            <w:pPr>
              <w:spacing w:line="240" w:lineRule="auto" w:after="0"/>
            </w:pPr>
            <w:r>
              <w:rPr>
                <w:sz w:val="20"/>
              </w:rPr>
            </w:r>
            <w:r>
              <w:rPr>
                <w:i/>
                <w:sz w:val="20"/>
              </w:rPr>
              <w:t>list</w:t>
            </w:r>
          </w:p>
        </w:tc>
        <w:tc>
          <w:tcPr>
            <w:tcW w:type="dxa" w:w="2646"/>
          </w:tcPr>
          <w:p>
            <w:pPr>
              <w:spacing w:line="240" w:lineRule="auto" w:after="0"/>
            </w:pPr>
            <w:r>
              <w:rPr>
                <w:sz w:val="20"/>
              </w:rPr>
            </w:r>
            <w:r>
              <w:rPr>
                <w:sz w:val="20"/>
              </w:rPr>
              <w:t>Kata kunci untuk skoring relevansi terhadap teks kueri</w:t>
            </w:r>
          </w:p>
        </w:tc>
      </w:tr>
      <w:tr>
        <w:trPr>
          <w:cantSplit/>
        </w:trPr>
        <w:tc>
          <w:tcPr>
            <w:tcW w:type="dxa" w:w="2646"/>
          </w:tcPr>
          <w:p>
            <w:pPr>
              <w:spacing w:line="240" w:lineRule="auto" w:after="0"/>
            </w:pPr>
            <w:r>
              <w:rPr>
                <w:sz w:val="20"/>
              </w:rPr>
            </w:r>
            <w:r>
              <w:rPr>
                <w:rFonts w:ascii="Courier New" w:hAnsi="Courier New"/>
                <w:sz w:val="20"/>
              </w:rPr>
              <w:t>priority</w:t>
            </w:r>
          </w:p>
        </w:tc>
        <w:tc>
          <w:tcPr>
            <w:tcW w:type="dxa" w:w="2646"/>
          </w:tcPr>
          <w:p>
            <w:pPr>
              <w:spacing w:line="240" w:lineRule="auto" w:after="0"/>
            </w:pPr>
            <w:r>
              <w:rPr>
                <w:sz w:val="20"/>
              </w:rPr>
            </w:r>
            <w:r>
              <w:rPr>
                <w:i/>
                <w:sz w:val="20"/>
              </w:rPr>
              <w:t>int</w:t>
            </w:r>
          </w:p>
        </w:tc>
        <w:tc>
          <w:tcPr>
            <w:tcW w:type="dxa" w:w="2646"/>
          </w:tcPr>
          <w:p>
            <w:pPr>
              <w:spacing w:line="240" w:lineRule="auto" w:after="0"/>
            </w:pPr>
            <w:r>
              <w:rPr>
                <w:sz w:val="20"/>
              </w:rPr>
            </w:r>
            <w:r>
              <w:rPr>
                <w:sz w:val="20"/>
              </w:rPr>
              <w:t>Bobot prioritas untuk pengurutan saat skor kata kunci seri</w:t>
            </w:r>
          </w:p>
        </w:tc>
      </w:tr>
      <w:tr>
        <w:trPr>
          <w:cantSplit/>
        </w:trPr>
        <w:tc>
          <w:tcPr>
            <w:tcW w:type="dxa" w:w="2646"/>
          </w:tcPr>
          <w:p>
            <w:pPr>
              <w:spacing w:line="240" w:lineRule="auto" w:after="0"/>
            </w:pPr>
            <w:r>
              <w:rPr>
                <w:sz w:val="20"/>
              </w:rPr>
            </w:r>
            <w:r>
              <w:rPr>
                <w:rFonts w:ascii="Courier New" w:hAnsi="Courier New"/>
                <w:sz w:val="20"/>
              </w:rPr>
              <w:t>schema_tokens</w:t>
            </w:r>
          </w:p>
        </w:tc>
        <w:tc>
          <w:tcPr>
            <w:tcW w:type="dxa" w:w="2646"/>
          </w:tcPr>
          <w:p>
            <w:pPr>
              <w:spacing w:line="240" w:lineRule="auto" w:after="0"/>
            </w:pPr>
            <w:r>
              <w:rPr>
                <w:sz w:val="20"/>
              </w:rPr>
            </w:r>
            <w:r>
              <w:rPr>
                <w:i/>
                <w:sz w:val="20"/>
              </w:rPr>
              <w:t>int</w:t>
            </w:r>
          </w:p>
        </w:tc>
        <w:tc>
          <w:tcPr>
            <w:tcW w:type="dxa" w:w="2646"/>
          </w:tcPr>
          <w:p>
            <w:pPr>
              <w:spacing w:line="240" w:lineRule="auto" w:after="0"/>
            </w:pPr>
            <w:r>
              <w:rPr>
                <w:sz w:val="20"/>
              </w:rPr>
            </w:r>
            <w:r>
              <w:rPr>
                <w:sz w:val="20"/>
              </w:rPr>
              <w:t xml:space="preserve">Estimasi biaya token skema </w:t>
            </w:r>
            <w:r>
              <w:rPr>
                <w:i/>
                <w:sz w:val="20"/>
              </w:rPr>
              <w:t>tool</w:t>
            </w:r>
            <w:r>
              <w:rPr>
                <w:sz w:val="20"/>
              </w:rPr>
              <w:t xml:space="preserve"> untuk perhitungan anggaran</w:t>
            </w:r>
          </w:p>
        </w:tc>
      </w:tr>
      <w:tr>
        <w:trPr>
          <w:cantSplit/>
        </w:trPr>
        <w:tc>
          <w:tcPr>
            <w:tcW w:type="dxa" w:w="2646"/>
          </w:tcPr>
          <w:p>
            <w:pPr>
              <w:spacing w:line="240" w:lineRule="auto" w:after="0"/>
            </w:pPr>
            <w:r>
              <w:rPr>
                <w:sz w:val="20"/>
              </w:rPr>
            </w:r>
            <w:r>
              <w:rPr>
                <w:rFonts w:ascii="Courier New" w:hAnsi="Courier New"/>
                <w:sz w:val="20"/>
              </w:rPr>
              <w:t>intent</w:t>
            </w:r>
          </w:p>
        </w:tc>
        <w:tc>
          <w:tcPr>
            <w:tcW w:type="dxa" w:w="2646"/>
          </w:tcPr>
          <w:p>
            <w:pPr>
              <w:spacing w:line="240" w:lineRule="auto" w:after="0"/>
            </w:pPr>
            <w:r>
              <w:rPr>
                <w:sz w:val="20"/>
              </w:rPr>
            </w:r>
            <w:r>
              <w:rPr>
                <w:i/>
                <w:sz w:val="20"/>
              </w:rPr>
              <w:t>string</w:t>
            </w:r>
          </w:p>
        </w:tc>
        <w:tc>
          <w:tcPr>
            <w:tcW w:type="dxa" w:w="2646"/>
          </w:tcPr>
          <w:p>
            <w:pPr>
              <w:spacing w:line="240" w:lineRule="auto" w:after="0"/>
            </w:pPr>
            <w:r>
              <w:rPr>
                <w:sz w:val="20"/>
              </w:rPr>
            </w:r>
            <w:r>
              <w:rPr>
                <w:sz w:val="20"/>
              </w:rPr>
              <w:t xml:space="preserve">Deskripsi </w:t>
            </w:r>
            <w:r>
              <w:rPr>
                <w:i/>
                <w:sz w:val="20"/>
              </w:rPr>
              <w:t>docstring</w:t>
            </w:r>
            <w:r>
              <w:rPr>
                <w:sz w:val="20"/>
              </w:rPr>
              <w:t xml:space="preserve"> singkat: fungsi dan kapan </w:t>
            </w:r>
            <w:r>
              <w:rPr>
                <w:i/>
                <w:sz w:val="20"/>
              </w:rPr>
              <w:t>tool</w:t>
            </w:r>
            <w:r>
              <w:rPr>
                <w:sz w:val="20"/>
              </w:rPr>
              <w:t xml:space="preserve"> dipakai</w:t>
            </w:r>
          </w:p>
        </w:tc>
      </w:tr>
    </w:tbl>
    <w:p>
      <w:pPr>
        <w:ind w:firstLine="720"/>
        <w:jc w:val="both"/>
      </w:pPr>
      <w:r>
        <w:t xml:space="preserve">Proses penyaringan dirancang sebagai </w:t>
      </w:r>
      <w:r>
        <w:rPr>
          <w:i/>
        </w:rPr>
        <w:t>pipeline</w:t>
      </w:r>
      <w:r>
        <w:t xml:space="preserve"> lima tahap berurutan. Tiga tahap pertama bersifat </w:t>
      </w:r>
      <w:r>
        <w:rPr>
          <w:i/>
        </w:rPr>
        <w:t>hard filter</w:t>
      </w:r>
      <w:r>
        <w:t xml:space="preserve"> yang menggugurkan </w:t>
      </w:r>
      <w:r>
        <w:rPr>
          <w:i/>
        </w:rPr>
        <w:t>tool</w:t>
      </w:r>
      <w:r>
        <w:t xml:space="preserve"> tidak memenuhi syarat (modul, peran, dan tier), sedangkan dua tahap terakhir melakukan skoring relevansi dan pembatasan jumlah keluaran. Arsitektur lengkap </w:t>
      </w:r>
      <w:r>
        <w:rPr>
          <w:i/>
        </w:rPr>
        <w:t>pipeline</w:t>
      </w:r>
      <w:r>
        <w:t xml:space="preserve"> tersebut, mulai dari permintaan pengguna hingga keluaran </w:t>
      </w:r>
      <w:r>
        <w:rPr>
          <w:i/>
        </w:rPr>
        <w:t>tool</w:t>
      </w:r>
      <w:r>
        <w:t xml:space="preserve"> yang dipanggil LLM, diilustrasikan pada Gambar 3.1.</w:t>
      </w:r>
    </w:p>
    <w:p>
      <w:pPr>
        <w:keepNext/>
        <w:spacing w:before="120"/>
        <w:jc w:val="center"/>
      </w:pPr>
      <w:r>
        <w:drawing>
          <wp:inline xmlns:a="http://schemas.openxmlformats.org/drawingml/2006/main" xmlns:pic="http://schemas.openxmlformats.org/drawingml/2006/picture">
            <wp:extent cx="4320000" cy="2335886"/>
            <wp:docPr id="3" name="Picture 3"/>
            <wp:cNvGraphicFramePr>
              <a:graphicFrameLocks noChangeAspect="1"/>
            </wp:cNvGraphicFramePr>
            <a:graphic>
              <a:graphicData uri="http://schemas.openxmlformats.org/drawingml/2006/picture">
                <pic:pic>
                  <pic:nvPicPr>
                    <pic:cNvPr id="0" name="arsitektur-tool-registry.png"/>
                    <pic:cNvPicPr/>
                  </pic:nvPicPr>
                  <pic:blipFill>
                    <a:blip r:embed="rId13"/>
                    <a:stretch>
                      <a:fillRect/>
                    </a:stretch>
                  </pic:blipFill>
                  <pic:spPr>
                    <a:xfrm>
                      <a:off x="0" y="0"/>
                      <a:ext cx="4320000" cy="2335886"/>
                    </a:xfrm>
                    <a:prstGeom prst="rect"/>
                  </pic:spPr>
                </pic:pic>
              </a:graphicData>
            </a:graphic>
          </wp:inline>
        </w:drawing>
      </w:r>
    </w:p>
    <w:p>
      <w:pPr>
        <w:pStyle w:val="Caption"/>
        <w:jc w:val="center"/>
      </w:pPr>
      <w:r>
        <w:t>Gambar 3.</w:t>
      </w:r>
      <w:fldSimple w:instr=" SEQ Gambar \* ARABIC \s 1 ">
        <w:r>
          <w:t>1</w:t>
        </w:r>
      </w:fldSimple>
      <w:r>
        <w:t xml:space="preserve"> Arsitektur Pipeline Penyaringan Tool Registry.</w:t>
      </w:r>
    </w:p>
    <w:p>
      <w:pPr>
        <w:ind w:firstLine="720"/>
        <w:jc w:val="both"/>
      </w:pPr>
      <w:r>
        <w:t xml:space="preserve">Sebagaimana ditunjukkan pada Gambar 3.1, katalog </w:t>
      </w:r>
      <w:r>
        <w:rPr>
          <w:rFonts w:ascii="Courier New" w:hAnsi="Courier New"/>
        </w:rPr>
        <w:t>ToolMeta</w:t>
      </w:r>
      <w:r>
        <w:t xml:space="preserve"> disaring secara berurutan terhadap konteks kueri, lalu sisa kandidat diurutkan berdasarkan tumpang-tindih kata kunci, prioritas, dan </w:t>
      </w:r>
      <w:r>
        <w:rPr>
          <w:i/>
        </w:rPr>
        <w:t>hash</w:t>
      </w:r>
      <w:r>
        <w:t xml:space="preserve"> stabil sebagai pemecah seri yang deterministik. Hasil akhir dibatasi oleh </w:t>
      </w:r>
      <w:r>
        <w:rPr>
          <w:i/>
        </w:rPr>
        <w:t>budget cap</w:t>
      </w:r>
      <w:r>
        <w:t xml:space="preserve"> sebesar 15 </w:t>
      </w:r>
      <w:r>
        <w:rPr>
          <w:i/>
        </w:rPr>
        <w:t>tool</w:t>
      </w:r>
      <w:r>
        <w:t xml:space="preserve"> sebelum diserialisasi menjadi </w:t>
      </w:r>
      <w:r>
        <w:rPr>
          <w:i/>
        </w:rPr>
        <w:t>FunctionDeclaration</w:t>
      </w:r>
      <w:r>
        <w:t xml:space="preserve">. Dengan demikian, jumlah </w:t>
      </w:r>
      <w:r>
        <w:rPr>
          <w:i/>
        </w:rPr>
        <w:t>tool</w:t>
      </w:r>
      <w:r>
        <w:t xml:space="preserve"> yang terlihat oleh LLM bersifat konstan (O(1) terhadap anggaran) meskipun ukuran katalog bertambah — properti yang menjadi dasar pengujian skalabilitas </w:t>
      </w:r>
      <w:r>
        <w:rPr>
          <w:i/>
        </w:rPr>
        <w:t>sub-linear</w:t>
      </w:r>
      <w:r>
        <w:t xml:space="preserve"> pada Bab IV.</w:t>
      </w:r>
    </w:p>
    <w:p>
      <w:pPr>
        <w:pStyle w:val="Heading2"/>
      </w:pPr>
      <w:r>
        <w:t>3.3 Perancangan Eval Framework</w:t>
      </w:r>
    </w:p>
    <w:p>
      <w:pPr>
        <w:ind w:firstLine="720"/>
        <w:jc w:val="both"/>
      </w:pPr>
      <w:r>
        <w:t xml:space="preserve">Untuk mengukur dampak Tool Registry secara kuantitatif, dirancang kerangka evaluasi yang membandingkan dua mode pada katalog identik: mode </w:t>
      </w:r>
      <w:r>
        <w:rPr>
          <w:i/>
        </w:rPr>
        <w:t>baseline</w:t>
      </w:r>
      <w:r>
        <w:t xml:space="preserve"> yang meneruskan seluruh </w:t>
      </w:r>
      <w:r>
        <w:rPr>
          <w:i/>
        </w:rPr>
        <w:t>tool</w:t>
      </w:r>
      <w:r>
        <w:t xml:space="preserve"> katalog ke LLM, dan mode </w:t>
      </w:r>
      <w:r>
        <w:rPr>
          <w:i/>
        </w:rPr>
        <w:t>registry</w:t>
      </w:r>
      <w:r>
        <w:t xml:space="preserve"> yang menerapkan </w:t>
      </w:r>
      <w:r>
        <w:rPr>
          <w:i/>
        </w:rPr>
        <w:t>pipeline</w:t>
      </w:r>
      <w:r>
        <w:t xml:space="preserve"> penyaringan terlebih dahulu. Perbandingan berpasangan ini memastikan bahwa selisih metrik yang teramati murni disebabkan oleh perlakuan penyaringan, bukan oleh perbedaan kueri atau katalog.</w:t>
      </w:r>
    </w:p>
    <w:p>
      <w:pPr>
        <w:ind w:firstLine="720"/>
        <w:jc w:val="both"/>
      </w:pPr>
      <w:r>
        <w:t>Evaluasi dijalankan pada empat skenario katalog dengan ukuran bertingkat untuk menguji perilaku penskalaan. Definisi tiap skenario dirangkum pada Tabel 3.2.</w:t>
      </w:r>
    </w:p>
    <w:p>
      <w:pPr>
        <w:pStyle w:val="Caption"/>
        <w:keepNext/>
        <w:jc w:val="center"/>
      </w:pPr>
      <w:r>
        <w:t>Tabel 3.</w:t>
      </w:r>
      <w:fldSimple w:instr=" SEQ Tabel \* ARABIC \s 1 ">
        <w:r>
          <w:t>1</w:t>
        </w:r>
      </w:fldSimple>
      <w:r>
        <w:t xml:space="preserve"> Definisi Skenario Eksperimen</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1587"/>
        <w:gridCol w:w="1587"/>
        <w:gridCol w:w="1587"/>
        <w:gridCol w:w="1587"/>
        <w:gridCol w:w="1587"/>
      </w:tblGrid>
      <w:tr>
        <w:trPr>
          <w:cantSplit/>
          <w:tblHeader/>
        </w:trPr>
        <w:tc>
          <w:tcPr>
            <w:tcW w:type="dxa" w:w="1587"/>
            <w:tcBorders>
              <w:top w:val="none"/>
              <w:bottom w:val="single" w:sz="8" w:space="0" w:color="000000"/>
              <w:left w:val="none"/>
              <w:right w:val="none"/>
            </w:tcBorders>
          </w:tcPr>
          <w:p>
            <w:pPr>
              <w:spacing w:line="240" w:lineRule="auto" w:after="0"/>
            </w:pPr>
            <w:r>
              <w:rPr>
                <w:b/>
                <w:sz w:val="20"/>
              </w:rPr>
            </w:r>
            <w:r>
              <w:rPr>
                <w:b/>
                <w:sz w:val="20"/>
              </w:rPr>
              <w:t>Skenario</w:t>
            </w:r>
          </w:p>
        </w:tc>
        <w:tc>
          <w:tcPr>
            <w:tcW w:type="dxa" w:w="1587"/>
            <w:tcBorders>
              <w:top w:val="none"/>
              <w:bottom w:val="single" w:sz="8" w:space="0" w:color="000000"/>
              <w:left w:val="none"/>
              <w:right w:val="none"/>
            </w:tcBorders>
          </w:tcPr>
          <w:p>
            <w:pPr>
              <w:spacing w:line="240" w:lineRule="auto" w:after="0"/>
            </w:pPr>
            <w:r>
              <w:rPr>
                <w:b/>
                <w:sz w:val="20"/>
              </w:rPr>
            </w:r>
            <w:r>
              <w:rPr>
                <w:b/>
                <w:sz w:val="20"/>
              </w:rPr>
              <w:t>Jumlah Modul</w:t>
            </w:r>
          </w:p>
        </w:tc>
        <w:tc>
          <w:tcPr>
            <w:tcW w:type="dxa" w:w="1587"/>
            <w:tcBorders>
              <w:top w:val="none"/>
              <w:bottom w:val="single" w:sz="8" w:space="0" w:color="000000"/>
              <w:left w:val="none"/>
              <w:right w:val="none"/>
            </w:tcBorders>
          </w:tcPr>
          <w:p>
            <w:pPr>
              <w:spacing w:line="240" w:lineRule="auto" w:after="0"/>
            </w:pPr>
            <w:r>
              <w:rPr>
                <w:b/>
                <w:sz w:val="20"/>
              </w:rPr>
            </w:r>
            <w:r>
              <w:rPr>
                <w:b/>
                <w:sz w:val="20"/>
              </w:rPr>
              <w:t>Tool per Modul</w:t>
            </w:r>
          </w:p>
        </w:tc>
        <w:tc>
          <w:tcPr>
            <w:tcW w:type="dxa" w:w="1587"/>
            <w:tcBorders>
              <w:top w:val="none"/>
              <w:bottom w:val="single" w:sz="8" w:space="0" w:color="000000"/>
              <w:left w:val="none"/>
              <w:right w:val="none"/>
            </w:tcBorders>
          </w:tcPr>
          <w:p>
            <w:pPr>
              <w:spacing w:line="240" w:lineRule="auto" w:after="0"/>
            </w:pPr>
            <w:r>
              <w:rPr>
                <w:b/>
                <w:sz w:val="20"/>
              </w:rPr>
            </w:r>
            <w:r>
              <w:rPr>
                <w:b/>
                <w:sz w:val="20"/>
              </w:rPr>
              <w:t>Total Tool</w:t>
            </w:r>
          </w:p>
        </w:tc>
        <w:tc>
          <w:tcPr>
            <w:tcW w:type="dxa" w:w="1587"/>
            <w:tcBorders>
              <w:top w:val="none"/>
              <w:bottom w:val="single" w:sz="8" w:space="0" w:color="000000"/>
              <w:left w:val="none"/>
              <w:right w:val="none"/>
            </w:tcBorders>
          </w:tcPr>
          <w:p>
            <w:pPr>
              <w:spacing w:line="240" w:lineRule="auto" w:after="0"/>
            </w:pPr>
            <w:r>
              <w:rPr>
                <w:b/>
                <w:sz w:val="20"/>
              </w:rPr>
            </w:r>
            <w:r>
              <w:rPr>
                <w:b/>
                <w:sz w:val="20"/>
              </w:rPr>
              <w:t>Status Eksekusi</w:t>
            </w:r>
          </w:p>
        </w:tc>
      </w:tr>
      <w:tr>
        <w:trPr>
          <w:cantSplit/>
        </w:trPr>
        <w:tc>
          <w:tcPr>
            <w:tcW w:type="dxa" w:w="1587"/>
          </w:tcPr>
          <w:p>
            <w:pPr>
              <w:spacing w:line="240" w:lineRule="auto" w:after="0"/>
            </w:pPr>
            <w:r>
              <w:rPr>
                <w:sz w:val="20"/>
              </w:rPr>
            </w:r>
            <w:r>
              <w:rPr>
                <w:sz w:val="20"/>
              </w:rPr>
              <w:t>S1</w:t>
            </w:r>
          </w:p>
        </w:tc>
        <w:tc>
          <w:tcPr>
            <w:tcW w:type="dxa" w:w="1587"/>
          </w:tcPr>
          <w:p>
            <w:pPr>
              <w:spacing w:line="240" w:lineRule="auto" w:after="0"/>
            </w:pPr>
            <w:r>
              <w:rPr>
                <w:sz w:val="20"/>
              </w:rPr>
            </w:r>
            <w:r>
              <w:rPr>
                <w:sz w:val="20"/>
              </w:rPr>
              <w:t>3</w:t>
            </w:r>
          </w:p>
        </w:tc>
        <w:tc>
          <w:tcPr>
            <w:tcW w:type="dxa" w:w="1587"/>
          </w:tcPr>
          <w:p>
            <w:pPr>
              <w:spacing w:line="240" w:lineRule="auto" w:after="0"/>
            </w:pPr>
            <w:r>
              <w:rPr>
                <w:sz w:val="20"/>
              </w:rPr>
            </w:r>
            <w:r>
              <w:rPr>
                <w:sz w:val="20"/>
              </w:rPr>
              <w:t>10</w:t>
            </w:r>
          </w:p>
        </w:tc>
        <w:tc>
          <w:tcPr>
            <w:tcW w:type="dxa" w:w="1587"/>
          </w:tcPr>
          <w:p>
            <w:pPr>
              <w:spacing w:line="240" w:lineRule="auto" w:after="0"/>
            </w:pPr>
            <w:r>
              <w:rPr>
                <w:sz w:val="20"/>
              </w:rPr>
            </w:r>
            <w:r>
              <w:rPr>
                <w:sz w:val="20"/>
              </w:rPr>
              <w:t>30</w:t>
            </w:r>
          </w:p>
        </w:tc>
        <w:tc>
          <w:tcPr>
            <w:tcW w:type="dxa" w:w="1587"/>
          </w:tcPr>
          <w:p>
            <w:pPr>
              <w:spacing w:line="240" w:lineRule="auto" w:after="0"/>
            </w:pPr>
            <w:r>
              <w:rPr>
                <w:sz w:val="20"/>
              </w:rPr>
            </w:r>
            <w:r>
              <w:rPr>
                <w:i/>
                <w:sz w:val="20"/>
              </w:rPr>
              <w:t>Live</w:t>
            </w:r>
            <w:r>
              <w:rPr>
                <w:sz w:val="20"/>
              </w:rPr>
              <w:t xml:space="preserve"> (Gemini)</w:t>
            </w:r>
          </w:p>
        </w:tc>
      </w:tr>
      <w:tr>
        <w:trPr>
          <w:cantSplit/>
        </w:trPr>
        <w:tc>
          <w:tcPr>
            <w:tcW w:type="dxa" w:w="1587"/>
          </w:tcPr>
          <w:p>
            <w:pPr>
              <w:spacing w:line="240" w:lineRule="auto" w:after="0"/>
            </w:pPr>
            <w:r>
              <w:rPr>
                <w:sz w:val="20"/>
              </w:rPr>
            </w:r>
            <w:r>
              <w:rPr>
                <w:sz w:val="20"/>
              </w:rPr>
              <w:t>S2</w:t>
            </w:r>
          </w:p>
        </w:tc>
        <w:tc>
          <w:tcPr>
            <w:tcW w:type="dxa" w:w="1587"/>
          </w:tcPr>
          <w:p>
            <w:pPr>
              <w:spacing w:line="240" w:lineRule="auto" w:after="0"/>
            </w:pPr>
            <w:r>
              <w:rPr>
                <w:sz w:val="20"/>
              </w:rPr>
            </w:r>
            <w:r>
              <w:rPr>
                <w:sz w:val="20"/>
              </w:rPr>
              <w:t>5</w:t>
            </w:r>
          </w:p>
        </w:tc>
        <w:tc>
          <w:tcPr>
            <w:tcW w:type="dxa" w:w="1587"/>
          </w:tcPr>
          <w:p>
            <w:pPr>
              <w:spacing w:line="240" w:lineRule="auto" w:after="0"/>
            </w:pPr>
            <w:r>
              <w:rPr>
                <w:sz w:val="20"/>
              </w:rPr>
            </w:r>
            <w:r>
              <w:rPr>
                <w:sz w:val="20"/>
              </w:rPr>
              <w:t>20</w:t>
            </w:r>
          </w:p>
        </w:tc>
        <w:tc>
          <w:tcPr>
            <w:tcW w:type="dxa" w:w="1587"/>
          </w:tcPr>
          <w:p>
            <w:pPr>
              <w:spacing w:line="240" w:lineRule="auto" w:after="0"/>
            </w:pPr>
            <w:r>
              <w:rPr>
                <w:sz w:val="20"/>
              </w:rPr>
            </w:r>
            <w:r>
              <w:rPr>
                <w:sz w:val="20"/>
              </w:rPr>
              <w:t>100</w:t>
            </w:r>
          </w:p>
        </w:tc>
        <w:tc>
          <w:tcPr>
            <w:tcW w:type="dxa" w:w="1587"/>
          </w:tcPr>
          <w:p>
            <w:pPr>
              <w:spacing w:line="240" w:lineRule="auto" w:after="0"/>
            </w:pPr>
            <w:r>
              <w:rPr>
                <w:sz w:val="20"/>
              </w:rPr>
            </w:r>
            <w:r>
              <w:rPr>
                <w:i/>
                <w:sz w:val="20"/>
              </w:rPr>
              <w:t>Live</w:t>
            </w:r>
            <w:r>
              <w:rPr>
                <w:sz w:val="20"/>
              </w:rPr>
              <w:t xml:space="preserve"> (Gemini)</w:t>
            </w:r>
          </w:p>
        </w:tc>
      </w:tr>
      <w:tr>
        <w:trPr>
          <w:cantSplit/>
        </w:trPr>
        <w:tc>
          <w:tcPr>
            <w:tcW w:type="dxa" w:w="1587"/>
          </w:tcPr>
          <w:p>
            <w:pPr>
              <w:spacing w:line="240" w:lineRule="auto" w:after="0"/>
            </w:pPr>
            <w:r>
              <w:rPr>
                <w:sz w:val="20"/>
              </w:rPr>
            </w:r>
            <w:r>
              <w:rPr>
                <w:sz w:val="20"/>
              </w:rPr>
              <w:t>S3</w:t>
            </w:r>
          </w:p>
        </w:tc>
        <w:tc>
          <w:tcPr>
            <w:tcW w:type="dxa" w:w="1587"/>
          </w:tcPr>
          <w:p>
            <w:pPr>
              <w:spacing w:line="240" w:lineRule="auto" w:after="0"/>
            </w:pPr>
            <w:r>
              <w:rPr>
                <w:sz w:val="20"/>
              </w:rPr>
            </w:r>
            <w:r>
              <w:rPr>
                <w:sz w:val="20"/>
              </w:rPr>
              <w:t>10</w:t>
            </w:r>
          </w:p>
        </w:tc>
        <w:tc>
          <w:tcPr>
            <w:tcW w:type="dxa" w:w="1587"/>
          </w:tcPr>
          <w:p>
            <w:pPr>
              <w:spacing w:line="240" w:lineRule="auto" w:after="0"/>
            </w:pPr>
            <w:r>
              <w:rPr>
                <w:sz w:val="20"/>
              </w:rPr>
            </w:r>
            <w:r>
              <w:rPr>
                <w:sz w:val="20"/>
              </w:rPr>
              <w:t>30</w:t>
            </w:r>
          </w:p>
        </w:tc>
        <w:tc>
          <w:tcPr>
            <w:tcW w:type="dxa" w:w="1587"/>
          </w:tcPr>
          <w:p>
            <w:pPr>
              <w:spacing w:line="240" w:lineRule="auto" w:after="0"/>
            </w:pPr>
            <w:r>
              <w:rPr>
                <w:sz w:val="20"/>
              </w:rPr>
            </w:r>
            <w:r>
              <w:rPr>
                <w:sz w:val="20"/>
              </w:rPr>
              <w:t>300</w:t>
            </w:r>
          </w:p>
        </w:tc>
        <w:tc>
          <w:tcPr>
            <w:tcW w:type="dxa" w:w="1587"/>
          </w:tcPr>
          <w:p>
            <w:pPr>
              <w:spacing w:line="240" w:lineRule="auto" w:after="0"/>
            </w:pPr>
            <w:r>
              <w:rPr>
                <w:sz w:val="20"/>
              </w:rPr>
            </w:r>
            <w:r>
              <w:rPr>
                <w:i/>
                <w:sz w:val="20"/>
              </w:rPr>
              <w:t>Live</w:t>
            </w:r>
            <w:r>
              <w:rPr>
                <w:sz w:val="20"/>
              </w:rPr>
              <w:t xml:space="preserve"> (Gemini)</w:t>
            </w:r>
          </w:p>
        </w:tc>
      </w:tr>
      <w:tr>
        <w:trPr>
          <w:cantSplit/>
        </w:trPr>
        <w:tc>
          <w:tcPr>
            <w:tcW w:type="dxa" w:w="1587"/>
          </w:tcPr>
          <w:p>
            <w:pPr>
              <w:spacing w:line="240" w:lineRule="auto" w:after="0"/>
            </w:pPr>
            <w:r>
              <w:rPr>
                <w:sz w:val="20"/>
              </w:rPr>
            </w:r>
            <w:r>
              <w:rPr>
                <w:sz w:val="20"/>
              </w:rPr>
              <w:t>S4</w:t>
            </w:r>
          </w:p>
        </w:tc>
        <w:tc>
          <w:tcPr>
            <w:tcW w:type="dxa" w:w="1587"/>
          </w:tcPr>
          <w:p>
            <w:pPr>
              <w:spacing w:line="240" w:lineRule="auto" w:after="0"/>
            </w:pPr>
            <w:r>
              <w:rPr>
                <w:sz w:val="20"/>
              </w:rPr>
            </w:r>
            <w:r>
              <w:rPr>
                <w:sz w:val="20"/>
              </w:rPr>
              <w:t>20</w:t>
            </w:r>
          </w:p>
        </w:tc>
        <w:tc>
          <w:tcPr>
            <w:tcW w:type="dxa" w:w="1587"/>
          </w:tcPr>
          <w:p>
            <w:pPr>
              <w:spacing w:line="240" w:lineRule="auto" w:after="0"/>
            </w:pPr>
            <w:r>
              <w:rPr>
                <w:sz w:val="20"/>
              </w:rPr>
            </w:r>
            <w:r>
              <w:rPr>
                <w:sz w:val="20"/>
              </w:rPr>
              <w:t>50</w:t>
            </w:r>
          </w:p>
        </w:tc>
        <w:tc>
          <w:tcPr>
            <w:tcW w:type="dxa" w:w="1587"/>
          </w:tcPr>
          <w:p>
            <w:pPr>
              <w:spacing w:line="240" w:lineRule="auto" w:after="0"/>
            </w:pPr>
            <w:r>
              <w:rPr>
                <w:sz w:val="20"/>
              </w:rPr>
            </w:r>
            <w:r>
              <w:rPr>
                <w:sz w:val="20"/>
              </w:rPr>
              <w:t>1.000</w:t>
            </w:r>
          </w:p>
        </w:tc>
        <w:tc>
          <w:tcPr>
            <w:tcW w:type="dxa" w:w="1587"/>
          </w:tcPr>
          <w:p>
            <w:pPr>
              <w:spacing w:line="240" w:lineRule="auto" w:after="0"/>
            </w:pPr>
            <w:r>
              <w:rPr>
                <w:sz w:val="20"/>
              </w:rPr>
            </w:r>
            <w:r>
              <w:rPr>
                <w:sz w:val="20"/>
              </w:rPr>
              <w:t>Simulasi deterministik</w:t>
            </w:r>
          </w:p>
        </w:tc>
      </w:tr>
    </w:tbl>
    <w:p>
      <w:pPr>
        <w:ind w:firstLine="720"/>
        <w:jc w:val="both"/>
      </w:pPr>
      <w:r>
        <w:t xml:space="preserve">Skenario S1–S3 dijalankan secara </w:t>
      </w:r>
      <w:r>
        <w:rPr>
          <w:i/>
        </w:rPr>
        <w:t>live</w:t>
      </w:r>
      <w:r>
        <w:t xml:space="preserve"> terhadap LLM, sedangkan S4 (1.000 </w:t>
      </w:r>
      <w:r>
        <w:rPr>
          <w:i/>
        </w:rPr>
        <w:t>tool</w:t>
      </w:r>
      <w:r>
        <w:t>) hanya disimulasikan secara deterministik untuk mengilustrasikan tren penskalaan tanpa membebani kuota inferensi. Dataset evaluasi terdiri dari 100 kueri berbahasa Indonesia yang dirancang menyerupai permintaan operasional restoran nyata, dengan komposisi sebagaimana disajikan pada Tabel 3.3.</w:t>
      </w:r>
    </w:p>
    <w:p>
      <w:pPr>
        <w:pStyle w:val="Caption"/>
        <w:keepNext/>
        <w:jc w:val="center"/>
      </w:pPr>
      <w:r>
        <w:t>Tabel 3.</w:t>
      </w:r>
      <w:fldSimple w:instr=" SEQ Tabel \* ARABIC \s 1 ">
        <w:r>
          <w:t>1</w:t>
        </w:r>
      </w:fldSimple>
      <w:r>
        <w:t xml:space="preserve"> Komposisi Dataset 100 Kueri</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2646"/>
        <w:gridCol w:w="2646"/>
        <w:gridCol w:w="2646"/>
      </w:tblGrid>
      <w:tr>
        <w:trPr>
          <w:cantSplit/>
          <w:tblHeader/>
        </w:trPr>
        <w:tc>
          <w:tcPr>
            <w:tcW w:type="dxa" w:w="2646"/>
            <w:tcBorders>
              <w:top w:val="none"/>
              <w:bottom w:val="single" w:sz="8" w:space="0" w:color="000000"/>
              <w:left w:val="none"/>
              <w:right w:val="none"/>
            </w:tcBorders>
          </w:tcPr>
          <w:p>
            <w:pPr>
              <w:spacing w:line="240" w:lineRule="auto" w:after="0"/>
            </w:pPr>
            <w:r>
              <w:rPr>
                <w:b/>
                <w:sz w:val="20"/>
              </w:rPr>
            </w:r>
            <w:r>
              <w:rPr>
                <w:b/>
                <w:sz w:val="20"/>
              </w:rPr>
              <w:t>Kategori Kueri</w:t>
            </w:r>
          </w:p>
        </w:tc>
        <w:tc>
          <w:tcPr>
            <w:tcW w:type="dxa" w:w="2646"/>
            <w:tcBorders>
              <w:top w:val="none"/>
              <w:bottom w:val="single" w:sz="8" w:space="0" w:color="000000"/>
              <w:left w:val="none"/>
              <w:right w:val="none"/>
            </w:tcBorders>
          </w:tcPr>
          <w:p>
            <w:pPr>
              <w:spacing w:line="240" w:lineRule="auto" w:after="0"/>
            </w:pPr>
            <w:r>
              <w:rPr>
                <w:b/>
                <w:sz w:val="20"/>
              </w:rPr>
            </w:r>
            <w:r>
              <w:rPr>
                <w:b/>
                <w:sz w:val="20"/>
              </w:rPr>
              <w:t>Jumlah</w:t>
            </w:r>
          </w:p>
        </w:tc>
        <w:tc>
          <w:tcPr>
            <w:tcW w:type="dxa" w:w="2646"/>
            <w:tcBorders>
              <w:top w:val="none"/>
              <w:bottom w:val="single" w:sz="8" w:space="0" w:color="000000"/>
              <w:left w:val="none"/>
              <w:right w:val="none"/>
            </w:tcBorders>
          </w:tcPr>
          <w:p>
            <w:pPr>
              <w:spacing w:line="240" w:lineRule="auto" w:after="0"/>
            </w:pPr>
            <w:r>
              <w:rPr>
                <w:b/>
                <w:sz w:val="20"/>
              </w:rPr>
            </w:r>
            <w:r>
              <w:rPr>
                <w:b/>
                <w:sz w:val="20"/>
              </w:rPr>
              <w:t>Tujuan Pengujian</w:t>
            </w:r>
          </w:p>
        </w:tc>
      </w:tr>
      <w:tr>
        <w:trPr>
          <w:cantSplit/>
        </w:trPr>
        <w:tc>
          <w:tcPr>
            <w:tcW w:type="dxa" w:w="2646"/>
          </w:tcPr>
          <w:p>
            <w:pPr>
              <w:spacing w:line="240" w:lineRule="auto" w:after="0"/>
            </w:pPr>
            <w:r>
              <w:rPr>
                <w:sz w:val="20"/>
              </w:rPr>
            </w:r>
            <w:r>
              <w:rPr>
                <w:i/>
                <w:sz w:val="20"/>
              </w:rPr>
              <w:t>Single-domain</w:t>
            </w:r>
          </w:p>
        </w:tc>
        <w:tc>
          <w:tcPr>
            <w:tcW w:type="dxa" w:w="2646"/>
          </w:tcPr>
          <w:p>
            <w:pPr>
              <w:spacing w:line="240" w:lineRule="auto" w:after="0"/>
            </w:pPr>
            <w:r>
              <w:rPr>
                <w:sz w:val="20"/>
              </w:rPr>
            </w:r>
            <w:r>
              <w:rPr>
                <w:sz w:val="20"/>
              </w:rPr>
              <w:t>50</w:t>
            </w:r>
          </w:p>
        </w:tc>
        <w:tc>
          <w:tcPr>
            <w:tcW w:type="dxa" w:w="2646"/>
          </w:tcPr>
          <w:p>
            <w:pPr>
              <w:spacing w:line="240" w:lineRule="auto" w:after="0"/>
            </w:pPr>
            <w:r>
              <w:rPr>
                <w:sz w:val="20"/>
              </w:rPr>
            </w:r>
            <w:r>
              <w:rPr>
                <w:sz w:val="20"/>
              </w:rPr>
              <w:t xml:space="preserve">Pemilihan </w:t>
            </w:r>
            <w:r>
              <w:rPr>
                <w:i/>
                <w:sz w:val="20"/>
              </w:rPr>
              <w:t>tool</w:t>
            </w:r>
            <w:r>
              <w:rPr>
                <w:sz w:val="20"/>
              </w:rPr>
              <w:t xml:space="preserve"> pada satu modul tunggal</w:t>
            </w:r>
          </w:p>
        </w:tc>
      </w:tr>
      <w:tr>
        <w:trPr>
          <w:cantSplit/>
        </w:trPr>
        <w:tc>
          <w:tcPr>
            <w:tcW w:type="dxa" w:w="2646"/>
          </w:tcPr>
          <w:p>
            <w:pPr>
              <w:spacing w:line="240" w:lineRule="auto" w:after="0"/>
            </w:pPr>
            <w:r>
              <w:rPr>
                <w:sz w:val="20"/>
              </w:rPr>
            </w:r>
            <w:r>
              <w:rPr>
                <w:i/>
                <w:sz w:val="20"/>
              </w:rPr>
              <w:t>Cross-domain</w:t>
            </w:r>
          </w:p>
        </w:tc>
        <w:tc>
          <w:tcPr>
            <w:tcW w:type="dxa" w:w="2646"/>
          </w:tcPr>
          <w:p>
            <w:pPr>
              <w:spacing w:line="240" w:lineRule="auto" w:after="0"/>
            </w:pPr>
            <w:r>
              <w:rPr>
                <w:sz w:val="20"/>
              </w:rPr>
            </w:r>
            <w:r>
              <w:rPr>
                <w:sz w:val="20"/>
              </w:rPr>
              <w:t>30</w:t>
            </w:r>
          </w:p>
        </w:tc>
        <w:tc>
          <w:tcPr>
            <w:tcW w:type="dxa" w:w="2646"/>
          </w:tcPr>
          <w:p>
            <w:pPr>
              <w:spacing w:line="240" w:lineRule="auto" w:after="0"/>
            </w:pPr>
            <w:r>
              <w:rPr>
                <w:sz w:val="20"/>
              </w:rPr>
            </w:r>
            <w:r>
              <w:rPr>
                <w:sz w:val="20"/>
              </w:rPr>
              <w:t>Disambiguasi antar-dua modul terkait</w:t>
            </w:r>
          </w:p>
        </w:tc>
      </w:tr>
      <w:tr>
        <w:trPr>
          <w:cantSplit/>
        </w:trPr>
        <w:tc>
          <w:tcPr>
            <w:tcW w:type="dxa" w:w="2646"/>
          </w:tcPr>
          <w:p>
            <w:pPr>
              <w:spacing w:line="240" w:lineRule="auto" w:after="0"/>
            </w:pPr>
            <w:r>
              <w:rPr>
                <w:sz w:val="20"/>
              </w:rPr>
            </w:r>
            <w:r>
              <w:rPr>
                <w:i/>
                <w:sz w:val="20"/>
              </w:rPr>
              <w:t>Adversarial</w:t>
            </w:r>
          </w:p>
        </w:tc>
        <w:tc>
          <w:tcPr>
            <w:tcW w:type="dxa" w:w="2646"/>
          </w:tcPr>
          <w:p>
            <w:pPr>
              <w:spacing w:line="240" w:lineRule="auto" w:after="0"/>
            </w:pPr>
            <w:r>
              <w:rPr>
                <w:sz w:val="20"/>
              </w:rPr>
            </w:r>
            <w:r>
              <w:rPr>
                <w:sz w:val="20"/>
              </w:rPr>
              <w:t>20</w:t>
            </w:r>
          </w:p>
        </w:tc>
        <w:tc>
          <w:tcPr>
            <w:tcW w:type="dxa" w:w="2646"/>
          </w:tcPr>
          <w:p>
            <w:pPr>
              <w:spacing w:line="240" w:lineRule="auto" w:after="0"/>
            </w:pPr>
            <w:r>
              <w:rPr>
                <w:sz w:val="20"/>
              </w:rPr>
            </w:r>
            <w:r>
              <w:rPr>
                <w:sz w:val="20"/>
              </w:rPr>
              <w:t xml:space="preserve">Ketahanan terhadap </w:t>
            </w:r>
            <w:r>
              <w:rPr>
                <w:i/>
                <w:sz w:val="20"/>
              </w:rPr>
              <w:t>prompt injection</w:t>
            </w:r>
            <w:r>
              <w:rPr>
                <w:sz w:val="20"/>
              </w:rPr>
              <w:t xml:space="preserve"> dan instruksi menyesatkan</w:t>
            </w:r>
          </w:p>
        </w:tc>
      </w:tr>
      <w:tr>
        <w:trPr>
          <w:cantSplit/>
        </w:trPr>
        <w:tc>
          <w:tcPr>
            <w:tcW w:type="dxa" w:w="2646"/>
          </w:tcPr>
          <w:p>
            <w:pPr>
              <w:spacing w:line="240" w:lineRule="auto" w:after="0"/>
            </w:pPr>
            <w:r>
              <w:rPr>
                <w:sz w:val="20"/>
              </w:rPr>
            </w:r>
            <w:r>
              <w:rPr>
                <w:b/>
                <w:sz w:val="20"/>
              </w:rPr>
              <w:t>Total</w:t>
            </w:r>
          </w:p>
        </w:tc>
        <w:tc>
          <w:tcPr>
            <w:tcW w:type="dxa" w:w="2646"/>
          </w:tcPr>
          <w:p>
            <w:pPr>
              <w:spacing w:line="240" w:lineRule="auto" w:after="0"/>
            </w:pPr>
            <w:r>
              <w:rPr>
                <w:sz w:val="20"/>
              </w:rPr>
            </w:r>
            <w:r>
              <w:rPr>
                <w:b/>
                <w:sz w:val="20"/>
              </w:rPr>
              <w:t>100</w:t>
            </w:r>
          </w:p>
        </w:tc>
        <w:tc>
          <w:tcPr>
            <w:tcW w:type="dxa" w:w="2646"/>
          </w:tcPr>
          <w:p>
            <w:pPr>
              <w:spacing w:line="240" w:lineRule="auto" w:after="0"/>
            </w:pPr>
            <w:r>
              <w:rPr>
                <w:sz w:val="20"/>
              </w:rPr>
            </w:r>
            <w:r>
              <w:rPr>
                <w:sz w:val="20"/>
              </w:rPr>
              <w:t>—</w:t>
            </w:r>
          </w:p>
        </w:tc>
      </w:tr>
    </w:tbl>
    <w:p>
      <w:pPr>
        <w:ind w:firstLine="720"/>
        <w:jc w:val="both"/>
      </w:pPr>
      <w:r>
        <w:t xml:space="preserve">Setiap kueri dilengkapi metadata konteks (modul, peran, tier) serta </w:t>
      </w:r>
      <w:r>
        <w:rPr>
          <w:rFonts w:ascii="Courier New" w:hAnsi="Courier New"/>
        </w:rPr>
        <w:t>expected_tool</w:t>
      </w:r>
      <w:r>
        <w:t xml:space="preserve"> sebagai </w:t>
      </w:r>
      <w:r>
        <w:rPr>
          <w:i/>
        </w:rPr>
        <w:t>ground truth</w:t>
      </w:r>
      <w:r>
        <w:t xml:space="preserve"> untuk penilaian akurasi. Pada </w:t>
      </w:r>
      <w:r>
        <w:rPr>
          <w:i/>
        </w:rPr>
        <w:t>backend</w:t>
      </w:r>
      <w:r>
        <w:t xml:space="preserve"> LLM, setiap kueri diulang sebanyak tiga kali (</w:t>
      </w:r>
      <w:r>
        <w:rPr>
          <w:i/>
        </w:rPr>
        <w:t>repeat runs</w:t>
      </w:r>
      <w:r>
        <w:t>) per skenario guna menangkap variabilitas keluaran model. Alur kerja kerangka evaluasi secara keseluruhan — dari pembangkitan dataset, percabangan mode, pemanggilan LLM, hingga pencatatan metrik dan uji statistik — diilustrasikan pada Gambar 3.2.</w:t>
      </w:r>
    </w:p>
    <w:p>
      <w:pPr>
        <w:keepNext/>
        <w:spacing w:before="120"/>
        <w:jc w:val="center"/>
      </w:pPr>
      <w:r>
        <w:drawing>
          <wp:inline xmlns:a="http://schemas.openxmlformats.org/drawingml/2006/main" xmlns:pic="http://schemas.openxmlformats.org/drawingml/2006/picture">
            <wp:extent cx="3966768" cy="6479999"/>
            <wp:docPr id="4" name="Picture 4"/>
            <wp:cNvGraphicFramePr>
              <a:graphicFrameLocks noChangeAspect="1"/>
            </wp:cNvGraphicFramePr>
            <a:graphic>
              <a:graphicData uri="http://schemas.openxmlformats.org/drawingml/2006/picture">
                <pic:pic>
                  <pic:nvPicPr>
                    <pic:cNvPr id="0" name="alur-eval-runner.png"/>
                    <pic:cNvPicPr/>
                  </pic:nvPicPr>
                  <pic:blipFill>
                    <a:blip r:embed="rId14"/>
                    <a:stretch>
                      <a:fillRect/>
                    </a:stretch>
                  </pic:blipFill>
                  <pic:spPr>
                    <a:xfrm>
                      <a:off x="0" y="0"/>
                      <a:ext cx="3966768" cy="6479999"/>
                    </a:xfrm>
                    <a:prstGeom prst="rect"/>
                  </pic:spPr>
                </pic:pic>
              </a:graphicData>
            </a:graphic>
          </wp:inline>
        </w:drawing>
      </w:r>
    </w:p>
    <w:p>
      <w:pPr>
        <w:pStyle w:val="Caption"/>
        <w:jc w:val="center"/>
      </w:pPr>
      <w:r>
        <w:t>Gambar 3.</w:t>
      </w:r>
      <w:fldSimple w:instr=" SEQ Gambar \* ARABIC \s 1 ">
        <w:r>
          <w:t>1</w:t>
        </w:r>
      </w:fldSimple>
      <w:r>
        <w:t xml:space="preserve"> Alur Kerja Kerangka Evaluasi Baseline dan Registry.</w:t>
      </w:r>
    </w:p>
    <w:p>
      <w:pPr>
        <w:ind w:firstLine="720"/>
        <w:jc w:val="both"/>
      </w:pPr>
      <w:r>
        <w:t xml:space="preserve">Empat metrik dicatat pada setiap pemanggilan: jumlah token (input dan output), latensi respons, </w:t>
      </w:r>
      <w:r>
        <w:rPr>
          <w:i/>
        </w:rPr>
        <w:t>tool</w:t>
      </w:r>
      <w:r>
        <w:t xml:space="preserve"> yang terpilih beserta status kebenarannya terhadap </w:t>
      </w:r>
      <w:r>
        <w:rPr>
          <w:rFonts w:ascii="Courier New" w:hAnsi="Courier New"/>
        </w:rPr>
        <w:t>expected_tool</w:t>
      </w:r>
      <w:r>
        <w:t xml:space="preserve">, dan jumlah </w:t>
      </w:r>
      <w:r>
        <w:rPr>
          <w:i/>
        </w:rPr>
        <w:t>tool</w:t>
      </w:r>
      <w:r>
        <w:t xml:space="preserve"> yang terlihat oleh model. Seluruh metrik disimpan dalam format JSONL inkremental sebagaimana diuraikan pada Sub-bab 3.5.</w:t>
      </w:r>
    </w:p>
    <w:p>
      <w:pPr>
        <w:pStyle w:val="Heading2"/>
      </w:pPr>
      <w:r>
        <w:t>3.4 Implementasi Tool Registry</w:t>
      </w:r>
    </w:p>
    <w:p>
      <w:pPr>
        <w:ind w:firstLine="720"/>
        <w:jc w:val="both"/>
      </w:pPr>
      <w:r>
        <w:t xml:space="preserve">Skema metadata diimplementasikan sebagai </w:t>
      </w:r>
      <w:r>
        <w:rPr>
          <w:i/>
        </w:rPr>
        <w:t>dataclass</w:t>
      </w:r>
      <w:r>
        <w:t xml:space="preserve"> </w:t>
      </w:r>
      <w:r>
        <w:rPr>
          <w:rFonts w:ascii="Courier New" w:hAnsi="Courier New"/>
        </w:rPr>
        <w:t>ToolDef</w:t>
      </w:r>
      <w:r>
        <w:t xml:space="preserve"> yang bersifat </w:t>
      </w:r>
      <w:r>
        <w:rPr>
          <w:i/>
        </w:rPr>
        <w:t>immutable</w:t>
      </w:r>
      <w:r>
        <w:t xml:space="preserve"> (</w:t>
      </w:r>
      <w:r>
        <w:rPr>
          <w:rFonts w:ascii="Courier New" w:hAnsi="Courier New"/>
        </w:rPr>
        <w:t>frozen=True</w:t>
      </w:r>
      <w:r>
        <w:t>) untuk menjamin determinisme katalog selama eksekusi. Implementasi skema tersebut disajikan pada Kode Program 3.1.</w:t>
      </w:r>
    </w:p>
    <w:p>
      <w:pPr>
        <w:pStyle w:val="Caption"/>
        <w:keepNext/>
        <w:jc w:val="center"/>
      </w:pPr>
      <w:r>
        <w:t xml:space="preserve">Kode Program 3.1 Skema Metadata </w:t>
      </w:r>
      <w:r>
        <w:rPr>
          <w:rFonts w:ascii="Courier New" w:hAnsi="Courier New"/>
        </w:rPr>
        <w:t>ToolDef</w:t>
      </w:r>
    </w:p>
    <w:p>
      <w:pPr>
        <w:keepLines/>
        <w:spacing w:line="240" w:lineRule="auto" w:before="120" w:after="120"/>
        <w:ind w:left="283" w:right="113"/>
        <w:jc w:val="left"/>
        <w:shd w:val="clear" w:color="auto" w:fill="F2F2F2"/>
      </w:pPr>
      <w:r>
        <w:rPr>
          <w:rFonts w:ascii="Courier New" w:hAnsi="Courier New" w:cs="Courier New"/>
          <w:sz w:val="18"/>
        </w:rPr>
        <w:t>@dataclass(frozen=True)</w:t>
        <w:br/>
      </w:r>
      <w:r>
        <w:rPr>
          <w:rFonts w:ascii="Courier New" w:hAnsi="Courier New" w:cs="Courier New"/>
          <w:sz w:val="18"/>
        </w:rPr>
        <w:t>class ToolDef:</w:t>
        <w:br/>
      </w:r>
      <w:r>
        <w:rPr>
          <w:rFonts w:ascii="Courier New" w:hAnsi="Courier New" w:cs="Courier New"/>
          <w:sz w:val="18"/>
        </w:rPr>
        <w:t xml:space="preserve">    name: str</w:t>
        <w:br/>
      </w:r>
      <w:r>
        <w:rPr>
          <w:rFonts w:ascii="Courier New" w:hAnsi="Courier New" w:cs="Courier New"/>
          <w:sz w:val="18"/>
        </w:rPr>
        <w:t xml:space="preserve">    module: str</w:t>
        <w:br/>
      </w:r>
      <w:r>
        <w:rPr>
          <w:rFonts w:ascii="Courier New" w:hAnsi="Courier New" w:cs="Courier New"/>
          <w:sz w:val="18"/>
        </w:rPr>
        <w:t xml:space="preserve">    op_type: str</w:t>
        <w:br/>
      </w:r>
      <w:r>
        <w:rPr>
          <w:rFonts w:ascii="Courier New" w:hAnsi="Courier New" w:cs="Courier New"/>
          <w:sz w:val="18"/>
        </w:rPr>
        <w:t xml:space="preserve">    roles: list[str]</w:t>
        <w:br/>
      </w:r>
      <w:r>
        <w:rPr>
          <w:rFonts w:ascii="Courier New" w:hAnsi="Courier New" w:cs="Courier New"/>
          <w:sz w:val="18"/>
        </w:rPr>
        <w:t xml:space="preserve">    tiers: list[str]</w:t>
        <w:br/>
      </w:r>
      <w:r>
        <w:rPr>
          <w:rFonts w:ascii="Courier New" w:hAnsi="Courier New" w:cs="Courier New"/>
          <w:sz w:val="18"/>
        </w:rPr>
        <w:t xml:space="preserve">    keywords: list[str]</w:t>
        <w:br/>
      </w:r>
      <w:r>
        <w:rPr>
          <w:rFonts w:ascii="Courier New" w:hAnsi="Courier New" w:cs="Courier New"/>
          <w:sz w:val="18"/>
        </w:rPr>
        <w:t xml:space="preserve">    priority: int</w:t>
        <w:br/>
      </w:r>
      <w:r>
        <w:rPr>
          <w:rFonts w:ascii="Courier New" w:hAnsi="Courier New" w:cs="Courier New"/>
          <w:sz w:val="18"/>
        </w:rPr>
        <w:t xml:space="preserve">    schema_tokens: int</w:t>
        <w:br/>
      </w:r>
      <w:r>
        <w:rPr>
          <w:rFonts w:ascii="Courier New" w:hAnsi="Courier New" w:cs="Courier New"/>
          <w:sz w:val="18"/>
        </w:rPr>
        <w:t xml:space="preserve">    intent: str = ""  # docstring-style: what this tool does and when to use it</w:t>
      </w:r>
    </w:p>
    <w:p>
      <w:pPr>
        <w:ind w:firstLine="720"/>
        <w:jc w:val="both"/>
      </w:pPr>
      <w:r>
        <w:t xml:space="preserve">Inti dari artefak adalah fungsi </w:t>
      </w:r>
      <w:r>
        <w:rPr>
          <w:rFonts w:ascii="Courier New" w:hAnsi="Courier New"/>
        </w:rPr>
        <w:t>registry_filter()</w:t>
      </w:r>
      <w:r>
        <w:t xml:space="preserve"> yang merealisasikan </w:t>
      </w:r>
      <w:r>
        <w:rPr>
          <w:i/>
        </w:rPr>
        <w:t>pipeline</w:t>
      </w:r>
      <w:r>
        <w:t xml:space="preserve"> lima tahap pada Gambar 3.1. Fungsi ini menerima objek kueri, daftar </w:t>
      </w:r>
      <w:r>
        <w:rPr>
          <w:i/>
        </w:rPr>
        <w:t>tool</w:t>
      </w:r>
      <w:r>
        <w:t xml:space="preserve"> skenario, dan anggaran (</w:t>
      </w:r>
      <w:r>
        <w:rPr>
          <w:i/>
        </w:rPr>
        <w:t>budget</w:t>
      </w:r>
      <w:r>
        <w:t xml:space="preserve">), lalu mengembalikan subset </w:t>
      </w:r>
      <w:r>
        <w:rPr>
          <w:i/>
        </w:rPr>
        <w:t>tool</w:t>
      </w:r>
      <w:r>
        <w:t xml:space="preserve"> terurut yang dibatasi oleh anggaran. Implementasinya disajikan pada Kode Program 3.2.</w:t>
      </w:r>
    </w:p>
    <w:p>
      <w:pPr>
        <w:pStyle w:val="Caption"/>
        <w:keepNext/>
        <w:jc w:val="center"/>
      </w:pPr>
      <w:r>
        <w:t xml:space="preserve">Kode Program 3.2 Fungsi </w:t>
      </w:r>
      <w:r>
        <w:rPr>
          <w:rFonts w:ascii="Courier New" w:hAnsi="Courier New"/>
        </w:rPr>
        <w:t>registry_filter()</w:t>
      </w:r>
    </w:p>
    <w:p>
      <w:pPr>
        <w:keepLines/>
        <w:spacing w:line="240" w:lineRule="auto" w:before="120" w:after="120"/>
        <w:ind w:left="283" w:right="113"/>
        <w:jc w:val="left"/>
        <w:shd w:val="clear" w:color="auto" w:fill="F2F2F2"/>
      </w:pPr>
      <w:r>
        <w:rPr>
          <w:rFonts w:ascii="Courier New" w:hAnsi="Courier New" w:cs="Courier New"/>
          <w:sz w:val="18"/>
        </w:rPr>
        <w:t>def registry_filter(query: QueryDef, tools: list[ToolDef], budget: int) -&gt; list[ToolDef]:</w:t>
        <w:br/>
      </w:r>
      <w:r>
        <w:rPr>
          <w:rFonts w:ascii="Courier New" w:hAnsi="Courier New" w:cs="Courier New"/>
          <w:sz w:val="18"/>
        </w:rPr>
        <w:t xml:space="preserve">    query_terms = set(query.text.lower().replace(".", "").replace(",", "").split())</w:t>
        <w:br/>
      </w:r>
      <w:r>
        <w:rPr>
          <w:rFonts w:ascii="Courier New" w:hAnsi="Courier New" w:cs="Courier New"/>
          <w:sz w:val="18"/>
        </w:rPr>
        <w:t xml:space="preserve">    ranked: list[tuple[int, int, float, ToolDef]] = []</w:t>
        <w:br/>
      </w:r>
      <w:r>
        <w:rPr>
          <w:rFonts w:ascii="Courier New" w:hAnsi="Courier New" w:cs="Courier New"/>
          <w:sz w:val="18"/>
        </w:rPr>
        <w:t xml:space="preserve">    for tool in tools:</w:t>
        <w:br/>
      </w:r>
      <w:r>
        <w:rPr>
          <w:rFonts w:ascii="Courier New" w:hAnsi="Courier New" w:cs="Courier New"/>
          <w:sz w:val="18"/>
        </w:rPr>
        <w:t xml:space="preserve">        if tool.module not in query.modules:</w:t>
        <w:br/>
      </w:r>
      <w:r>
        <w:rPr>
          <w:rFonts w:ascii="Courier New" w:hAnsi="Courier New" w:cs="Courier New"/>
          <w:sz w:val="18"/>
        </w:rPr>
        <w:t xml:space="preserve">            continue</w:t>
        <w:br/>
      </w:r>
      <w:r>
        <w:rPr>
          <w:rFonts w:ascii="Courier New" w:hAnsi="Courier New" w:cs="Courier New"/>
          <w:sz w:val="18"/>
        </w:rPr>
        <w:t xml:space="preserve">        if query.role not in tool.roles:</w:t>
        <w:br/>
      </w:r>
      <w:r>
        <w:rPr>
          <w:rFonts w:ascii="Courier New" w:hAnsi="Courier New" w:cs="Courier New"/>
          <w:sz w:val="18"/>
        </w:rPr>
        <w:t xml:space="preserve">            continue</w:t>
        <w:br/>
      </w:r>
      <w:r>
        <w:rPr>
          <w:rFonts w:ascii="Courier New" w:hAnsi="Courier New" w:cs="Courier New"/>
          <w:sz w:val="18"/>
        </w:rPr>
        <w:t xml:space="preserve">        if query.tier not in tool.tiers:</w:t>
        <w:br/>
      </w:r>
      <w:r>
        <w:rPr>
          <w:rFonts w:ascii="Courier New" w:hAnsi="Courier New" w:cs="Courier New"/>
          <w:sz w:val="18"/>
        </w:rPr>
        <w:t xml:space="preserve">            continue</w:t>
        <w:br/>
      </w:r>
      <w:r>
        <w:rPr>
          <w:rFonts w:ascii="Courier New" w:hAnsi="Courier New" w:cs="Courier New"/>
          <w:sz w:val="18"/>
        </w:rPr>
        <w:t xml:space="preserve">        overlap = len(query_terms.intersection(tool.keywords))</w:t>
        <w:br/>
      </w:r>
      <w:r>
        <w:rPr>
          <w:rFonts w:ascii="Courier New" w:hAnsi="Courier New" w:cs="Courier New"/>
          <w:sz w:val="18"/>
        </w:rPr>
        <w:t xml:space="preserve">        ranked.append((overlap, -tool.priority, -stable_unit(query.query_id, tool.name), tool))</w:t>
        <w:br/>
      </w:r>
      <w:r>
        <w:rPr>
          <w:rFonts w:ascii="Courier New" w:hAnsi="Courier New" w:cs="Courier New"/>
          <w:sz w:val="18"/>
        </w:rPr>
        <w:t xml:space="preserve">    ranked.sort(reverse=True)</w:t>
        <w:br/>
      </w:r>
      <w:r>
        <w:rPr>
          <w:rFonts w:ascii="Courier New" w:hAnsi="Courier New" w:cs="Courier New"/>
          <w:sz w:val="18"/>
        </w:rPr>
        <w:t xml:space="preserve">    return [tool for *_unused, tool in ranked[:budget]]</w:t>
      </w:r>
    </w:p>
    <w:p>
      <w:pPr>
        <w:ind w:firstLine="720"/>
        <w:jc w:val="both"/>
      </w:pPr>
      <w:r>
        <w:t xml:space="preserve">Tiga pernyataan </w:t>
      </w:r>
      <w:r>
        <w:rPr>
          <w:rFonts w:ascii="Courier New" w:hAnsi="Courier New"/>
        </w:rPr>
        <w:t>continue</w:t>
      </w:r>
      <w:r>
        <w:t xml:space="preserve"> pada Kode Program 3.2 merealisasikan </w:t>
      </w:r>
      <w:r>
        <w:rPr>
          <w:i/>
        </w:rPr>
        <w:t>hard filter</w:t>
      </w:r>
      <w:r>
        <w:t xml:space="preserve"> modul, peran, dan tier; </w:t>
      </w:r>
      <w:r>
        <w:rPr>
          <w:i/>
        </w:rPr>
        <w:t>tool</w:t>
      </w:r>
      <w:r>
        <w:t xml:space="preserve"> yang gugur tidak ikut diperingkat. Kandidat yang lolos diberi skor berupa </w:t>
      </w:r>
      <w:r>
        <w:rPr>
          <w:i/>
        </w:rPr>
        <w:t>tuple</w:t>
      </w:r>
      <w:r>
        <w:t xml:space="preserve"> </w:t>
      </w:r>
      <w:r>
        <w:rPr>
          <w:rFonts w:ascii="Courier New" w:hAnsi="Courier New"/>
        </w:rPr>
        <w:t>(overlap, -priority, -hash)</w:t>
      </w:r>
      <w:r>
        <w:t xml:space="preserve"> yang diurutkan secara menurun: jumlah tumpang-tindih kata kunci menjadi kunci utama, prioritas </w:t>
      </w:r>
      <w:r>
        <w:rPr>
          <w:i/>
        </w:rPr>
        <w:t>tool</w:t>
      </w:r>
      <w:r>
        <w:t xml:space="preserve"> menjadi pemecah seri pertama, dan nilai </w:t>
      </w:r>
      <w:r>
        <w:rPr>
          <w:i/>
        </w:rPr>
        <w:t>hash</w:t>
      </w:r>
      <w:r>
        <w:t xml:space="preserve"> stabil dari pasangan </w:t>
      </w:r>
      <w:r>
        <w:rPr>
          <w:rFonts w:ascii="Courier New" w:hAnsi="Courier New"/>
        </w:rPr>
        <w:t>(query_id, tool.name)</w:t>
      </w:r>
      <w:r>
        <w:t xml:space="preserve"> menjadi pemecah seri terakhir. Penggunaan </w:t>
      </w:r>
      <w:r>
        <w:rPr>
          <w:i/>
        </w:rPr>
        <w:t>hash</w:t>
      </w:r>
      <w:r>
        <w:t xml:space="preserve"> deterministik — bukan urutan acak — memastikan bahwa keluaran </w:t>
      </w:r>
      <w:r>
        <w:rPr>
          <w:i/>
        </w:rPr>
        <w:t>pipeline</w:t>
      </w:r>
      <w:r>
        <w:t xml:space="preserve"> dapat direproduksi secara identik pada setiap eksekusi, sebuah syarat penting bagi validitas eksperimen. Akhirnya, </w:t>
      </w:r>
      <w:r>
        <w:rPr>
          <w:i/>
        </w:rPr>
        <w:t>slicing</w:t>
      </w:r>
      <w:r>
        <w:t xml:space="preserve"> </w:t>
      </w:r>
      <w:r>
        <w:rPr>
          <w:rFonts w:ascii="Courier New" w:hAnsi="Courier New"/>
        </w:rPr>
        <w:t>[:budget]</w:t>
      </w:r>
      <w:r>
        <w:t xml:space="preserve"> menerapkan </w:t>
      </w:r>
      <w:r>
        <w:rPr>
          <w:i/>
        </w:rPr>
        <w:t>budget cap</w:t>
      </w:r>
      <w:r>
        <w:t xml:space="preserve"> yang menjamin jumlah keluaran tidak pernah melampaui 15 </w:t>
      </w:r>
      <w:r>
        <w:rPr>
          <w:i/>
        </w:rPr>
        <w:t>tool</w:t>
      </w:r>
      <w:r>
        <w:t>.</w:t>
      </w:r>
    </w:p>
    <w:p>
      <w:pPr>
        <w:ind w:firstLine="720"/>
        <w:jc w:val="both"/>
      </w:pPr>
      <w:r>
        <w:t xml:space="preserve">Selain penyaringan, dirancang pula fungsi </w:t>
      </w:r>
      <w:r>
        <w:rPr>
          <w:rFonts w:ascii="Courier New" w:hAnsi="Courier New"/>
        </w:rPr>
        <w:t>registry_memory()</w:t>
      </w:r>
      <w:r>
        <w:t xml:space="preserve"> untuk mengukur jejak memori (</w:t>
      </w:r>
      <w:r>
        <w:rPr>
          <w:i/>
        </w:rPr>
        <w:t>memory footprint</w:t>
      </w:r>
      <w:r>
        <w:t xml:space="preserve">) katalog metadata. Fungsi tersebut membangun representasi </w:t>
      </w:r>
      <w:r>
        <w:rPr>
          <w:i/>
        </w:rPr>
        <w:t>dictionary</w:t>
      </w:r>
      <w:r>
        <w:t xml:space="preserve"> dari seluruh </w:t>
      </w:r>
      <w:r>
        <w:rPr>
          <w:i/>
        </w:rPr>
        <w:t>tool</w:t>
      </w:r>
      <w:r>
        <w:t xml:space="preserve"> lalu menghitung ukuran totalnya secara rekursif menggunakan </w:t>
      </w:r>
      <w:r>
        <w:rPr>
          <w:rFonts w:ascii="Courier New" w:hAnsi="Courier New"/>
        </w:rPr>
        <w:t>deep_size()</w:t>
      </w:r>
      <w:r>
        <w:t xml:space="preserve">, sehingga </w:t>
      </w:r>
      <w:r>
        <w:rPr>
          <w:i/>
        </w:rPr>
        <w:t>overhead</w:t>
      </w:r>
      <w:r>
        <w:t xml:space="preserve"> memori registry dapat dianalisis pada Bab IV.</w:t>
      </w:r>
    </w:p>
    <w:p>
      <w:pPr>
        <w:pStyle w:val="Heading2"/>
      </w:pPr>
      <w:r>
        <w:t>3.5 Implementasi Eval Runner</w:t>
      </w:r>
    </w:p>
    <w:p>
      <w:pPr>
        <w:ind w:firstLine="720"/>
        <w:jc w:val="both"/>
      </w:pPr>
      <w:r>
        <w:rPr>
          <w:i/>
        </w:rPr>
        <w:t>Eval runner</w:t>
      </w:r>
      <w:r>
        <w:t xml:space="preserve"> bertanggung jawab menjalankan matriks eksperimen (skenario × mode × kueri × pengulangan) dan mencatat hasilnya. Untuk menjamin reprodusibilitas dan ketahanan terhadap gangguan jaringan saat memanggil LLM, </w:t>
      </w:r>
      <w:r>
        <w:rPr>
          <w:i/>
        </w:rPr>
        <w:t>runner</w:t>
      </w:r>
      <w:r>
        <w:t xml:space="preserve"> dirancang bersifat </w:t>
      </w:r>
      <w:r>
        <w:rPr>
          <w:i/>
        </w:rPr>
        <w:t>resume-safe</w:t>
      </w:r>
      <w:r>
        <w:t>: setiap hasil ditulis segera (</w:t>
      </w:r>
      <w:r>
        <w:rPr>
          <w:i/>
        </w:rPr>
        <w:t>append</w:t>
      </w:r>
      <w:r>
        <w:t xml:space="preserve">) ke berkas JSONL, dan eksekusi yang terputus dapat dilanjutkan tanpa mengulang panggilan yang telah selesai. Mekanisme ini diwujudkan dengan memuat kunci </w:t>
      </w:r>
      <w:r>
        <w:rPr>
          <w:rFonts w:ascii="Courier New" w:hAnsi="Courier New"/>
        </w:rPr>
        <w:t>(scenario, mode, query_id, repeat_idx)</w:t>
      </w:r>
      <w:r>
        <w:t xml:space="preserve"> yang telah ada di disk, lalu melewati kombinasi yang sudah tercatat, sebagaimana disajikan pada Kode Program 3.3.</w:t>
      </w:r>
    </w:p>
    <w:p>
      <w:pPr>
        <w:pStyle w:val="Caption"/>
        <w:keepNext/>
        <w:jc w:val="center"/>
      </w:pPr>
      <w:r>
        <w:t xml:space="preserve">Kode Program 3.3 Mekanisme </w:t>
      </w:r>
      <w:r>
        <w:rPr>
          <w:i/>
        </w:rPr>
        <w:t>Resume</w:t>
      </w:r>
      <w:r>
        <w:t xml:space="preserve"> pada Eval Runner</w:t>
      </w:r>
    </w:p>
    <w:p>
      <w:pPr>
        <w:keepLines/>
        <w:spacing w:line="240" w:lineRule="auto" w:before="120" w:after="120"/>
        <w:ind w:left="283" w:right="113"/>
        <w:jc w:val="left"/>
        <w:shd w:val="clear" w:color="auto" w:fill="F2F2F2"/>
      </w:pPr>
      <w:r>
        <w:rPr>
          <w:rFonts w:ascii="Courier New" w:hAnsi="Courier New" w:cs="Courier New"/>
          <w:sz w:val="18"/>
        </w:rPr>
        <w:t>for mode in modes:</w:t>
        <w:br/>
      </w:r>
      <w:r>
        <w:rPr>
          <w:rFonts w:ascii="Courier New" w:hAnsi="Courier New" w:cs="Courier New"/>
          <w:sz w:val="18"/>
        </w:rPr>
        <w:t xml:space="preserve">    for query in queries_for_scenario:</w:t>
        <w:br/>
      </w:r>
      <w:r>
        <w:rPr>
          <w:rFonts w:ascii="Courier New" w:hAnsi="Courier New" w:cs="Courier New"/>
          <w:sz w:val="18"/>
        </w:rPr>
        <w:t xml:space="preserve">        for repeat_idx in range(n_repeats):</w:t>
        <w:br/>
      </w:r>
      <w:r>
        <w:rPr>
          <w:rFonts w:ascii="Courier New" w:hAnsi="Courier New" w:cs="Courier New"/>
          <w:sz w:val="18"/>
        </w:rPr>
        <w:t xml:space="preserve">            key = (scenario, mode, query.query_id, repeat_idx)</w:t>
        <w:br/>
      </w:r>
      <w:r>
        <w:rPr>
          <w:rFonts w:ascii="Courier New" w:hAnsi="Courier New" w:cs="Courier New"/>
          <w:sz w:val="18"/>
        </w:rPr>
        <w:t xml:space="preserve">            if key in done_keys:</w:t>
        <w:br/>
      </w:r>
      <w:r>
        <w:rPr>
          <w:rFonts w:ascii="Courier New" w:hAnsi="Courier New" w:cs="Courier New"/>
          <w:sz w:val="18"/>
        </w:rPr>
        <w:t xml:space="preserve">                continue  # sudah ada di disk — lewati</w:t>
        <w:br/>
      </w:r>
      <w:r>
        <w:rPr>
          <w:rFonts w:ascii="Courier New" w:hAnsi="Courier New" w:cs="Courier New"/>
          <w:sz w:val="18"/>
        </w:rPr>
        <w:t xml:space="preserve">            row = backend.call(</w:t>
        <w:br/>
      </w:r>
      <w:r>
        <w:rPr>
          <w:rFonts w:ascii="Courier New" w:hAnsi="Courier New" w:cs="Courier New"/>
          <w:sz w:val="18"/>
        </w:rPr>
        <w:t xml:space="preserve">                mode=mode, scenario=scenario, query=query,</w:t>
        <w:br/>
      </w:r>
      <w:r>
        <w:rPr>
          <w:rFonts w:ascii="Courier New" w:hAnsi="Courier New" w:cs="Courier New"/>
          <w:sz w:val="18"/>
        </w:rPr>
        <w:t xml:space="preserve">                tools_for_scenario=tools_for_scenario,</w:t>
        <w:br/>
      </w:r>
      <w:r>
        <w:rPr>
          <w:rFonts w:ascii="Courier New" w:hAnsi="Courier New" w:cs="Courier New"/>
          <w:sz w:val="18"/>
        </w:rPr>
        <w:t xml:space="preserve">                registry_memory_bytes=memory_bytes,</w:t>
        <w:br/>
      </w:r>
      <w:r>
        <w:rPr>
          <w:rFonts w:ascii="Courier New" w:hAnsi="Courier New" w:cs="Courier New"/>
          <w:sz w:val="18"/>
        </w:rPr>
        <w:t xml:space="preserve">                config=config, repeat_idx=repeat_idx,</w:t>
        <w:br/>
      </w:r>
      <w:r>
        <w:rPr>
          <w:rFonts w:ascii="Courier New" w:hAnsi="Courier New" w:cs="Courier New"/>
          <w:sz w:val="18"/>
        </w:rPr>
        <w:t xml:space="preserve">            )</w:t>
        <w:br/>
      </w:r>
      <w:r>
        <w:rPr>
          <w:rFonts w:ascii="Courier New" w:hAnsi="Courier New" w:cs="Courier New"/>
          <w:sz w:val="18"/>
        </w:rPr>
        <w:t xml:space="preserve">            rows.append(row)</w:t>
        <w:br/>
      </w:r>
      <w:r>
        <w:rPr>
          <w:rFonts w:ascii="Courier New" w:hAnsi="Courier New" w:cs="Courier New"/>
          <w:sz w:val="18"/>
        </w:rPr>
        <w:t xml:space="preserve">            _flush(row)  # tulis segera ke JSONL (append)</w:t>
      </w:r>
    </w:p>
    <w:p>
      <w:pPr>
        <w:ind w:firstLine="720"/>
        <w:jc w:val="both"/>
      </w:pPr>
      <w:r>
        <w:t xml:space="preserve">Pemanggilan </w:t>
      </w:r>
      <w:r>
        <w:rPr>
          <w:rFonts w:ascii="Courier New" w:hAnsi="Courier New"/>
        </w:rPr>
        <w:t>_flush(row)</w:t>
      </w:r>
      <w:r>
        <w:t xml:space="preserve"> setelah setiap panggilan memastikan bahwa data tidak hilang apabila proses terhenti, sehingga eksperimen panjang yang melibatkan ratusan panggilan LLM dapat dijalankan secara bertahap. Setelah seluruh baris terkumpul, </w:t>
      </w:r>
      <w:r>
        <w:rPr>
          <w:i/>
        </w:rPr>
        <w:t>runner</w:t>
      </w:r>
      <w:r>
        <w:t xml:space="preserve"> memanggil modul </w:t>
      </w:r>
      <w:r>
        <w:rPr>
          <w:rFonts w:ascii="Courier New" w:hAnsi="Courier New"/>
        </w:rPr>
        <w:t>summarize()</w:t>
      </w:r>
      <w:r>
        <w:t xml:space="preserve"> untuk menghasilkan </w:t>
      </w:r>
      <w:r>
        <w:rPr>
          <w:rFonts w:ascii="Courier New" w:hAnsi="Courier New"/>
        </w:rPr>
        <w:t>summary.csv</w:t>
      </w:r>
      <w:r>
        <w:t xml:space="preserve">, modul uji statistik untuk menghasilkan </w:t>
      </w:r>
      <w:r>
        <w:rPr>
          <w:rFonts w:ascii="Courier New" w:hAnsi="Courier New"/>
        </w:rPr>
        <w:t>statistical_tests.csv</w:t>
      </w:r>
      <w:r>
        <w:t xml:space="preserve">, dan </w:t>
      </w:r>
      <w:r>
        <w:rPr>
          <w:i/>
        </w:rPr>
        <w:t>report generator</w:t>
      </w:r>
      <w:r>
        <w:t xml:space="preserve"> untuk menyusun laporan Markdown. Arsitektur </w:t>
      </w:r>
      <w:r>
        <w:rPr>
          <w:i/>
        </w:rPr>
        <w:t>append-only</w:t>
      </w:r>
      <w:r>
        <w:t xml:space="preserve"> ini juga memungkinkan agregasi lintas-eksekusi: berkas JSONL dari beberapa sesi dapat digabungkan menjadi satu ringkasan yang konsisten.</w:t>
      </w:r>
    </w:p>
    <w:p>
      <w:pPr>
        <w:pStyle w:val="Heading2"/>
      </w:pPr>
      <w:r>
        <w:t>3.6 Setup Eksperimen</w:t>
      </w:r>
    </w:p>
    <w:p>
      <w:pPr>
        <w:ind w:firstLine="720"/>
        <w:jc w:val="both"/>
      </w:pPr>
      <w:r>
        <w:t xml:space="preserve">Eksperimen resmi menggunakan model Gemini 2.5 Flash Lite melalui Google Gen AI SDK dengan mekanisme </w:t>
      </w:r>
      <w:r>
        <w:rPr>
          <w:i/>
        </w:rPr>
        <w:t>native function calling</w:t>
      </w:r>
      <w:r>
        <w:t xml:space="preserve"> [2]. Seluruh parameter inferensi dikendalikan untuk meminimalkan variabel pengganggu (</w:t>
      </w:r>
      <w:r>
        <w:rPr>
          <w:i/>
        </w:rPr>
        <w:t>confounding variable</w:t>
      </w:r>
      <w:r>
        <w:t>), sebagaimana dirangkum pada Tabel 3.4.</w:t>
      </w:r>
    </w:p>
    <w:p>
      <w:pPr>
        <w:pStyle w:val="Caption"/>
        <w:keepNext/>
        <w:jc w:val="center"/>
      </w:pPr>
      <w:r>
        <w:t>Tabel 3.</w:t>
      </w:r>
      <w:fldSimple w:instr=" SEQ Tabel \* ARABIC \s 1 ">
        <w:r>
          <w:t>1</w:t>
        </w:r>
      </w:fldSimple>
      <w:r>
        <w:t xml:space="preserve"> Parameter Setup Eksperimen</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2646"/>
        <w:gridCol w:w="2646"/>
        <w:gridCol w:w="2646"/>
      </w:tblGrid>
      <w:tr>
        <w:trPr>
          <w:cantSplit/>
          <w:tblHeader/>
        </w:trPr>
        <w:tc>
          <w:tcPr>
            <w:tcW w:type="dxa" w:w="2646"/>
            <w:tcBorders>
              <w:top w:val="none"/>
              <w:bottom w:val="single" w:sz="8" w:space="0" w:color="000000"/>
              <w:left w:val="none"/>
              <w:right w:val="none"/>
            </w:tcBorders>
          </w:tcPr>
          <w:p>
            <w:pPr>
              <w:spacing w:line="240" w:lineRule="auto" w:after="0"/>
            </w:pPr>
            <w:r>
              <w:rPr>
                <w:b/>
                <w:sz w:val="20"/>
              </w:rPr>
            </w:r>
            <w:r>
              <w:rPr>
                <w:b/>
                <w:sz w:val="20"/>
              </w:rPr>
              <w:t>Parameter</w:t>
            </w:r>
          </w:p>
        </w:tc>
        <w:tc>
          <w:tcPr>
            <w:tcW w:type="dxa" w:w="2646"/>
            <w:tcBorders>
              <w:top w:val="none"/>
              <w:bottom w:val="single" w:sz="8" w:space="0" w:color="000000"/>
              <w:left w:val="none"/>
              <w:right w:val="none"/>
            </w:tcBorders>
          </w:tcPr>
          <w:p>
            <w:pPr>
              <w:spacing w:line="240" w:lineRule="auto" w:after="0"/>
            </w:pPr>
            <w:r>
              <w:rPr>
                <w:b/>
                <w:sz w:val="20"/>
              </w:rPr>
            </w:r>
            <w:r>
              <w:rPr>
                <w:b/>
                <w:sz w:val="20"/>
              </w:rPr>
              <w:t>Nilai</w:t>
            </w:r>
          </w:p>
        </w:tc>
        <w:tc>
          <w:tcPr>
            <w:tcW w:type="dxa" w:w="2646"/>
            <w:tcBorders>
              <w:top w:val="none"/>
              <w:bottom w:val="single" w:sz="8" w:space="0" w:color="000000"/>
              <w:left w:val="none"/>
              <w:right w:val="none"/>
            </w:tcBorders>
          </w:tcPr>
          <w:p>
            <w:pPr>
              <w:spacing w:line="240" w:lineRule="auto" w:after="0"/>
            </w:pPr>
            <w:r>
              <w:rPr>
                <w:b/>
                <w:sz w:val="20"/>
              </w:rPr>
            </w:r>
            <w:r>
              <w:rPr>
                <w:b/>
                <w:sz w:val="20"/>
              </w:rPr>
              <w:t>Justifikasi</w:t>
            </w:r>
          </w:p>
        </w:tc>
      </w:tr>
      <w:tr>
        <w:trPr>
          <w:cantSplit/>
        </w:trPr>
        <w:tc>
          <w:tcPr>
            <w:tcW w:type="dxa" w:w="2646"/>
          </w:tcPr>
          <w:p>
            <w:pPr>
              <w:spacing w:line="240" w:lineRule="auto" w:after="0"/>
            </w:pPr>
            <w:r>
              <w:rPr>
                <w:sz w:val="20"/>
              </w:rPr>
            </w:r>
            <w:r>
              <w:rPr>
                <w:sz w:val="20"/>
              </w:rPr>
              <w:t>Model</w:t>
            </w:r>
          </w:p>
        </w:tc>
        <w:tc>
          <w:tcPr>
            <w:tcW w:type="dxa" w:w="2646"/>
          </w:tcPr>
          <w:p>
            <w:pPr>
              <w:spacing w:line="240" w:lineRule="auto" w:after="0"/>
            </w:pPr>
            <w:r>
              <w:rPr>
                <w:sz w:val="20"/>
              </w:rPr>
            </w:r>
            <w:r>
              <w:rPr>
                <w:rFonts w:ascii="Courier New" w:hAnsi="Courier New"/>
                <w:sz w:val="20"/>
              </w:rPr>
              <w:t>gemini-2.5-flash-lite</w:t>
            </w:r>
          </w:p>
        </w:tc>
        <w:tc>
          <w:tcPr>
            <w:tcW w:type="dxa" w:w="2646"/>
          </w:tcPr>
          <w:p>
            <w:pPr>
              <w:spacing w:line="240" w:lineRule="auto" w:after="0"/>
            </w:pPr>
            <w:r>
              <w:rPr>
                <w:sz w:val="20"/>
              </w:rPr>
            </w:r>
            <w:r>
              <w:rPr>
                <w:sz w:val="20"/>
              </w:rPr>
              <w:t>Model produksi zerlo.id, biaya rendah</w:t>
            </w:r>
          </w:p>
        </w:tc>
      </w:tr>
      <w:tr>
        <w:trPr>
          <w:cantSplit/>
        </w:trPr>
        <w:tc>
          <w:tcPr>
            <w:tcW w:type="dxa" w:w="2646"/>
          </w:tcPr>
          <w:p>
            <w:pPr>
              <w:spacing w:line="240" w:lineRule="auto" w:after="0"/>
            </w:pPr>
            <w:r>
              <w:rPr>
                <w:sz w:val="20"/>
              </w:rPr>
            </w:r>
            <w:r>
              <w:rPr>
                <w:rFonts w:ascii="Courier New" w:hAnsi="Courier New"/>
                <w:sz w:val="20"/>
              </w:rPr>
              <w:t>temperature</w:t>
            </w:r>
          </w:p>
        </w:tc>
        <w:tc>
          <w:tcPr>
            <w:tcW w:type="dxa" w:w="2646"/>
          </w:tcPr>
          <w:p>
            <w:pPr>
              <w:spacing w:line="240" w:lineRule="auto" w:after="0"/>
            </w:pPr>
            <w:r>
              <w:rPr>
                <w:sz w:val="20"/>
              </w:rPr>
            </w:r>
            <w:r>
              <w:rPr>
                <w:sz w:val="20"/>
              </w:rPr>
              <w:t>0</w:t>
            </w:r>
          </w:p>
        </w:tc>
        <w:tc>
          <w:tcPr>
            <w:tcW w:type="dxa" w:w="2646"/>
          </w:tcPr>
          <w:p>
            <w:pPr>
              <w:spacing w:line="240" w:lineRule="auto" w:after="0"/>
            </w:pPr>
            <w:r>
              <w:rPr>
                <w:sz w:val="20"/>
              </w:rPr>
            </w:r>
            <w:r>
              <w:rPr>
                <w:sz w:val="20"/>
              </w:rPr>
              <w:t>Determinisme maksimal keluaran model</w:t>
            </w:r>
          </w:p>
        </w:tc>
      </w:tr>
      <w:tr>
        <w:trPr>
          <w:cantSplit/>
        </w:trPr>
        <w:tc>
          <w:tcPr>
            <w:tcW w:type="dxa" w:w="2646"/>
          </w:tcPr>
          <w:p>
            <w:pPr>
              <w:spacing w:line="240" w:lineRule="auto" w:after="0"/>
            </w:pPr>
            <w:r>
              <w:rPr>
                <w:sz w:val="20"/>
              </w:rPr>
            </w:r>
            <w:r>
              <w:rPr>
                <w:rFonts w:ascii="Courier New" w:hAnsi="Courier New"/>
                <w:sz w:val="20"/>
              </w:rPr>
              <w:t>mode</w:t>
            </w:r>
            <w:r>
              <w:rPr>
                <w:sz w:val="20"/>
              </w:rPr>
              <w:t xml:space="preserve"> (</w:t>
            </w:r>
            <w:r>
              <w:rPr>
                <w:i/>
                <w:sz w:val="20"/>
              </w:rPr>
              <w:t>function calling</w:t>
            </w:r>
            <w:r>
              <w:rPr>
                <w:sz w:val="20"/>
              </w:rPr>
              <w:t>)</w:t>
            </w:r>
          </w:p>
        </w:tc>
        <w:tc>
          <w:tcPr>
            <w:tcW w:type="dxa" w:w="2646"/>
          </w:tcPr>
          <w:p>
            <w:pPr>
              <w:spacing w:line="240" w:lineRule="auto" w:after="0"/>
            </w:pPr>
            <w:r>
              <w:rPr>
                <w:sz w:val="20"/>
              </w:rPr>
            </w:r>
            <w:r>
              <w:rPr>
                <w:sz w:val="20"/>
              </w:rPr>
              <w:t>ANY</w:t>
            </w:r>
          </w:p>
        </w:tc>
        <w:tc>
          <w:tcPr>
            <w:tcW w:type="dxa" w:w="2646"/>
          </w:tcPr>
          <w:p>
            <w:pPr>
              <w:spacing w:line="240" w:lineRule="auto" w:after="0"/>
            </w:pPr>
            <w:r>
              <w:rPr>
                <w:sz w:val="20"/>
              </w:rPr>
            </w:r>
            <w:r>
              <w:rPr>
                <w:sz w:val="20"/>
              </w:rPr>
              <w:t xml:space="preserve">Memaksa model selalu memanggil satu </w:t>
            </w:r>
            <w:r>
              <w:rPr>
                <w:i/>
                <w:sz w:val="20"/>
              </w:rPr>
              <w:t>tool</w:t>
            </w:r>
          </w:p>
        </w:tc>
      </w:tr>
      <w:tr>
        <w:trPr>
          <w:cantSplit/>
        </w:trPr>
        <w:tc>
          <w:tcPr>
            <w:tcW w:type="dxa" w:w="2646"/>
          </w:tcPr>
          <w:p>
            <w:pPr>
              <w:spacing w:line="240" w:lineRule="auto" w:after="0"/>
            </w:pPr>
            <w:r>
              <w:rPr>
                <w:sz w:val="20"/>
              </w:rPr>
            </w:r>
            <w:r>
              <w:rPr>
                <w:rFonts w:ascii="Courier New" w:hAnsi="Courier New"/>
                <w:sz w:val="20"/>
              </w:rPr>
              <w:t>max_output_tokens</w:t>
            </w:r>
          </w:p>
        </w:tc>
        <w:tc>
          <w:tcPr>
            <w:tcW w:type="dxa" w:w="2646"/>
          </w:tcPr>
          <w:p>
            <w:pPr>
              <w:spacing w:line="240" w:lineRule="auto" w:after="0"/>
            </w:pPr>
            <w:r>
              <w:rPr>
                <w:sz w:val="20"/>
              </w:rPr>
            </w:r>
            <w:r>
              <w:rPr>
                <w:sz w:val="20"/>
              </w:rPr>
              <w:t>32</w:t>
            </w:r>
          </w:p>
        </w:tc>
        <w:tc>
          <w:tcPr>
            <w:tcW w:type="dxa" w:w="2646"/>
          </w:tcPr>
          <w:p>
            <w:pPr>
              <w:spacing w:line="240" w:lineRule="auto" w:after="0"/>
            </w:pPr>
            <w:r>
              <w:rPr>
                <w:sz w:val="20"/>
              </w:rPr>
            </w:r>
            <w:r>
              <w:rPr>
                <w:sz w:val="20"/>
              </w:rPr>
              <w:t xml:space="preserve">Cukup untuk satu pemanggilan </w:t>
            </w:r>
            <w:r>
              <w:rPr>
                <w:i/>
                <w:sz w:val="20"/>
              </w:rPr>
              <w:t>tool</w:t>
            </w:r>
          </w:p>
        </w:tc>
      </w:tr>
      <w:tr>
        <w:trPr>
          <w:cantSplit/>
        </w:trPr>
        <w:tc>
          <w:tcPr>
            <w:tcW w:type="dxa" w:w="2646"/>
          </w:tcPr>
          <w:p>
            <w:pPr>
              <w:spacing w:line="240" w:lineRule="auto" w:after="0"/>
            </w:pPr>
            <w:r>
              <w:rPr>
                <w:sz w:val="20"/>
              </w:rPr>
            </w:r>
            <w:r>
              <w:rPr>
                <w:i/>
                <w:sz w:val="20"/>
              </w:rPr>
              <w:t>Tool budget</w:t>
            </w:r>
            <w:r>
              <w:rPr>
                <w:sz w:val="20"/>
              </w:rPr>
              <w:t xml:space="preserve"> (registry)</w:t>
            </w:r>
          </w:p>
        </w:tc>
        <w:tc>
          <w:tcPr>
            <w:tcW w:type="dxa" w:w="2646"/>
          </w:tcPr>
          <w:p>
            <w:pPr>
              <w:spacing w:line="240" w:lineRule="auto" w:after="0"/>
            </w:pPr>
            <w:r>
              <w:rPr>
                <w:sz w:val="20"/>
              </w:rPr>
            </w:r>
            <w:r>
              <w:rPr>
                <w:sz w:val="20"/>
              </w:rPr>
              <w:t>15</w:t>
            </w:r>
          </w:p>
        </w:tc>
        <w:tc>
          <w:tcPr>
            <w:tcW w:type="dxa" w:w="2646"/>
          </w:tcPr>
          <w:p>
            <w:pPr>
              <w:spacing w:line="240" w:lineRule="auto" w:after="0"/>
            </w:pPr>
            <w:r>
              <w:rPr>
                <w:sz w:val="20"/>
              </w:rPr>
            </w:r>
            <w:r>
              <w:rPr>
                <w:sz w:val="20"/>
              </w:rPr>
              <w:t xml:space="preserve">Batas maksimal </w:t>
            </w:r>
            <w:r>
              <w:rPr>
                <w:i/>
                <w:sz w:val="20"/>
              </w:rPr>
              <w:t>tool</w:t>
            </w:r>
            <w:r>
              <w:rPr>
                <w:sz w:val="20"/>
              </w:rPr>
              <w:t xml:space="preserve"> yang diteruskan</w:t>
            </w:r>
          </w:p>
        </w:tc>
      </w:tr>
      <w:tr>
        <w:trPr>
          <w:cantSplit/>
        </w:trPr>
        <w:tc>
          <w:tcPr>
            <w:tcW w:type="dxa" w:w="2646"/>
          </w:tcPr>
          <w:p>
            <w:pPr>
              <w:spacing w:line="240" w:lineRule="auto" w:after="0"/>
            </w:pPr>
            <w:r>
              <w:rPr>
                <w:sz w:val="20"/>
              </w:rPr>
            </w:r>
            <w:r>
              <w:rPr>
                <w:i/>
                <w:sz w:val="20"/>
              </w:rPr>
              <w:t>Repeat runs</w:t>
            </w:r>
          </w:p>
        </w:tc>
        <w:tc>
          <w:tcPr>
            <w:tcW w:type="dxa" w:w="2646"/>
          </w:tcPr>
          <w:p>
            <w:pPr>
              <w:spacing w:line="240" w:lineRule="auto" w:after="0"/>
            </w:pPr>
            <w:r>
              <w:rPr>
                <w:sz w:val="20"/>
              </w:rPr>
            </w:r>
            <w:r>
              <w:rPr>
                <w:sz w:val="20"/>
              </w:rPr>
              <w:t>3</w:t>
            </w:r>
          </w:p>
        </w:tc>
        <w:tc>
          <w:tcPr>
            <w:tcW w:type="dxa" w:w="2646"/>
          </w:tcPr>
          <w:p>
            <w:pPr>
              <w:spacing w:line="240" w:lineRule="auto" w:after="0"/>
            </w:pPr>
            <w:r>
              <w:rPr>
                <w:sz w:val="20"/>
              </w:rPr>
            </w:r>
            <w:r>
              <w:rPr>
                <w:sz w:val="20"/>
              </w:rPr>
              <w:t>Menangkap variabilitas keluaran model</w:t>
            </w:r>
          </w:p>
        </w:tc>
      </w:tr>
      <w:tr>
        <w:trPr>
          <w:cantSplit/>
        </w:trPr>
        <w:tc>
          <w:tcPr>
            <w:tcW w:type="dxa" w:w="2646"/>
          </w:tcPr>
          <w:p>
            <w:pPr>
              <w:spacing w:line="240" w:lineRule="auto" w:after="0"/>
            </w:pPr>
            <w:r>
              <w:rPr>
                <w:sz w:val="20"/>
              </w:rPr>
            </w:r>
            <w:r>
              <w:rPr>
                <w:sz w:val="20"/>
              </w:rPr>
              <w:t>Total rekaman</w:t>
            </w:r>
          </w:p>
        </w:tc>
        <w:tc>
          <w:tcPr>
            <w:tcW w:type="dxa" w:w="2646"/>
          </w:tcPr>
          <w:p>
            <w:pPr>
              <w:spacing w:line="240" w:lineRule="auto" w:after="0"/>
            </w:pPr>
            <w:r>
              <w:rPr>
                <w:sz w:val="20"/>
              </w:rPr>
            </w:r>
            <w:r>
              <w:rPr>
                <w:sz w:val="20"/>
              </w:rPr>
              <w:t>558</w:t>
            </w:r>
          </w:p>
        </w:tc>
        <w:tc>
          <w:tcPr>
            <w:tcW w:type="dxa" w:w="2646"/>
          </w:tcPr>
          <w:p>
            <w:pPr>
              <w:spacing w:line="240" w:lineRule="auto" w:after="0"/>
            </w:pPr>
            <w:r>
              <w:rPr>
                <w:sz w:val="20"/>
              </w:rPr>
            </w:r>
            <w:r>
              <w:rPr>
                <w:sz w:val="20"/>
              </w:rPr>
              <w:t xml:space="preserve">279 </w:t>
            </w:r>
            <w:r>
              <w:rPr>
                <w:i/>
                <w:sz w:val="20"/>
              </w:rPr>
              <w:t>baseline</w:t>
            </w:r>
            <w:r>
              <w:rPr>
                <w:sz w:val="20"/>
              </w:rPr>
              <w:t xml:space="preserve"> + 279 </w:t>
            </w:r>
            <w:r>
              <w:rPr>
                <w:i/>
                <w:sz w:val="20"/>
              </w:rPr>
              <w:t>registry</w:t>
            </w:r>
          </w:p>
        </w:tc>
      </w:tr>
    </w:tbl>
    <w:p>
      <w:pPr>
        <w:ind w:firstLine="720"/>
        <w:jc w:val="both"/>
      </w:pPr>
      <w:r>
        <w:t xml:space="preserve">Penetapan </w:t>
      </w:r>
      <w:r>
        <w:rPr>
          <w:rFonts w:ascii="Courier New" w:hAnsi="Courier New"/>
        </w:rPr>
        <w:t>temperature=0</w:t>
      </w:r>
      <w:r>
        <w:t xml:space="preserve"> dan </w:t>
      </w:r>
      <w:r>
        <w:rPr>
          <w:rFonts w:ascii="Courier New" w:hAnsi="Courier New"/>
        </w:rPr>
        <w:t>mode=ANY</w:t>
      </w:r>
      <w:r>
        <w:t xml:space="preserve"> memaksa model bersifat deterministik dan selalu memilih tepat satu </w:t>
      </w:r>
      <w:r>
        <w:rPr>
          <w:i/>
        </w:rPr>
        <w:t>tool</w:t>
      </w:r>
      <w:r>
        <w:t xml:space="preserve">, sehingga akurasi dapat dinilai secara biner terhadap </w:t>
      </w:r>
      <w:r>
        <w:rPr>
          <w:rFonts w:ascii="Courier New" w:hAnsi="Courier New"/>
        </w:rPr>
        <w:t>expected_tool</w:t>
      </w:r>
      <w:r>
        <w:t xml:space="preserve">. Konfigurasi pemanggilan model diimplementasikan melalui objek </w:t>
      </w:r>
      <w:r>
        <w:rPr>
          <w:rFonts w:ascii="Courier New" w:hAnsi="Courier New"/>
        </w:rPr>
        <w:t>GenerateContentConfig</w:t>
      </w:r>
      <w:r>
        <w:t xml:space="preserve"> sebagaimana disajikan pada Kode Program 3.4.</w:t>
      </w:r>
    </w:p>
    <w:p>
      <w:pPr>
        <w:pStyle w:val="Caption"/>
        <w:keepNext/>
        <w:jc w:val="center"/>
      </w:pPr>
      <w:r>
        <w:t>Kode Program 3.4 Konfigurasi Pemanggilan Gemini</w:t>
      </w:r>
    </w:p>
    <w:p>
      <w:pPr>
        <w:keepLines/>
        <w:spacing w:line="240" w:lineRule="auto" w:before="120" w:after="120"/>
        <w:ind w:left="283" w:right="113"/>
        <w:jc w:val="left"/>
        <w:shd w:val="clear" w:color="auto" w:fill="F2F2F2"/>
      </w:pPr>
      <w:r>
        <w:rPr>
          <w:rFonts w:ascii="Courier New" w:hAnsi="Courier New" w:cs="Courier New"/>
          <w:sz w:val="18"/>
        </w:rPr>
        <w:t>gen_config = types.GenerateContentConfig(</w:t>
        <w:br/>
      </w:r>
      <w:r>
        <w:rPr>
          <w:rFonts w:ascii="Courier New" w:hAnsi="Courier New" w:cs="Courier New"/>
          <w:sz w:val="18"/>
        </w:rPr>
        <w:t xml:space="preserve">    system_instruction=(</w:t>
        <w:br/>
      </w:r>
      <w:r>
        <w:rPr>
          <w:rFonts w:ascii="Courier New" w:hAnsi="Courier New" w:cs="Courier New"/>
          <w:sz w:val="18"/>
        </w:rPr>
        <w:t xml:space="preserve">        "Anda adalah router tool ERP restoran. "</w:t>
        <w:br/>
      </w:r>
      <w:r>
        <w:rPr>
          <w:rFonts w:ascii="Courier New" w:hAnsi="Courier New" w:cs="Courier New"/>
          <w:sz w:val="18"/>
        </w:rPr>
        <w:t xml:space="preserve">        "Pilih dan panggil SATU tool yang paling tepat untuk permintaan pengguna."</w:t>
        <w:br/>
      </w:r>
      <w:r>
        <w:rPr>
          <w:rFonts w:ascii="Courier New" w:hAnsi="Courier New" w:cs="Courier New"/>
          <w:sz w:val="18"/>
        </w:rPr>
        <w:t xml:space="preserve">    ),</w:t>
        <w:br/>
      </w:r>
      <w:r>
        <w:rPr>
          <w:rFonts w:ascii="Courier New" w:hAnsi="Courier New" w:cs="Courier New"/>
          <w:sz w:val="18"/>
        </w:rPr>
        <w:t xml:space="preserve">    tools=[types.Tool(function_declarations=fn_decls)],</w:t>
        <w:br/>
      </w:r>
      <w:r>
        <w:rPr>
          <w:rFonts w:ascii="Courier New" w:hAnsi="Courier New" w:cs="Courier New"/>
          <w:sz w:val="18"/>
        </w:rPr>
        <w:t xml:space="preserve">    tool_config=types.ToolConfig(</w:t>
        <w:br/>
      </w:r>
      <w:r>
        <w:rPr>
          <w:rFonts w:ascii="Courier New" w:hAnsi="Courier New" w:cs="Courier New"/>
          <w:sz w:val="18"/>
        </w:rPr>
        <w:t xml:space="preserve">        function_calling_config=types.FunctionCallingConfig(</w:t>
        <w:br/>
      </w:r>
      <w:r>
        <w:rPr>
          <w:rFonts w:ascii="Courier New" w:hAnsi="Courier New" w:cs="Courier New"/>
          <w:sz w:val="18"/>
        </w:rPr>
        <w:t xml:space="preserve">            mode="ANY",</w:t>
        <w:br/>
      </w:r>
      <w:r>
        <w:rPr>
          <w:rFonts w:ascii="Courier New" w:hAnsi="Courier New" w:cs="Courier New"/>
          <w:sz w:val="18"/>
        </w:rPr>
        <w:t xml:space="preserve">            allowed_function_names=list(tool_names),</w:t>
        <w:br/>
      </w:r>
      <w:r>
        <w:rPr>
          <w:rFonts w:ascii="Courier New" w:hAnsi="Courier New" w:cs="Courier New"/>
          <w:sz w:val="18"/>
        </w:rPr>
        <w:t xml:space="preserve">        )</w:t>
        <w:br/>
      </w:r>
      <w:r>
        <w:rPr>
          <w:rFonts w:ascii="Courier New" w:hAnsi="Courier New" w:cs="Courier New"/>
          <w:sz w:val="18"/>
        </w:rPr>
        <w:t xml:space="preserve">    ),</w:t>
        <w:br/>
      </w:r>
      <w:r>
        <w:rPr>
          <w:rFonts w:ascii="Courier New" w:hAnsi="Courier New" w:cs="Courier New"/>
          <w:sz w:val="18"/>
        </w:rPr>
        <w:t xml:space="preserve">    temperature=0,</w:t>
        <w:br/>
      </w:r>
      <w:r>
        <w:rPr>
          <w:rFonts w:ascii="Courier New" w:hAnsi="Courier New" w:cs="Courier New"/>
          <w:sz w:val="18"/>
        </w:rPr>
        <w:t xml:space="preserve">    max_output_tokens=32,</w:t>
        <w:br/>
      </w:r>
      <w:r>
        <w:rPr>
          <w:rFonts w:ascii="Courier New" w:hAnsi="Courier New" w:cs="Courier New"/>
          <w:sz w:val="18"/>
        </w:rPr>
        <w:t>)</w:t>
      </w:r>
    </w:p>
    <w:p>
      <w:pPr>
        <w:ind w:firstLine="720"/>
        <w:jc w:val="both"/>
      </w:pPr>
      <w:r>
        <w:t xml:space="preserve">Perbedaan tunggal antara mode </w:t>
      </w:r>
      <w:r>
        <w:rPr>
          <w:i/>
        </w:rPr>
        <w:t>baseline</w:t>
      </w:r>
      <w:r>
        <w:t xml:space="preserve"> dan </w:t>
      </w:r>
      <w:r>
        <w:rPr>
          <w:i/>
        </w:rPr>
        <w:t>registry</w:t>
      </w:r>
      <w:r>
        <w:t xml:space="preserve"> terletak pada himpunan </w:t>
      </w:r>
      <w:r>
        <w:rPr>
          <w:rFonts w:ascii="Courier New" w:hAnsi="Courier New"/>
        </w:rPr>
        <w:t>fn_decls</w:t>
      </w:r>
      <w:r>
        <w:t xml:space="preserve">: pada mode </w:t>
      </w:r>
      <w:r>
        <w:rPr>
          <w:i/>
        </w:rPr>
        <w:t>baseline</w:t>
      </w:r>
      <w:r>
        <w:t xml:space="preserve">, himpunan ini berisi seluruh </w:t>
      </w:r>
      <w:r>
        <w:rPr>
          <w:i/>
        </w:rPr>
        <w:t>tool</w:t>
      </w:r>
      <w:r>
        <w:t xml:space="preserve"> katalog (30/100/300), sedangkan pada mode </w:t>
      </w:r>
      <w:r>
        <w:rPr>
          <w:i/>
        </w:rPr>
        <w:t>registry</w:t>
      </w:r>
      <w:r>
        <w:t xml:space="preserve"> himpunan ini merupakan keluaran </w:t>
      </w:r>
      <w:r>
        <w:rPr>
          <w:rFonts w:ascii="Courier New" w:hAnsi="Courier New"/>
        </w:rPr>
        <w:t>registry_filter()</w:t>
      </w:r>
      <w:r>
        <w:t xml:space="preserve"> yang dibatasi 15 </w:t>
      </w:r>
      <w:r>
        <w:rPr>
          <w:i/>
        </w:rPr>
        <w:t>tool</w:t>
      </w:r>
      <w:r>
        <w:t>. Dengan menjaga seluruh parameter lain identik, eksperimen ini mengisolasi dampak penyaringan sebagai satu-satunya perlakuan, sehingga hasil yang dianalisis pada Bab IV dapat diatribusikan secara valid kepada Tool Registry. Untuk meredam kegagalan transien akibat batas laju (</w:t>
      </w:r>
      <w:r>
        <w:rPr>
          <w:i/>
        </w:rPr>
        <w:t>rate limit</w:t>
      </w:r>
      <w:r>
        <w:t xml:space="preserve">) layanan, </w:t>
      </w:r>
      <w:r>
        <w:rPr>
          <w:i/>
        </w:rPr>
        <w:t>backend</w:t>
      </w:r>
      <w:r>
        <w:t xml:space="preserve"> dilengkapi mekanisme </w:t>
      </w:r>
      <w:r>
        <w:rPr>
          <w:i/>
        </w:rPr>
        <w:t>retry</w:t>
      </w:r>
      <w:r>
        <w:t xml:space="preserve"> dengan </w:t>
      </w:r>
      <w:r>
        <w:rPr>
          <w:i/>
        </w:rPr>
        <w:t>exponential backoff</w:t>
      </w:r>
      <w:r>
        <w:t xml:space="preserve"> hingga lima kali percobaan.</w:t>
      </w:r>
    </w:p>
    <w:p>
      <w:r>
        <w:br w:type="page"/>
      </w:r>
    </w:p>
    <w:p>
      <w:pPr>
        <w:pStyle w:val="Heading1"/>
      </w:pPr>
      <w:r>
        <w:t>BAB IV HASIL DAN ANALISA</w:t>
      </w:r>
    </w:p>
    <w:p>
      <w:pPr>
        <w:ind w:firstLine="720"/>
        <w:jc w:val="both"/>
      </w:pPr>
      <w:r>
        <w:t xml:space="preserve">Bab ini memaparkan dan menganalisis hasil eksperimen Tool Registry, sesuai tahap </w:t>
      </w:r>
      <w:r>
        <w:rPr>
          <w:i/>
        </w:rPr>
        <w:t>demonstration</w:t>
      </w:r>
      <w:r>
        <w:t xml:space="preserve"> dan </w:t>
      </w:r>
      <w:r>
        <w:rPr>
          <w:i/>
        </w:rPr>
        <w:t>evaluation</w:t>
      </w:r>
      <w:r>
        <w:t xml:space="preserve"> pada kerangka </w:t>
      </w:r>
      <w:r>
        <w:rPr>
          <w:i/>
        </w:rPr>
        <w:t>Design Science Research</w:t>
      </w:r>
      <w:r>
        <w:t xml:space="preserve">. Pembahasan diawali oleh hasil </w:t>
      </w:r>
      <w:r>
        <w:rPr>
          <w:i/>
        </w:rPr>
        <w:t>benchmark</w:t>
      </w:r>
      <w:r>
        <w:t xml:space="preserve"> synthetic sebagai validasi aritmetika, dilanjutkan hasil resmi eksperimen </w:t>
      </w:r>
      <w:r>
        <w:rPr>
          <w:i/>
        </w:rPr>
        <w:t>live</w:t>
      </w:r>
      <w:r>
        <w:t xml:space="preserve"> Gemini Native v2 (n=558), lalu analisis terperinci atas lima dimensi pengukuran — penghematan token, akurasi pemilihan </w:t>
      </w:r>
      <w:r>
        <w:rPr>
          <w:i/>
        </w:rPr>
        <w:t>tool</w:t>
      </w:r>
      <w:r>
        <w:t xml:space="preserve">, skalabilitas </w:t>
      </w:r>
      <w:r>
        <w:rPr>
          <w:i/>
        </w:rPr>
        <w:t>sub-linear</w:t>
      </w:r>
      <w:r>
        <w:t>, jejak memori, dan latensi — yang ditutup dengan uji statistik, analisis kegagalan, serta catatan validasi multi-model.</w:t>
      </w:r>
    </w:p>
    <w:p>
      <w:pPr>
        <w:pStyle w:val="Heading2"/>
      </w:pPr>
      <w:r>
        <w:t>4.1 Hasil Benchmark Synthetic S1–S4</w:t>
      </w:r>
    </w:p>
    <w:p>
      <w:pPr>
        <w:ind w:firstLine="720"/>
        <w:jc w:val="both"/>
      </w:pPr>
      <w:r>
        <w:rPr>
          <w:i/>
        </w:rPr>
        <w:t>Benchmark</w:t>
      </w:r>
      <w:r>
        <w:t xml:space="preserve"> synthetic dijalankan secara deterministik untuk memvalidasi aritmetika penghematan token dan mengekstrapolasi tren ke skenario S4 (1.000 </w:t>
      </w:r>
      <w:r>
        <w:rPr>
          <w:i/>
        </w:rPr>
        <w:t>tool</w:t>
      </w:r>
      <w:r>
        <w:t xml:space="preserve">) yang tidak dijalankan secara </w:t>
      </w:r>
      <w:r>
        <w:rPr>
          <w:i/>
        </w:rPr>
        <w:t>live</w:t>
      </w:r>
      <w:r>
        <w:t xml:space="preserve">. Pada </w:t>
      </w:r>
      <w:r>
        <w:rPr>
          <w:i/>
        </w:rPr>
        <w:t>benchmark</w:t>
      </w:r>
      <w:r>
        <w:t xml:space="preserve"> ini, nilai token merupakan hasil perhitungan deterministik yang valid, sedangkan nilai akurasi dan latensi merupakan simulasi dengan koefisien asumsi — sehingga hasil synthetic hanya digunakan untuk mengilustrasikan tren penskalaan, bukan sebagai temuan utama. Ringkasan token </w:t>
      </w:r>
      <w:r>
        <w:rPr>
          <w:i/>
        </w:rPr>
        <w:t>benchmark</w:t>
      </w:r>
      <w:r>
        <w:t xml:space="preserve"> synthetic disajikan pada Tabel 4.1.</w:t>
      </w:r>
    </w:p>
    <w:p>
      <w:pPr>
        <w:pStyle w:val="Caption"/>
        <w:keepNext/>
        <w:jc w:val="center"/>
      </w:pPr>
      <w:r>
        <w:t>Tabel 4.</w:t>
      </w:r>
      <w:fldSimple w:instr=" SEQ Tabel \* ARABIC \s 1 ">
        <w:r>
          <w:t>1</w:t>
        </w:r>
      </w:fldSimple>
      <w:r>
        <w:t xml:space="preserve"> Hasil Benchmark Synthetic Token S1–S4</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1587"/>
        <w:gridCol w:w="1587"/>
        <w:gridCol w:w="1587"/>
        <w:gridCol w:w="1587"/>
        <w:gridCol w:w="1587"/>
      </w:tblGrid>
      <w:tr>
        <w:trPr>
          <w:cantSplit/>
          <w:tblHeader/>
        </w:trPr>
        <w:tc>
          <w:tcPr>
            <w:tcW w:type="dxa" w:w="1587"/>
            <w:tcBorders>
              <w:top w:val="none"/>
              <w:bottom w:val="single" w:sz="8" w:space="0" w:color="000000"/>
              <w:left w:val="none"/>
              <w:right w:val="none"/>
            </w:tcBorders>
          </w:tcPr>
          <w:p>
            <w:pPr>
              <w:spacing w:line="240" w:lineRule="auto" w:after="0"/>
            </w:pPr>
            <w:r>
              <w:rPr>
                <w:b/>
                <w:sz w:val="20"/>
              </w:rPr>
            </w:r>
            <w:r>
              <w:rPr>
                <w:b/>
                <w:sz w:val="20"/>
              </w:rPr>
              <w:t>Skenario</w:t>
            </w:r>
          </w:p>
        </w:tc>
        <w:tc>
          <w:tcPr>
            <w:tcW w:type="dxa" w:w="1587"/>
            <w:tcBorders>
              <w:top w:val="none"/>
              <w:bottom w:val="single" w:sz="8" w:space="0" w:color="000000"/>
              <w:left w:val="none"/>
              <w:right w:val="none"/>
            </w:tcBorders>
          </w:tcPr>
          <w:p>
            <w:pPr>
              <w:spacing w:line="240" w:lineRule="auto" w:after="0"/>
            </w:pPr>
            <w:r>
              <w:rPr>
                <w:b/>
                <w:sz w:val="20"/>
              </w:rPr>
            </w:r>
            <w:r>
              <w:rPr>
                <w:b/>
                <w:sz w:val="20"/>
              </w:rPr>
              <w:t>Total Tool</w:t>
            </w:r>
          </w:p>
        </w:tc>
        <w:tc>
          <w:tcPr>
            <w:tcW w:type="dxa" w:w="1587"/>
            <w:tcBorders>
              <w:top w:val="none"/>
              <w:bottom w:val="single" w:sz="8" w:space="0" w:color="000000"/>
              <w:left w:val="none"/>
              <w:right w:val="none"/>
            </w:tcBorders>
          </w:tcPr>
          <w:p>
            <w:pPr>
              <w:spacing w:line="240" w:lineRule="auto" w:after="0"/>
            </w:pPr>
            <w:r>
              <w:rPr>
                <w:b/>
                <w:sz w:val="20"/>
              </w:rPr>
            </w:r>
            <w:r>
              <w:rPr>
                <w:b/>
                <w:sz w:val="20"/>
              </w:rPr>
              <w:t>Token Baseline</w:t>
            </w:r>
          </w:p>
        </w:tc>
        <w:tc>
          <w:tcPr>
            <w:tcW w:type="dxa" w:w="1587"/>
            <w:tcBorders>
              <w:top w:val="none"/>
              <w:bottom w:val="single" w:sz="8" w:space="0" w:color="000000"/>
              <w:left w:val="none"/>
              <w:right w:val="none"/>
            </w:tcBorders>
          </w:tcPr>
          <w:p>
            <w:pPr>
              <w:spacing w:line="240" w:lineRule="auto" w:after="0"/>
            </w:pPr>
            <w:r>
              <w:rPr>
                <w:b/>
                <w:sz w:val="20"/>
              </w:rPr>
            </w:r>
            <w:r>
              <w:rPr>
                <w:b/>
                <w:sz w:val="20"/>
              </w:rPr>
              <w:t>Token Registry</w:t>
            </w:r>
          </w:p>
        </w:tc>
        <w:tc>
          <w:tcPr>
            <w:tcW w:type="dxa" w:w="1587"/>
            <w:tcBorders>
              <w:top w:val="none"/>
              <w:bottom w:val="single" w:sz="8" w:space="0" w:color="000000"/>
              <w:left w:val="none"/>
              <w:right w:val="none"/>
            </w:tcBorders>
          </w:tcPr>
          <w:p>
            <w:pPr>
              <w:spacing w:line="240" w:lineRule="auto" w:after="0"/>
            </w:pPr>
            <w:r>
              <w:rPr>
                <w:b/>
                <w:sz w:val="20"/>
              </w:rPr>
            </w:r>
            <w:r>
              <w:rPr>
                <w:b/>
                <w:sz w:val="20"/>
              </w:rPr>
              <w:t>Reduksi</w:t>
            </w:r>
          </w:p>
        </w:tc>
      </w:tr>
      <w:tr>
        <w:trPr>
          <w:cantSplit/>
        </w:trPr>
        <w:tc>
          <w:tcPr>
            <w:tcW w:type="dxa" w:w="1587"/>
          </w:tcPr>
          <w:p>
            <w:pPr>
              <w:spacing w:line="240" w:lineRule="auto" w:after="0"/>
            </w:pPr>
            <w:r>
              <w:rPr>
                <w:sz w:val="20"/>
              </w:rPr>
            </w:r>
            <w:r>
              <w:rPr>
                <w:sz w:val="20"/>
              </w:rPr>
              <w:t>S1</w:t>
            </w:r>
          </w:p>
        </w:tc>
        <w:tc>
          <w:tcPr>
            <w:tcW w:type="dxa" w:w="1587"/>
          </w:tcPr>
          <w:p>
            <w:pPr>
              <w:spacing w:line="240" w:lineRule="auto" w:after="0"/>
            </w:pPr>
            <w:r>
              <w:rPr>
                <w:sz w:val="20"/>
              </w:rPr>
            </w:r>
            <w:r>
              <w:rPr>
                <w:sz w:val="20"/>
              </w:rPr>
              <w:t>30</w:t>
            </w:r>
          </w:p>
        </w:tc>
        <w:tc>
          <w:tcPr>
            <w:tcW w:type="dxa" w:w="1587"/>
          </w:tcPr>
          <w:p>
            <w:pPr>
              <w:spacing w:line="240" w:lineRule="auto" w:after="0"/>
            </w:pPr>
            <w:r>
              <w:rPr>
                <w:sz w:val="20"/>
              </w:rPr>
            </w:r>
            <w:r>
              <w:rPr>
                <w:sz w:val="20"/>
              </w:rPr>
              <w:t>3.423</w:t>
            </w:r>
          </w:p>
        </w:tc>
        <w:tc>
          <w:tcPr>
            <w:tcW w:type="dxa" w:w="1587"/>
          </w:tcPr>
          <w:p>
            <w:pPr>
              <w:spacing w:line="240" w:lineRule="auto" w:after="0"/>
            </w:pPr>
            <w:r>
              <w:rPr>
                <w:sz w:val="20"/>
              </w:rPr>
            </w:r>
            <w:r>
              <w:rPr>
                <w:sz w:val="20"/>
              </w:rPr>
              <w:t>1.560</w:t>
            </w:r>
          </w:p>
        </w:tc>
        <w:tc>
          <w:tcPr>
            <w:tcW w:type="dxa" w:w="1587"/>
          </w:tcPr>
          <w:p>
            <w:pPr>
              <w:spacing w:line="240" w:lineRule="auto" w:after="0"/>
            </w:pPr>
            <w:r>
              <w:rPr>
                <w:sz w:val="20"/>
              </w:rPr>
            </w:r>
            <w:r>
              <w:rPr>
                <w:sz w:val="20"/>
              </w:rPr>
              <w:t>−54%</w:t>
            </w:r>
          </w:p>
        </w:tc>
      </w:tr>
      <w:tr>
        <w:trPr>
          <w:cantSplit/>
        </w:trPr>
        <w:tc>
          <w:tcPr>
            <w:tcW w:type="dxa" w:w="1587"/>
          </w:tcPr>
          <w:p>
            <w:pPr>
              <w:spacing w:line="240" w:lineRule="auto" w:after="0"/>
            </w:pPr>
            <w:r>
              <w:rPr>
                <w:sz w:val="20"/>
              </w:rPr>
            </w:r>
            <w:r>
              <w:rPr>
                <w:sz w:val="20"/>
              </w:rPr>
              <w:t>S2</w:t>
            </w:r>
          </w:p>
        </w:tc>
        <w:tc>
          <w:tcPr>
            <w:tcW w:type="dxa" w:w="1587"/>
          </w:tcPr>
          <w:p>
            <w:pPr>
              <w:spacing w:line="240" w:lineRule="auto" w:after="0"/>
            </w:pPr>
            <w:r>
              <w:rPr>
                <w:sz w:val="20"/>
              </w:rPr>
            </w:r>
            <w:r>
              <w:rPr>
                <w:sz w:val="20"/>
              </w:rPr>
              <w:t>100</w:t>
            </w:r>
          </w:p>
        </w:tc>
        <w:tc>
          <w:tcPr>
            <w:tcW w:type="dxa" w:w="1587"/>
          </w:tcPr>
          <w:p>
            <w:pPr>
              <w:spacing w:line="240" w:lineRule="auto" w:after="0"/>
            </w:pPr>
            <w:r>
              <w:rPr>
                <w:sz w:val="20"/>
              </w:rPr>
            </w:r>
            <w:r>
              <w:rPr>
                <w:sz w:val="20"/>
              </w:rPr>
              <w:t>10.410</w:t>
            </w:r>
          </w:p>
        </w:tc>
        <w:tc>
          <w:tcPr>
            <w:tcW w:type="dxa" w:w="1587"/>
          </w:tcPr>
          <w:p>
            <w:pPr>
              <w:spacing w:line="240" w:lineRule="auto" w:after="0"/>
            </w:pPr>
            <w:r>
              <w:rPr>
                <w:sz w:val="20"/>
              </w:rPr>
            </w:r>
            <w:r>
              <w:rPr>
                <w:sz w:val="20"/>
              </w:rPr>
              <w:t>1.969</w:t>
            </w:r>
          </w:p>
        </w:tc>
        <w:tc>
          <w:tcPr>
            <w:tcW w:type="dxa" w:w="1587"/>
          </w:tcPr>
          <w:p>
            <w:pPr>
              <w:spacing w:line="240" w:lineRule="auto" w:after="0"/>
            </w:pPr>
            <w:r>
              <w:rPr>
                <w:sz w:val="20"/>
              </w:rPr>
            </w:r>
            <w:r>
              <w:rPr>
                <w:sz w:val="20"/>
              </w:rPr>
              <w:t>−81%</w:t>
            </w:r>
          </w:p>
        </w:tc>
      </w:tr>
      <w:tr>
        <w:trPr>
          <w:cantSplit/>
        </w:trPr>
        <w:tc>
          <w:tcPr>
            <w:tcW w:type="dxa" w:w="1587"/>
          </w:tcPr>
          <w:p>
            <w:pPr>
              <w:spacing w:line="240" w:lineRule="auto" w:after="0"/>
            </w:pPr>
            <w:r>
              <w:rPr>
                <w:sz w:val="20"/>
              </w:rPr>
            </w:r>
            <w:r>
              <w:rPr>
                <w:sz w:val="20"/>
              </w:rPr>
              <w:t>S3</w:t>
            </w:r>
          </w:p>
        </w:tc>
        <w:tc>
          <w:tcPr>
            <w:tcW w:type="dxa" w:w="1587"/>
          </w:tcPr>
          <w:p>
            <w:pPr>
              <w:spacing w:line="240" w:lineRule="auto" w:after="0"/>
            </w:pPr>
            <w:r>
              <w:rPr>
                <w:sz w:val="20"/>
              </w:rPr>
            </w:r>
            <w:r>
              <w:rPr>
                <w:sz w:val="20"/>
              </w:rPr>
              <w:t>300</w:t>
            </w:r>
          </w:p>
        </w:tc>
        <w:tc>
          <w:tcPr>
            <w:tcW w:type="dxa" w:w="1587"/>
          </w:tcPr>
          <w:p>
            <w:pPr>
              <w:spacing w:line="240" w:lineRule="auto" w:after="0"/>
            </w:pPr>
            <w:r>
              <w:rPr>
                <w:sz w:val="20"/>
              </w:rPr>
            </w:r>
            <w:r>
              <w:rPr>
                <w:sz w:val="20"/>
              </w:rPr>
              <w:t>30.496</w:t>
            </w:r>
          </w:p>
        </w:tc>
        <w:tc>
          <w:tcPr>
            <w:tcW w:type="dxa" w:w="1587"/>
          </w:tcPr>
          <w:p>
            <w:pPr>
              <w:spacing w:line="240" w:lineRule="auto" w:after="0"/>
            </w:pPr>
            <w:r>
              <w:rPr>
                <w:sz w:val="20"/>
              </w:rPr>
            </w:r>
            <w:r>
              <w:rPr>
                <w:sz w:val="20"/>
              </w:rPr>
              <w:t>1.971</w:t>
            </w:r>
          </w:p>
        </w:tc>
        <w:tc>
          <w:tcPr>
            <w:tcW w:type="dxa" w:w="1587"/>
          </w:tcPr>
          <w:p>
            <w:pPr>
              <w:spacing w:line="240" w:lineRule="auto" w:after="0"/>
            </w:pPr>
            <w:r>
              <w:rPr>
                <w:sz w:val="20"/>
              </w:rPr>
            </w:r>
            <w:r>
              <w:rPr>
                <w:sz w:val="20"/>
              </w:rPr>
              <w:t>−94%</w:t>
            </w:r>
          </w:p>
        </w:tc>
      </w:tr>
      <w:tr>
        <w:trPr>
          <w:cantSplit/>
        </w:trPr>
        <w:tc>
          <w:tcPr>
            <w:tcW w:type="dxa" w:w="1587"/>
          </w:tcPr>
          <w:p>
            <w:pPr>
              <w:spacing w:line="240" w:lineRule="auto" w:after="0"/>
            </w:pPr>
            <w:r>
              <w:rPr>
                <w:sz w:val="20"/>
              </w:rPr>
            </w:r>
            <w:r>
              <w:rPr>
                <w:sz w:val="20"/>
              </w:rPr>
              <w:t>S4</w:t>
            </w:r>
          </w:p>
        </w:tc>
        <w:tc>
          <w:tcPr>
            <w:tcW w:type="dxa" w:w="1587"/>
          </w:tcPr>
          <w:p>
            <w:pPr>
              <w:spacing w:line="240" w:lineRule="auto" w:after="0"/>
            </w:pPr>
            <w:r>
              <w:rPr>
                <w:sz w:val="20"/>
              </w:rPr>
            </w:r>
            <w:r>
              <w:rPr>
                <w:sz w:val="20"/>
              </w:rPr>
              <w:t>1.000</w:t>
            </w:r>
          </w:p>
        </w:tc>
        <w:tc>
          <w:tcPr>
            <w:tcW w:type="dxa" w:w="1587"/>
          </w:tcPr>
          <w:p>
            <w:pPr>
              <w:spacing w:line="240" w:lineRule="auto" w:after="0"/>
            </w:pPr>
            <w:r>
              <w:rPr>
                <w:sz w:val="20"/>
              </w:rPr>
            </w:r>
            <w:r>
              <w:rPr>
                <w:sz w:val="20"/>
              </w:rPr>
              <w:t>101.970</w:t>
            </w:r>
          </w:p>
        </w:tc>
        <w:tc>
          <w:tcPr>
            <w:tcW w:type="dxa" w:w="1587"/>
          </w:tcPr>
          <w:p>
            <w:pPr>
              <w:spacing w:line="240" w:lineRule="auto" w:after="0"/>
            </w:pPr>
            <w:r>
              <w:rPr>
                <w:sz w:val="20"/>
              </w:rPr>
            </w:r>
            <w:r>
              <w:rPr>
                <w:sz w:val="20"/>
              </w:rPr>
              <w:t>2.014</w:t>
            </w:r>
          </w:p>
        </w:tc>
        <w:tc>
          <w:tcPr>
            <w:tcW w:type="dxa" w:w="1587"/>
          </w:tcPr>
          <w:p>
            <w:pPr>
              <w:spacing w:line="240" w:lineRule="auto" w:after="0"/>
            </w:pPr>
            <w:r>
              <w:rPr>
                <w:sz w:val="20"/>
              </w:rPr>
            </w:r>
            <w:r>
              <w:rPr>
                <w:sz w:val="20"/>
              </w:rPr>
              <w:t>−98%</w:t>
            </w:r>
          </w:p>
        </w:tc>
      </w:tr>
    </w:tbl>
    <w:p>
      <w:pPr>
        <w:ind w:firstLine="720"/>
        <w:jc w:val="both"/>
      </w:pPr>
      <w:r>
        <w:t xml:space="preserve">Berdasarkan Tabel 4.1, terlihat pola yang konsisten: token </w:t>
      </w:r>
      <w:r>
        <w:rPr>
          <w:i/>
        </w:rPr>
        <w:t>baseline</w:t>
      </w:r>
      <w:r>
        <w:t xml:space="preserve"> tumbuh hampir linear terhadap ukuran katalog — dari 3.423 token (30 </w:t>
      </w:r>
      <w:r>
        <w:rPr>
          <w:i/>
        </w:rPr>
        <w:t>tool</w:t>
      </w:r>
      <w:r>
        <w:t xml:space="preserve">) hingga 101.970 token (1.000 </w:t>
      </w:r>
      <w:r>
        <w:rPr>
          <w:i/>
        </w:rPr>
        <w:t>tool</w:t>
      </w:r>
      <w:r>
        <w:t xml:space="preserve">) — sedangkan token </w:t>
      </w:r>
      <w:r>
        <w:rPr>
          <w:i/>
        </w:rPr>
        <w:t>registry</w:t>
      </w:r>
      <w:r>
        <w:t xml:space="preserve"> tetap berada pada kisaran 1.560–2.014 token meskipun katalog membesar 33 kali lipat. Pada S4, </w:t>
      </w:r>
      <w:r>
        <w:rPr>
          <w:i/>
        </w:rPr>
        <w:t>benchmark</w:t>
      </w:r>
      <w:r>
        <w:t xml:space="preserve"> synthetic memproyeksikan penghematan token mencapai 98%, menegaskan bahwa keunggulan Tool Registry justru semakin besar seiring bertambahnya ukuran katalog. Tren ekstrapolatif inilah yang kemudian diverifikasi secara empiris melalui eksperimen </w:t>
      </w:r>
      <w:r>
        <w:rPr>
          <w:i/>
        </w:rPr>
        <w:t>live</w:t>
      </w:r>
      <w:r>
        <w:t xml:space="preserve"> pada Sub-bab 4.2.</w:t>
      </w:r>
    </w:p>
    <w:p>
      <w:pPr>
        <w:pStyle w:val="Heading2"/>
      </w:pPr>
      <w:r>
        <w:t>4.2 Hasil Gemini Native v2 (Hasil Resmi)</w:t>
      </w:r>
    </w:p>
    <w:p>
      <w:pPr>
        <w:ind w:firstLine="720"/>
        <w:jc w:val="both"/>
      </w:pPr>
      <w:r>
        <w:t xml:space="preserve">Eksperimen resmi dijalankan secara </w:t>
      </w:r>
      <w:r>
        <w:rPr>
          <w:i/>
        </w:rPr>
        <w:t>live</w:t>
      </w:r>
      <w:r>
        <w:t xml:space="preserve"> terhadap Gemini 2.5 Flash Lite dengan </w:t>
      </w:r>
      <w:r>
        <w:rPr>
          <w:i/>
        </w:rPr>
        <w:t>native function calling</w:t>
      </w:r>
      <w:r>
        <w:t xml:space="preserve">, menghasilkan total 558 rekaman (279 </w:t>
      </w:r>
      <w:r>
        <w:rPr>
          <w:i/>
        </w:rPr>
        <w:t>baseline</w:t>
      </w:r>
      <w:r>
        <w:t xml:space="preserve"> + 279 </w:t>
      </w:r>
      <w:r>
        <w:rPr>
          <w:i/>
        </w:rPr>
        <w:t>registry</w:t>
      </w:r>
      <w:r>
        <w:t>) dari 100 kueri pada skenario S1–S3 dengan tiga pengulangan. Ringkasan lengkap seluruh metrik disajikan pada Tabel 4.2.</w:t>
      </w:r>
    </w:p>
    <w:p>
      <w:pPr>
        <w:pStyle w:val="Caption"/>
        <w:keepNext/>
        <w:jc w:val="center"/>
      </w:pPr>
      <w:r>
        <w:t>Tabel 4.</w:t>
      </w:r>
      <w:fldSimple w:instr=" SEQ Tabel \* ARABIC \s 1 ">
        <w:r>
          <w:t>1</w:t>
        </w:r>
      </w:fldSimple>
      <w:r>
        <w:t xml:space="preserve"> Ringkasan Hasil Resmi Gemini Native v2</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1134"/>
        <w:gridCol w:w="1134"/>
        <w:gridCol w:w="1134"/>
        <w:gridCol w:w="1134"/>
        <w:gridCol w:w="1134"/>
        <w:gridCol w:w="1134"/>
        <w:gridCol w:w="1134"/>
      </w:tblGrid>
      <w:tr>
        <w:trPr>
          <w:cantSplit/>
          <w:tblHeader/>
        </w:trPr>
        <w:tc>
          <w:tcPr>
            <w:tcW w:type="dxa" w:w="1134"/>
            <w:tcBorders>
              <w:top w:val="none"/>
              <w:bottom w:val="single" w:sz="8" w:space="0" w:color="000000"/>
              <w:left w:val="none"/>
              <w:right w:val="none"/>
            </w:tcBorders>
          </w:tcPr>
          <w:p>
            <w:pPr>
              <w:spacing w:line="240" w:lineRule="auto" w:after="0"/>
            </w:pPr>
            <w:r>
              <w:rPr>
                <w:b/>
                <w:sz w:val="20"/>
              </w:rPr>
            </w:r>
            <w:r>
              <w:rPr>
                <w:b/>
                <w:sz w:val="20"/>
              </w:rPr>
              <w:t>Skenario</w:t>
            </w:r>
          </w:p>
        </w:tc>
        <w:tc>
          <w:tcPr>
            <w:tcW w:type="dxa" w:w="1134"/>
            <w:tcBorders>
              <w:top w:val="none"/>
              <w:bottom w:val="single" w:sz="8" w:space="0" w:color="000000"/>
              <w:left w:val="none"/>
              <w:right w:val="none"/>
            </w:tcBorders>
          </w:tcPr>
          <w:p>
            <w:pPr>
              <w:spacing w:line="240" w:lineRule="auto" w:after="0"/>
            </w:pPr>
            <w:r>
              <w:rPr>
                <w:b/>
                <w:sz w:val="20"/>
              </w:rPr>
            </w:r>
            <w:r>
              <w:rPr>
                <w:b/>
                <w:sz w:val="20"/>
              </w:rPr>
              <w:t>Mode</w:t>
            </w:r>
          </w:p>
        </w:tc>
        <w:tc>
          <w:tcPr>
            <w:tcW w:type="dxa" w:w="1134"/>
            <w:tcBorders>
              <w:top w:val="none"/>
              <w:bottom w:val="single" w:sz="8" w:space="0" w:color="000000"/>
              <w:left w:val="none"/>
              <w:right w:val="none"/>
            </w:tcBorders>
          </w:tcPr>
          <w:p>
            <w:pPr>
              <w:spacing w:line="240" w:lineRule="auto" w:after="0"/>
            </w:pPr>
            <w:r>
              <w:rPr>
                <w:b/>
                <w:sz w:val="20"/>
              </w:rPr>
            </w:r>
            <w:r>
              <w:rPr>
                <w:b/>
                <w:sz w:val="20"/>
              </w:rPr>
              <w:t>Total Tool</w:t>
            </w:r>
          </w:p>
        </w:tc>
        <w:tc>
          <w:tcPr>
            <w:tcW w:type="dxa" w:w="1134"/>
            <w:tcBorders>
              <w:top w:val="none"/>
              <w:bottom w:val="single" w:sz="8" w:space="0" w:color="000000"/>
              <w:left w:val="none"/>
              <w:right w:val="none"/>
            </w:tcBorders>
          </w:tcPr>
          <w:p>
            <w:pPr>
              <w:spacing w:line="240" w:lineRule="auto" w:after="0"/>
            </w:pPr>
            <w:r>
              <w:rPr>
                <w:b/>
                <w:sz w:val="20"/>
              </w:rPr>
            </w:r>
            <w:r>
              <w:rPr>
                <w:b/>
                <w:sz w:val="20"/>
              </w:rPr>
              <w:t>Tool Terlihat</w:t>
            </w:r>
          </w:p>
        </w:tc>
        <w:tc>
          <w:tcPr>
            <w:tcW w:type="dxa" w:w="1134"/>
            <w:tcBorders>
              <w:top w:val="none"/>
              <w:bottom w:val="single" w:sz="8" w:space="0" w:color="000000"/>
              <w:left w:val="none"/>
              <w:right w:val="none"/>
            </w:tcBorders>
          </w:tcPr>
          <w:p>
            <w:pPr>
              <w:spacing w:line="240" w:lineRule="auto" w:after="0"/>
            </w:pPr>
            <w:r>
              <w:rPr>
                <w:b/>
                <w:sz w:val="20"/>
              </w:rPr>
            </w:r>
            <w:r>
              <w:rPr>
                <w:b/>
                <w:sz w:val="20"/>
              </w:rPr>
              <w:t>Token</w:t>
            </w:r>
          </w:p>
        </w:tc>
        <w:tc>
          <w:tcPr>
            <w:tcW w:type="dxa" w:w="1134"/>
            <w:tcBorders>
              <w:top w:val="none"/>
              <w:bottom w:val="single" w:sz="8" w:space="0" w:color="000000"/>
              <w:left w:val="none"/>
              <w:right w:val="none"/>
            </w:tcBorders>
          </w:tcPr>
          <w:p>
            <w:pPr>
              <w:spacing w:line="240" w:lineRule="auto" w:after="0"/>
            </w:pPr>
            <w:r>
              <w:rPr>
                <w:b/>
                <w:sz w:val="20"/>
              </w:rPr>
            </w:r>
            <w:r>
              <w:rPr>
                <w:b/>
                <w:sz w:val="20"/>
              </w:rPr>
              <w:t>Akurasi</w:t>
            </w:r>
          </w:p>
        </w:tc>
        <w:tc>
          <w:tcPr>
            <w:tcW w:type="dxa" w:w="1134"/>
            <w:tcBorders>
              <w:top w:val="none"/>
              <w:bottom w:val="single" w:sz="8" w:space="0" w:color="000000"/>
              <w:left w:val="none"/>
              <w:right w:val="none"/>
            </w:tcBorders>
          </w:tcPr>
          <w:p>
            <w:pPr>
              <w:spacing w:line="240" w:lineRule="auto" w:after="0"/>
            </w:pPr>
            <w:r>
              <w:rPr>
                <w:b/>
                <w:sz w:val="20"/>
              </w:rPr>
            </w:r>
            <w:r>
              <w:rPr>
                <w:b/>
                <w:sz w:val="20"/>
              </w:rPr>
              <w:t>Latensi p50</w:t>
            </w:r>
          </w:p>
        </w:tc>
      </w:tr>
      <w:tr>
        <w:trPr>
          <w:cantSplit/>
        </w:trPr>
        <w:tc>
          <w:tcPr>
            <w:tcW w:type="dxa" w:w="1134"/>
          </w:tcPr>
          <w:p>
            <w:pPr>
              <w:spacing w:line="240" w:lineRule="auto" w:after="0"/>
            </w:pPr>
            <w:r>
              <w:rPr>
                <w:sz w:val="20"/>
              </w:rPr>
            </w:r>
            <w:r>
              <w:rPr>
                <w:sz w:val="20"/>
              </w:rPr>
              <w:t>S1</w:t>
            </w:r>
          </w:p>
        </w:tc>
        <w:tc>
          <w:tcPr>
            <w:tcW w:type="dxa" w:w="1134"/>
          </w:tcPr>
          <w:p>
            <w:pPr>
              <w:spacing w:line="240" w:lineRule="auto" w:after="0"/>
            </w:pPr>
            <w:r>
              <w:rPr>
                <w:sz w:val="20"/>
              </w:rPr>
            </w:r>
            <w:r>
              <w:rPr>
                <w:sz w:val="20"/>
              </w:rPr>
              <w:t>Baseline</w:t>
            </w:r>
          </w:p>
        </w:tc>
        <w:tc>
          <w:tcPr>
            <w:tcW w:type="dxa" w:w="1134"/>
          </w:tcPr>
          <w:p>
            <w:pPr>
              <w:spacing w:line="240" w:lineRule="auto" w:after="0"/>
            </w:pPr>
            <w:r>
              <w:rPr>
                <w:sz w:val="20"/>
              </w:rPr>
            </w:r>
            <w:r>
              <w:rPr>
                <w:sz w:val="20"/>
              </w:rPr>
              <w:t>30</w:t>
            </w:r>
          </w:p>
        </w:tc>
        <w:tc>
          <w:tcPr>
            <w:tcW w:type="dxa" w:w="1134"/>
          </w:tcPr>
          <w:p>
            <w:pPr>
              <w:spacing w:line="240" w:lineRule="auto" w:after="0"/>
            </w:pPr>
            <w:r>
              <w:rPr>
                <w:sz w:val="20"/>
              </w:rPr>
            </w:r>
            <w:r>
              <w:rPr>
                <w:sz w:val="20"/>
              </w:rPr>
              <w:t>30</w:t>
            </w:r>
          </w:p>
        </w:tc>
        <w:tc>
          <w:tcPr>
            <w:tcW w:type="dxa" w:w="1134"/>
          </w:tcPr>
          <w:p>
            <w:pPr>
              <w:spacing w:line="240" w:lineRule="auto" w:after="0"/>
            </w:pPr>
            <w:r>
              <w:rPr>
                <w:sz w:val="20"/>
              </w:rPr>
            </w:r>
            <w:r>
              <w:rPr>
                <w:sz w:val="20"/>
              </w:rPr>
              <w:t>2.426</w:t>
            </w:r>
          </w:p>
        </w:tc>
        <w:tc>
          <w:tcPr>
            <w:tcW w:type="dxa" w:w="1134"/>
          </w:tcPr>
          <w:p>
            <w:pPr>
              <w:spacing w:line="240" w:lineRule="auto" w:after="0"/>
            </w:pPr>
            <w:r>
              <w:rPr>
                <w:sz w:val="20"/>
              </w:rPr>
            </w:r>
            <w:r>
              <w:rPr>
                <w:sz w:val="20"/>
              </w:rPr>
              <w:t>68,8%</w:t>
            </w:r>
          </w:p>
        </w:tc>
        <w:tc>
          <w:tcPr>
            <w:tcW w:type="dxa" w:w="1134"/>
          </w:tcPr>
          <w:p>
            <w:pPr>
              <w:spacing w:line="240" w:lineRule="auto" w:after="0"/>
            </w:pPr>
            <w:r>
              <w:rPr>
                <w:sz w:val="20"/>
              </w:rPr>
            </w:r>
            <w:r>
              <w:rPr>
                <w:sz w:val="20"/>
              </w:rPr>
              <w:t>833 ms</w:t>
            </w:r>
          </w:p>
        </w:tc>
      </w:tr>
      <w:tr>
        <w:trPr>
          <w:cantSplit/>
        </w:trPr>
        <w:tc>
          <w:tcPr>
            <w:tcW w:type="dxa" w:w="1134"/>
          </w:tcPr>
          <w:p>
            <w:pPr>
              <w:spacing w:line="240" w:lineRule="auto" w:after="0"/>
            </w:pPr>
            <w:r>
              <w:rPr>
                <w:sz w:val="20"/>
              </w:rPr>
            </w:r>
            <w:r>
              <w:rPr>
                <w:sz w:val="20"/>
              </w:rPr>
              <w:t>S1</w:t>
            </w:r>
          </w:p>
        </w:tc>
        <w:tc>
          <w:tcPr>
            <w:tcW w:type="dxa" w:w="1134"/>
          </w:tcPr>
          <w:p>
            <w:pPr>
              <w:spacing w:line="240" w:lineRule="auto" w:after="0"/>
            </w:pPr>
            <w:r>
              <w:rPr>
                <w:sz w:val="20"/>
              </w:rPr>
            </w:r>
            <w:r>
              <w:rPr>
                <w:sz w:val="20"/>
              </w:rPr>
              <w:t>Registry</w:t>
            </w:r>
          </w:p>
        </w:tc>
        <w:tc>
          <w:tcPr>
            <w:tcW w:type="dxa" w:w="1134"/>
          </w:tcPr>
          <w:p>
            <w:pPr>
              <w:spacing w:line="240" w:lineRule="auto" w:after="0"/>
            </w:pPr>
            <w:r>
              <w:rPr>
                <w:sz w:val="20"/>
              </w:rPr>
            </w:r>
            <w:r>
              <w:rPr>
                <w:sz w:val="20"/>
              </w:rPr>
              <w:t>30</w:t>
            </w:r>
          </w:p>
        </w:tc>
        <w:tc>
          <w:tcPr>
            <w:tcW w:type="dxa" w:w="1134"/>
          </w:tcPr>
          <w:p>
            <w:pPr>
              <w:spacing w:line="240" w:lineRule="auto" w:after="0"/>
            </w:pPr>
            <w:r>
              <w:rPr>
                <w:sz w:val="20"/>
              </w:rPr>
            </w:r>
            <w:r>
              <w:rPr>
                <w:sz w:val="20"/>
              </w:rPr>
              <w:t>10,6</w:t>
            </w:r>
          </w:p>
        </w:tc>
        <w:tc>
          <w:tcPr>
            <w:tcW w:type="dxa" w:w="1134"/>
          </w:tcPr>
          <w:p>
            <w:pPr>
              <w:spacing w:line="240" w:lineRule="auto" w:after="0"/>
            </w:pPr>
            <w:r>
              <w:rPr>
                <w:sz w:val="20"/>
              </w:rPr>
            </w:r>
            <w:r>
              <w:rPr>
                <w:sz w:val="20"/>
              </w:rPr>
              <w:t>893</w:t>
            </w:r>
          </w:p>
        </w:tc>
        <w:tc>
          <w:tcPr>
            <w:tcW w:type="dxa" w:w="1134"/>
          </w:tcPr>
          <w:p>
            <w:pPr>
              <w:spacing w:line="240" w:lineRule="auto" w:after="0"/>
            </w:pPr>
            <w:r>
              <w:rPr>
                <w:sz w:val="20"/>
              </w:rPr>
            </w:r>
            <w:r>
              <w:rPr>
                <w:sz w:val="20"/>
              </w:rPr>
              <w:t>75,0%</w:t>
            </w:r>
          </w:p>
        </w:tc>
        <w:tc>
          <w:tcPr>
            <w:tcW w:type="dxa" w:w="1134"/>
          </w:tcPr>
          <w:p>
            <w:pPr>
              <w:spacing w:line="240" w:lineRule="auto" w:after="0"/>
            </w:pPr>
            <w:r>
              <w:rPr>
                <w:sz w:val="20"/>
              </w:rPr>
            </w:r>
            <w:r>
              <w:rPr>
                <w:sz w:val="20"/>
              </w:rPr>
              <w:t>905 ms</w:t>
            </w:r>
          </w:p>
        </w:tc>
      </w:tr>
      <w:tr>
        <w:trPr>
          <w:cantSplit/>
        </w:trPr>
        <w:tc>
          <w:tcPr>
            <w:tcW w:type="dxa" w:w="1134"/>
          </w:tcPr>
          <w:p>
            <w:pPr>
              <w:spacing w:line="240" w:lineRule="auto" w:after="0"/>
            </w:pPr>
            <w:r>
              <w:rPr>
                <w:sz w:val="20"/>
              </w:rPr>
            </w:r>
            <w:r>
              <w:rPr>
                <w:sz w:val="20"/>
              </w:rPr>
              <w:t>S2</w:t>
            </w:r>
          </w:p>
        </w:tc>
        <w:tc>
          <w:tcPr>
            <w:tcW w:type="dxa" w:w="1134"/>
          </w:tcPr>
          <w:p>
            <w:pPr>
              <w:spacing w:line="240" w:lineRule="auto" w:after="0"/>
            </w:pPr>
            <w:r>
              <w:rPr>
                <w:sz w:val="20"/>
              </w:rPr>
            </w:r>
            <w:r>
              <w:rPr>
                <w:sz w:val="20"/>
              </w:rPr>
              <w:t>Baseline</w:t>
            </w:r>
          </w:p>
        </w:tc>
        <w:tc>
          <w:tcPr>
            <w:tcW w:type="dxa" w:w="1134"/>
          </w:tcPr>
          <w:p>
            <w:pPr>
              <w:spacing w:line="240" w:lineRule="auto" w:after="0"/>
            </w:pPr>
            <w:r>
              <w:rPr>
                <w:sz w:val="20"/>
              </w:rPr>
            </w:r>
            <w:r>
              <w:rPr>
                <w:sz w:val="20"/>
              </w:rPr>
              <w:t>100</w:t>
            </w:r>
          </w:p>
        </w:tc>
        <w:tc>
          <w:tcPr>
            <w:tcW w:type="dxa" w:w="1134"/>
          </w:tcPr>
          <w:p>
            <w:pPr>
              <w:spacing w:line="240" w:lineRule="auto" w:after="0"/>
            </w:pPr>
            <w:r>
              <w:rPr>
                <w:sz w:val="20"/>
              </w:rPr>
            </w:r>
            <w:r>
              <w:rPr>
                <w:sz w:val="20"/>
              </w:rPr>
              <w:t>100</w:t>
            </w:r>
          </w:p>
        </w:tc>
        <w:tc>
          <w:tcPr>
            <w:tcW w:type="dxa" w:w="1134"/>
          </w:tcPr>
          <w:p>
            <w:pPr>
              <w:spacing w:line="240" w:lineRule="auto" w:after="0"/>
            </w:pPr>
            <w:r>
              <w:rPr>
                <w:sz w:val="20"/>
              </w:rPr>
            </w:r>
            <w:r>
              <w:rPr>
                <w:sz w:val="20"/>
              </w:rPr>
              <w:t>7.985</w:t>
            </w:r>
          </w:p>
        </w:tc>
        <w:tc>
          <w:tcPr>
            <w:tcW w:type="dxa" w:w="1134"/>
          </w:tcPr>
          <w:p>
            <w:pPr>
              <w:spacing w:line="240" w:lineRule="auto" w:after="0"/>
            </w:pPr>
            <w:r>
              <w:rPr>
                <w:sz w:val="20"/>
              </w:rPr>
            </w:r>
            <w:r>
              <w:rPr>
                <w:sz w:val="20"/>
              </w:rPr>
              <w:t>71,4%</w:t>
            </w:r>
          </w:p>
        </w:tc>
        <w:tc>
          <w:tcPr>
            <w:tcW w:type="dxa" w:w="1134"/>
          </w:tcPr>
          <w:p>
            <w:pPr>
              <w:spacing w:line="240" w:lineRule="auto" w:after="0"/>
            </w:pPr>
            <w:r>
              <w:rPr>
                <w:sz w:val="20"/>
              </w:rPr>
            </w:r>
            <w:r>
              <w:rPr>
                <w:sz w:val="20"/>
              </w:rPr>
              <w:t>1.014 ms</w:t>
            </w:r>
          </w:p>
        </w:tc>
      </w:tr>
      <w:tr>
        <w:trPr>
          <w:cantSplit/>
        </w:trPr>
        <w:tc>
          <w:tcPr>
            <w:tcW w:type="dxa" w:w="1134"/>
          </w:tcPr>
          <w:p>
            <w:pPr>
              <w:spacing w:line="240" w:lineRule="auto" w:after="0"/>
            </w:pPr>
            <w:r>
              <w:rPr>
                <w:sz w:val="20"/>
              </w:rPr>
            </w:r>
            <w:r>
              <w:rPr>
                <w:sz w:val="20"/>
              </w:rPr>
              <w:t>S2</w:t>
            </w:r>
          </w:p>
        </w:tc>
        <w:tc>
          <w:tcPr>
            <w:tcW w:type="dxa" w:w="1134"/>
          </w:tcPr>
          <w:p>
            <w:pPr>
              <w:spacing w:line="240" w:lineRule="auto" w:after="0"/>
            </w:pPr>
            <w:r>
              <w:rPr>
                <w:sz w:val="20"/>
              </w:rPr>
            </w:r>
            <w:r>
              <w:rPr>
                <w:sz w:val="20"/>
              </w:rPr>
              <w:t>Registry</w:t>
            </w:r>
          </w:p>
        </w:tc>
        <w:tc>
          <w:tcPr>
            <w:tcW w:type="dxa" w:w="1134"/>
          </w:tcPr>
          <w:p>
            <w:pPr>
              <w:spacing w:line="240" w:lineRule="auto" w:after="0"/>
            </w:pPr>
            <w:r>
              <w:rPr>
                <w:sz w:val="20"/>
              </w:rPr>
            </w:r>
            <w:r>
              <w:rPr>
                <w:sz w:val="20"/>
              </w:rPr>
              <w:t>100</w:t>
            </w:r>
          </w:p>
        </w:tc>
        <w:tc>
          <w:tcPr>
            <w:tcW w:type="dxa" w:w="1134"/>
          </w:tcPr>
          <w:p>
            <w:pPr>
              <w:spacing w:line="240" w:lineRule="auto" w:after="0"/>
            </w:pPr>
            <w:r>
              <w:rPr>
                <w:sz w:val="20"/>
              </w:rPr>
            </w:r>
            <w:r>
              <w:rPr>
                <w:sz w:val="20"/>
              </w:rPr>
              <w:t>15</w:t>
            </w:r>
          </w:p>
        </w:tc>
        <w:tc>
          <w:tcPr>
            <w:tcW w:type="dxa" w:w="1134"/>
          </w:tcPr>
          <w:p>
            <w:pPr>
              <w:spacing w:line="240" w:lineRule="auto" w:after="0"/>
            </w:pPr>
            <w:r>
              <w:rPr>
                <w:sz w:val="20"/>
              </w:rPr>
            </w:r>
            <w:r>
              <w:rPr>
                <w:sz w:val="20"/>
              </w:rPr>
              <w:t>1.241</w:t>
            </w:r>
          </w:p>
        </w:tc>
        <w:tc>
          <w:tcPr>
            <w:tcW w:type="dxa" w:w="1134"/>
          </w:tcPr>
          <w:p>
            <w:pPr>
              <w:spacing w:line="240" w:lineRule="auto" w:after="0"/>
            </w:pPr>
            <w:r>
              <w:rPr>
                <w:sz w:val="20"/>
              </w:rPr>
            </w:r>
            <w:r>
              <w:rPr>
                <w:sz w:val="20"/>
              </w:rPr>
              <w:t>71,4%</w:t>
            </w:r>
          </w:p>
        </w:tc>
        <w:tc>
          <w:tcPr>
            <w:tcW w:type="dxa" w:w="1134"/>
          </w:tcPr>
          <w:p>
            <w:pPr>
              <w:spacing w:line="240" w:lineRule="auto" w:after="0"/>
            </w:pPr>
            <w:r>
              <w:rPr>
                <w:sz w:val="20"/>
              </w:rPr>
            </w:r>
            <w:r>
              <w:rPr>
                <w:sz w:val="20"/>
              </w:rPr>
              <w:t>910 ms</w:t>
            </w:r>
          </w:p>
        </w:tc>
      </w:tr>
      <w:tr>
        <w:trPr>
          <w:cantSplit/>
        </w:trPr>
        <w:tc>
          <w:tcPr>
            <w:tcW w:type="dxa" w:w="1134"/>
          </w:tcPr>
          <w:p>
            <w:pPr>
              <w:spacing w:line="240" w:lineRule="auto" w:after="0"/>
            </w:pPr>
            <w:r>
              <w:rPr>
                <w:sz w:val="20"/>
              </w:rPr>
            </w:r>
            <w:r>
              <w:rPr>
                <w:sz w:val="20"/>
              </w:rPr>
              <w:t>S3</w:t>
            </w:r>
          </w:p>
        </w:tc>
        <w:tc>
          <w:tcPr>
            <w:tcW w:type="dxa" w:w="1134"/>
          </w:tcPr>
          <w:p>
            <w:pPr>
              <w:spacing w:line="240" w:lineRule="auto" w:after="0"/>
            </w:pPr>
            <w:r>
              <w:rPr>
                <w:sz w:val="20"/>
              </w:rPr>
            </w:r>
            <w:r>
              <w:rPr>
                <w:sz w:val="20"/>
              </w:rPr>
              <w:t>Baseline</w:t>
            </w:r>
          </w:p>
        </w:tc>
        <w:tc>
          <w:tcPr>
            <w:tcW w:type="dxa" w:w="1134"/>
          </w:tcPr>
          <w:p>
            <w:pPr>
              <w:spacing w:line="240" w:lineRule="auto" w:after="0"/>
            </w:pPr>
            <w:r>
              <w:rPr>
                <w:sz w:val="20"/>
              </w:rPr>
            </w:r>
            <w:r>
              <w:rPr>
                <w:sz w:val="20"/>
              </w:rPr>
              <w:t>300</w:t>
            </w:r>
          </w:p>
        </w:tc>
        <w:tc>
          <w:tcPr>
            <w:tcW w:type="dxa" w:w="1134"/>
          </w:tcPr>
          <w:p>
            <w:pPr>
              <w:spacing w:line="240" w:lineRule="auto" w:after="0"/>
            </w:pPr>
            <w:r>
              <w:rPr>
                <w:sz w:val="20"/>
              </w:rPr>
            </w:r>
            <w:r>
              <w:rPr>
                <w:sz w:val="20"/>
              </w:rPr>
              <w:t>300</w:t>
            </w:r>
          </w:p>
        </w:tc>
        <w:tc>
          <w:tcPr>
            <w:tcW w:type="dxa" w:w="1134"/>
          </w:tcPr>
          <w:p>
            <w:pPr>
              <w:spacing w:line="240" w:lineRule="auto" w:after="0"/>
            </w:pPr>
            <w:r>
              <w:rPr>
                <w:sz w:val="20"/>
              </w:rPr>
            </w:r>
            <w:r>
              <w:rPr>
                <w:sz w:val="20"/>
              </w:rPr>
              <w:t>23.893</w:t>
            </w:r>
          </w:p>
        </w:tc>
        <w:tc>
          <w:tcPr>
            <w:tcW w:type="dxa" w:w="1134"/>
          </w:tcPr>
          <w:p>
            <w:pPr>
              <w:spacing w:line="240" w:lineRule="auto" w:after="0"/>
            </w:pPr>
            <w:r>
              <w:rPr>
                <w:sz w:val="20"/>
              </w:rPr>
            </w:r>
            <w:r>
              <w:rPr>
                <w:sz w:val="20"/>
              </w:rPr>
              <w:t>71,4%</w:t>
            </w:r>
          </w:p>
        </w:tc>
        <w:tc>
          <w:tcPr>
            <w:tcW w:type="dxa" w:w="1134"/>
          </w:tcPr>
          <w:p>
            <w:pPr>
              <w:spacing w:line="240" w:lineRule="auto" w:after="0"/>
            </w:pPr>
            <w:r>
              <w:rPr>
                <w:sz w:val="20"/>
              </w:rPr>
            </w:r>
            <w:r>
              <w:rPr>
                <w:sz w:val="20"/>
              </w:rPr>
              <w:t>992 ms</w:t>
            </w:r>
          </w:p>
        </w:tc>
      </w:tr>
      <w:tr>
        <w:trPr>
          <w:cantSplit/>
        </w:trPr>
        <w:tc>
          <w:tcPr>
            <w:tcW w:type="dxa" w:w="1134"/>
          </w:tcPr>
          <w:p>
            <w:pPr>
              <w:spacing w:line="240" w:lineRule="auto" w:after="0"/>
            </w:pPr>
            <w:r>
              <w:rPr>
                <w:sz w:val="20"/>
              </w:rPr>
            </w:r>
            <w:r>
              <w:rPr>
                <w:sz w:val="20"/>
              </w:rPr>
              <w:t>S3</w:t>
            </w:r>
          </w:p>
        </w:tc>
        <w:tc>
          <w:tcPr>
            <w:tcW w:type="dxa" w:w="1134"/>
          </w:tcPr>
          <w:p>
            <w:pPr>
              <w:spacing w:line="240" w:lineRule="auto" w:after="0"/>
            </w:pPr>
            <w:r>
              <w:rPr>
                <w:sz w:val="20"/>
              </w:rPr>
            </w:r>
            <w:r>
              <w:rPr>
                <w:sz w:val="20"/>
              </w:rPr>
              <w:t>Registry</w:t>
            </w:r>
          </w:p>
        </w:tc>
        <w:tc>
          <w:tcPr>
            <w:tcW w:type="dxa" w:w="1134"/>
          </w:tcPr>
          <w:p>
            <w:pPr>
              <w:spacing w:line="240" w:lineRule="auto" w:after="0"/>
            </w:pPr>
            <w:r>
              <w:rPr>
                <w:sz w:val="20"/>
              </w:rPr>
            </w:r>
            <w:r>
              <w:rPr>
                <w:sz w:val="20"/>
              </w:rPr>
              <w:t>300</w:t>
            </w:r>
          </w:p>
        </w:tc>
        <w:tc>
          <w:tcPr>
            <w:tcW w:type="dxa" w:w="1134"/>
          </w:tcPr>
          <w:p>
            <w:pPr>
              <w:spacing w:line="240" w:lineRule="auto" w:after="0"/>
            </w:pPr>
            <w:r>
              <w:rPr>
                <w:sz w:val="20"/>
              </w:rPr>
            </w:r>
            <w:r>
              <w:rPr>
                <w:sz w:val="20"/>
              </w:rPr>
              <w:t>15</w:t>
            </w:r>
          </w:p>
        </w:tc>
        <w:tc>
          <w:tcPr>
            <w:tcW w:type="dxa" w:w="1134"/>
          </w:tcPr>
          <w:p>
            <w:pPr>
              <w:spacing w:line="240" w:lineRule="auto" w:after="0"/>
            </w:pPr>
            <w:r>
              <w:rPr>
                <w:sz w:val="20"/>
              </w:rPr>
            </w:r>
            <w:r>
              <w:rPr>
                <w:sz w:val="20"/>
              </w:rPr>
              <w:t>1.239</w:t>
            </w:r>
          </w:p>
        </w:tc>
        <w:tc>
          <w:tcPr>
            <w:tcW w:type="dxa" w:w="1134"/>
          </w:tcPr>
          <w:p>
            <w:pPr>
              <w:spacing w:line="240" w:lineRule="auto" w:after="0"/>
            </w:pPr>
            <w:r>
              <w:rPr>
                <w:sz w:val="20"/>
              </w:rPr>
            </w:r>
            <w:r>
              <w:rPr>
                <w:sz w:val="20"/>
              </w:rPr>
              <w:t>77,6%</w:t>
            </w:r>
          </w:p>
        </w:tc>
        <w:tc>
          <w:tcPr>
            <w:tcW w:type="dxa" w:w="1134"/>
          </w:tcPr>
          <w:p>
            <w:pPr>
              <w:spacing w:line="240" w:lineRule="auto" w:after="0"/>
            </w:pPr>
            <w:r>
              <w:rPr>
                <w:sz w:val="20"/>
              </w:rPr>
            </w:r>
            <w:r>
              <w:rPr>
                <w:sz w:val="20"/>
              </w:rPr>
              <w:t>851 ms</w:t>
            </w:r>
          </w:p>
        </w:tc>
      </w:tr>
    </w:tbl>
    <w:p>
      <w:pPr>
        <w:ind w:firstLine="720"/>
        <w:jc w:val="both"/>
      </w:pPr>
      <w:r>
        <w:t xml:space="preserve">Berdasarkan Tabel 4.2, mode </w:t>
      </w:r>
      <w:r>
        <w:rPr>
          <w:i/>
        </w:rPr>
        <w:t>registry</w:t>
      </w:r>
      <w:r>
        <w:t xml:space="preserve"> secara konsisten mengungguli mode </w:t>
      </w:r>
      <w:r>
        <w:rPr>
          <w:i/>
        </w:rPr>
        <w:t>baseline</w:t>
      </w:r>
      <w:r>
        <w:t xml:space="preserve"> pada dimensi efisiensi token di seluruh skenario, dengan keunggulan yang membesar seiring ukuran katalog. Akurasi </w:t>
      </w:r>
      <w:r>
        <w:rPr>
          <w:i/>
        </w:rPr>
        <w:t>registry</w:t>
      </w:r>
      <w:r>
        <w:t xml:space="preserve"> setara atau lebih tinggi dibanding </w:t>
      </w:r>
      <w:r>
        <w:rPr>
          <w:i/>
        </w:rPr>
        <w:t>baseline</w:t>
      </w:r>
      <w:r>
        <w:t>, sementara latensi menunjukkan perbaikan moderat pada skenario besar. Setiap dimensi dianalisis secara terperinci pada sub-bab berikut.</w:t>
      </w:r>
    </w:p>
    <w:p>
      <w:pPr>
        <w:pStyle w:val="Heading2"/>
      </w:pPr>
      <w:r>
        <w:t>4.3 Analisis Token Reduction</w:t>
      </w:r>
    </w:p>
    <w:p>
      <w:pPr>
        <w:ind w:firstLine="720"/>
        <w:jc w:val="both"/>
      </w:pPr>
      <w:r>
        <w:t xml:space="preserve">Penghematan token merupakan temuan utama penelitian ini. Sebagaimana divisualisasikan pada Gambar 4.1, selisih konsumsi token antara </w:t>
      </w:r>
      <w:r>
        <w:rPr>
          <w:i/>
        </w:rPr>
        <w:t>baseline</w:t>
      </w:r>
      <w:r>
        <w:t xml:space="preserve"> dan </w:t>
      </w:r>
      <w:r>
        <w:rPr>
          <w:i/>
        </w:rPr>
        <w:t>registry</w:t>
      </w:r>
      <w:r>
        <w:t xml:space="preserve"> membesar secara dramatis seiring pertumbuhan katalog.</w:t>
      </w:r>
    </w:p>
    <w:p>
      <w:pPr>
        <w:keepNext/>
        <w:spacing w:before="120"/>
        <w:jc w:val="center"/>
      </w:pPr>
      <w:r>
        <w:drawing>
          <wp:inline xmlns:a="http://schemas.openxmlformats.org/drawingml/2006/main" xmlns:pic="http://schemas.openxmlformats.org/drawingml/2006/picture">
            <wp:extent cx="4320000" cy="2400000"/>
            <wp:docPr id="5" name="Picture 5"/>
            <wp:cNvGraphicFramePr>
              <a:graphicFrameLocks noChangeAspect="1"/>
            </wp:cNvGraphicFramePr>
            <a:graphic>
              <a:graphicData uri="http://schemas.openxmlformats.org/drawingml/2006/picture">
                <pic:pic>
                  <pic:nvPicPr>
                    <pic:cNvPr id="0" name="token_per_turn.png"/>
                    <pic:cNvPicPr/>
                  </pic:nvPicPr>
                  <pic:blipFill>
                    <a:blip r:embed="rId15"/>
                    <a:stretch>
                      <a:fillRect/>
                    </a:stretch>
                  </pic:blipFill>
                  <pic:spPr>
                    <a:xfrm>
                      <a:off x="0" y="0"/>
                      <a:ext cx="4320000" cy="2400000"/>
                    </a:xfrm>
                    <a:prstGeom prst="rect"/>
                  </pic:spPr>
                </pic:pic>
              </a:graphicData>
            </a:graphic>
          </wp:inline>
        </w:drawing>
      </w:r>
    </w:p>
    <w:p>
      <w:pPr>
        <w:pStyle w:val="Caption"/>
        <w:jc w:val="center"/>
      </w:pPr>
      <w:r>
        <w:t>Gambar 4.</w:t>
      </w:r>
      <w:fldSimple w:instr=" SEQ Gambar \* ARABIC \s 1 ">
        <w:r>
          <w:t>1</w:t>
        </w:r>
      </w:fldSimple>
      <w:r>
        <w:t xml:space="preserve"> Perbandingan Rata-rata Token per Kueri Baseline dan Registry.</w:t>
      </w:r>
    </w:p>
    <w:p>
      <w:pPr>
        <w:ind w:firstLine="720"/>
        <w:jc w:val="both"/>
      </w:pPr>
      <w:r>
        <w:t xml:space="preserve">Pada skenario S1 (30 </w:t>
      </w:r>
      <w:r>
        <w:rPr>
          <w:i/>
        </w:rPr>
        <w:t>tool</w:t>
      </w:r>
      <w:r>
        <w:t xml:space="preserve">), konsumsi token turun dari 2.426 menjadi 893 token (−63%). Pada S2 (100 </w:t>
      </w:r>
      <w:r>
        <w:rPr>
          <w:i/>
        </w:rPr>
        <w:t>tool</w:t>
      </w:r>
      <w:r>
        <w:t xml:space="preserve">), token turun dari 7.985 menjadi 1.241 token (−84%). Pada S3 (300 </w:t>
      </w:r>
      <w:r>
        <w:rPr>
          <w:i/>
        </w:rPr>
        <w:t>tool</w:t>
      </w:r>
      <w:r>
        <w:t xml:space="preserve">), token turun dari 23.893 menjadi hanya 1.239 token (−95%). Pola penting yang terlihat pada Gambar 4.1 adalah bahwa token </w:t>
      </w:r>
      <w:r>
        <w:rPr>
          <w:i/>
        </w:rPr>
        <w:t>registry</w:t>
      </w:r>
      <w:r>
        <w:t xml:space="preserve"> nyaris konstan (893–1.241 token) meskipun katalog membesar sepuluh kali lipat, sedangkan token </w:t>
      </w:r>
      <w:r>
        <w:rPr>
          <w:i/>
        </w:rPr>
        <w:t>baseline</w:t>
      </w:r>
      <w:r>
        <w:t xml:space="preserve"> tumbuh hampir linear. Rincian besaran penghematan disajikan pada Tabel 4.3.</w:t>
      </w:r>
    </w:p>
    <w:p>
      <w:pPr>
        <w:pStyle w:val="Caption"/>
        <w:keepNext/>
        <w:jc w:val="center"/>
      </w:pPr>
      <w:r>
        <w:t>Tabel 4.</w:t>
      </w:r>
      <w:fldSimple w:instr=" SEQ Tabel \* ARABIC \s 1 ">
        <w:r>
          <w:t>1</w:t>
        </w:r>
      </w:fldSimple>
      <w:r>
        <w:t xml:space="preserve"> Penghematan Token Registry terhadap Baseline</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1587"/>
        <w:gridCol w:w="1587"/>
        <w:gridCol w:w="1587"/>
        <w:gridCol w:w="1587"/>
        <w:gridCol w:w="1587"/>
      </w:tblGrid>
      <w:tr>
        <w:trPr>
          <w:cantSplit/>
          <w:tblHeader/>
        </w:trPr>
        <w:tc>
          <w:tcPr>
            <w:tcW w:type="dxa" w:w="1587"/>
            <w:tcBorders>
              <w:top w:val="none"/>
              <w:bottom w:val="single" w:sz="8" w:space="0" w:color="000000"/>
              <w:left w:val="none"/>
              <w:right w:val="none"/>
            </w:tcBorders>
          </w:tcPr>
          <w:p>
            <w:pPr>
              <w:spacing w:line="240" w:lineRule="auto" w:after="0"/>
            </w:pPr>
            <w:r>
              <w:rPr>
                <w:b/>
                <w:sz w:val="20"/>
              </w:rPr>
            </w:r>
            <w:r>
              <w:rPr>
                <w:b/>
                <w:sz w:val="20"/>
              </w:rPr>
              <w:t>Skenario</w:t>
            </w:r>
          </w:p>
        </w:tc>
        <w:tc>
          <w:tcPr>
            <w:tcW w:type="dxa" w:w="1587"/>
            <w:tcBorders>
              <w:top w:val="none"/>
              <w:bottom w:val="single" w:sz="8" w:space="0" w:color="000000"/>
              <w:left w:val="none"/>
              <w:right w:val="none"/>
            </w:tcBorders>
          </w:tcPr>
          <w:p>
            <w:pPr>
              <w:spacing w:line="240" w:lineRule="auto" w:after="0"/>
            </w:pPr>
            <w:r>
              <w:rPr>
                <w:b/>
                <w:sz w:val="20"/>
              </w:rPr>
            </w:r>
            <w:r>
              <w:rPr>
                <w:b/>
                <w:sz w:val="20"/>
              </w:rPr>
              <w:t>Token Baseline</w:t>
            </w:r>
          </w:p>
        </w:tc>
        <w:tc>
          <w:tcPr>
            <w:tcW w:type="dxa" w:w="1587"/>
            <w:tcBorders>
              <w:top w:val="none"/>
              <w:bottom w:val="single" w:sz="8" w:space="0" w:color="000000"/>
              <w:left w:val="none"/>
              <w:right w:val="none"/>
            </w:tcBorders>
          </w:tcPr>
          <w:p>
            <w:pPr>
              <w:spacing w:line="240" w:lineRule="auto" w:after="0"/>
            </w:pPr>
            <w:r>
              <w:rPr>
                <w:b/>
                <w:sz w:val="20"/>
              </w:rPr>
            </w:r>
            <w:r>
              <w:rPr>
                <w:b/>
                <w:sz w:val="20"/>
              </w:rPr>
              <w:t>Token Registry</w:t>
            </w:r>
          </w:p>
        </w:tc>
        <w:tc>
          <w:tcPr>
            <w:tcW w:type="dxa" w:w="1587"/>
            <w:tcBorders>
              <w:top w:val="none"/>
              <w:bottom w:val="single" w:sz="8" w:space="0" w:color="000000"/>
              <w:left w:val="none"/>
              <w:right w:val="none"/>
            </w:tcBorders>
          </w:tcPr>
          <w:p>
            <w:pPr>
              <w:spacing w:line="240" w:lineRule="auto" w:after="0"/>
            </w:pPr>
            <w:r>
              <w:rPr>
                <w:b/>
                <w:sz w:val="20"/>
              </w:rPr>
            </w:r>
            <w:r>
              <w:rPr>
                <w:b/>
                <w:sz w:val="20"/>
              </w:rPr>
              <w:t>Penghematan</w:t>
            </w:r>
          </w:p>
        </w:tc>
        <w:tc>
          <w:tcPr>
            <w:tcW w:type="dxa" w:w="1587"/>
            <w:tcBorders>
              <w:top w:val="none"/>
              <w:bottom w:val="single" w:sz="8" w:space="0" w:color="000000"/>
              <w:left w:val="none"/>
              <w:right w:val="none"/>
            </w:tcBorders>
          </w:tcPr>
          <w:p>
            <w:pPr>
              <w:spacing w:line="240" w:lineRule="auto" w:after="0"/>
            </w:pPr>
            <w:r>
              <w:rPr>
                <w:b/>
                <w:sz w:val="20"/>
              </w:rPr>
            </w:r>
            <w:r>
              <w:rPr>
                <w:b/>
                <w:sz w:val="20"/>
              </w:rPr>
              <w:t>Reduksi</w:t>
            </w:r>
          </w:p>
        </w:tc>
      </w:tr>
      <w:tr>
        <w:trPr>
          <w:cantSplit/>
        </w:trPr>
        <w:tc>
          <w:tcPr>
            <w:tcW w:type="dxa" w:w="1587"/>
          </w:tcPr>
          <w:p>
            <w:pPr>
              <w:spacing w:line="240" w:lineRule="auto" w:after="0"/>
            </w:pPr>
            <w:r>
              <w:rPr>
                <w:sz w:val="20"/>
              </w:rPr>
            </w:r>
            <w:r>
              <w:rPr>
                <w:sz w:val="20"/>
              </w:rPr>
              <w:t>S1</w:t>
            </w:r>
          </w:p>
        </w:tc>
        <w:tc>
          <w:tcPr>
            <w:tcW w:type="dxa" w:w="1587"/>
          </w:tcPr>
          <w:p>
            <w:pPr>
              <w:spacing w:line="240" w:lineRule="auto" w:after="0"/>
            </w:pPr>
            <w:r>
              <w:rPr>
                <w:sz w:val="20"/>
              </w:rPr>
            </w:r>
            <w:r>
              <w:rPr>
                <w:sz w:val="20"/>
              </w:rPr>
              <w:t>2.426</w:t>
            </w:r>
          </w:p>
        </w:tc>
        <w:tc>
          <w:tcPr>
            <w:tcW w:type="dxa" w:w="1587"/>
          </w:tcPr>
          <w:p>
            <w:pPr>
              <w:spacing w:line="240" w:lineRule="auto" w:after="0"/>
            </w:pPr>
            <w:r>
              <w:rPr>
                <w:sz w:val="20"/>
              </w:rPr>
            </w:r>
            <w:r>
              <w:rPr>
                <w:sz w:val="20"/>
              </w:rPr>
              <w:t>893</w:t>
            </w:r>
          </w:p>
        </w:tc>
        <w:tc>
          <w:tcPr>
            <w:tcW w:type="dxa" w:w="1587"/>
          </w:tcPr>
          <w:p>
            <w:pPr>
              <w:spacing w:line="240" w:lineRule="auto" w:after="0"/>
            </w:pPr>
            <w:r>
              <w:rPr>
                <w:sz w:val="20"/>
              </w:rPr>
            </w:r>
            <w:r>
              <w:rPr>
                <w:sz w:val="20"/>
              </w:rPr>
              <w:t>1.533 token</w:t>
            </w:r>
          </w:p>
        </w:tc>
        <w:tc>
          <w:tcPr>
            <w:tcW w:type="dxa" w:w="1587"/>
          </w:tcPr>
          <w:p>
            <w:pPr>
              <w:spacing w:line="240" w:lineRule="auto" w:after="0"/>
            </w:pPr>
            <w:r>
              <w:rPr>
                <w:sz w:val="20"/>
              </w:rPr>
            </w:r>
            <w:r>
              <w:rPr>
                <w:sz w:val="20"/>
              </w:rPr>
              <w:t>−63%</w:t>
            </w:r>
          </w:p>
        </w:tc>
      </w:tr>
      <w:tr>
        <w:trPr>
          <w:cantSplit/>
        </w:trPr>
        <w:tc>
          <w:tcPr>
            <w:tcW w:type="dxa" w:w="1587"/>
          </w:tcPr>
          <w:p>
            <w:pPr>
              <w:spacing w:line="240" w:lineRule="auto" w:after="0"/>
            </w:pPr>
            <w:r>
              <w:rPr>
                <w:sz w:val="20"/>
              </w:rPr>
            </w:r>
            <w:r>
              <w:rPr>
                <w:sz w:val="20"/>
              </w:rPr>
              <w:t>S2</w:t>
            </w:r>
          </w:p>
        </w:tc>
        <w:tc>
          <w:tcPr>
            <w:tcW w:type="dxa" w:w="1587"/>
          </w:tcPr>
          <w:p>
            <w:pPr>
              <w:spacing w:line="240" w:lineRule="auto" w:after="0"/>
            </w:pPr>
            <w:r>
              <w:rPr>
                <w:sz w:val="20"/>
              </w:rPr>
            </w:r>
            <w:r>
              <w:rPr>
                <w:sz w:val="20"/>
              </w:rPr>
              <w:t>7.985</w:t>
            </w:r>
          </w:p>
        </w:tc>
        <w:tc>
          <w:tcPr>
            <w:tcW w:type="dxa" w:w="1587"/>
          </w:tcPr>
          <w:p>
            <w:pPr>
              <w:spacing w:line="240" w:lineRule="auto" w:after="0"/>
            </w:pPr>
            <w:r>
              <w:rPr>
                <w:sz w:val="20"/>
              </w:rPr>
            </w:r>
            <w:r>
              <w:rPr>
                <w:sz w:val="20"/>
              </w:rPr>
              <w:t>1.241</w:t>
            </w:r>
          </w:p>
        </w:tc>
        <w:tc>
          <w:tcPr>
            <w:tcW w:type="dxa" w:w="1587"/>
          </w:tcPr>
          <w:p>
            <w:pPr>
              <w:spacing w:line="240" w:lineRule="auto" w:after="0"/>
            </w:pPr>
            <w:r>
              <w:rPr>
                <w:sz w:val="20"/>
              </w:rPr>
            </w:r>
            <w:r>
              <w:rPr>
                <w:sz w:val="20"/>
              </w:rPr>
              <w:t>6.744 token</w:t>
            </w:r>
          </w:p>
        </w:tc>
        <w:tc>
          <w:tcPr>
            <w:tcW w:type="dxa" w:w="1587"/>
          </w:tcPr>
          <w:p>
            <w:pPr>
              <w:spacing w:line="240" w:lineRule="auto" w:after="0"/>
            </w:pPr>
            <w:r>
              <w:rPr>
                <w:sz w:val="20"/>
              </w:rPr>
            </w:r>
            <w:r>
              <w:rPr>
                <w:sz w:val="20"/>
              </w:rPr>
              <w:t>−84%</w:t>
            </w:r>
          </w:p>
        </w:tc>
      </w:tr>
      <w:tr>
        <w:trPr>
          <w:cantSplit/>
        </w:trPr>
        <w:tc>
          <w:tcPr>
            <w:tcW w:type="dxa" w:w="1587"/>
          </w:tcPr>
          <w:p>
            <w:pPr>
              <w:spacing w:line="240" w:lineRule="auto" w:after="0"/>
            </w:pPr>
            <w:r>
              <w:rPr>
                <w:sz w:val="20"/>
              </w:rPr>
            </w:r>
            <w:r>
              <w:rPr>
                <w:sz w:val="20"/>
              </w:rPr>
              <w:t>S3</w:t>
            </w:r>
          </w:p>
        </w:tc>
        <w:tc>
          <w:tcPr>
            <w:tcW w:type="dxa" w:w="1587"/>
          </w:tcPr>
          <w:p>
            <w:pPr>
              <w:spacing w:line="240" w:lineRule="auto" w:after="0"/>
            </w:pPr>
            <w:r>
              <w:rPr>
                <w:sz w:val="20"/>
              </w:rPr>
            </w:r>
            <w:r>
              <w:rPr>
                <w:sz w:val="20"/>
              </w:rPr>
              <w:t>23.893</w:t>
            </w:r>
          </w:p>
        </w:tc>
        <w:tc>
          <w:tcPr>
            <w:tcW w:type="dxa" w:w="1587"/>
          </w:tcPr>
          <w:p>
            <w:pPr>
              <w:spacing w:line="240" w:lineRule="auto" w:after="0"/>
            </w:pPr>
            <w:r>
              <w:rPr>
                <w:sz w:val="20"/>
              </w:rPr>
            </w:r>
            <w:r>
              <w:rPr>
                <w:sz w:val="20"/>
              </w:rPr>
              <w:t>1.239</w:t>
            </w:r>
          </w:p>
        </w:tc>
        <w:tc>
          <w:tcPr>
            <w:tcW w:type="dxa" w:w="1587"/>
          </w:tcPr>
          <w:p>
            <w:pPr>
              <w:spacing w:line="240" w:lineRule="auto" w:after="0"/>
            </w:pPr>
            <w:r>
              <w:rPr>
                <w:sz w:val="20"/>
              </w:rPr>
            </w:r>
            <w:r>
              <w:rPr>
                <w:sz w:val="20"/>
              </w:rPr>
              <w:t>22.654 token</w:t>
            </w:r>
          </w:p>
        </w:tc>
        <w:tc>
          <w:tcPr>
            <w:tcW w:type="dxa" w:w="1587"/>
          </w:tcPr>
          <w:p>
            <w:pPr>
              <w:spacing w:line="240" w:lineRule="auto" w:after="0"/>
            </w:pPr>
            <w:r>
              <w:rPr>
                <w:sz w:val="20"/>
              </w:rPr>
            </w:r>
            <w:r>
              <w:rPr>
                <w:sz w:val="20"/>
              </w:rPr>
              <w:t>−95%</w:t>
            </w:r>
          </w:p>
        </w:tc>
      </w:tr>
    </w:tbl>
    <w:p>
      <w:pPr>
        <w:ind w:firstLine="720"/>
        <w:jc w:val="both"/>
      </w:pPr>
      <w:r>
        <w:t xml:space="preserve">Penghematan absolut tumbuh dari 1.533 token (S1) menjadi 22.654 token (S3) per kueri. Implikasi praktis bagi zerlo.id sangat signifikan: pada katalog 300 </w:t>
      </w:r>
      <w:r>
        <w:rPr>
          <w:i/>
        </w:rPr>
        <w:t>tool</w:t>
      </w:r>
      <w:r>
        <w:t xml:space="preserve">, Tool Registry menghapus lebih dari 22 ribu token </w:t>
      </w:r>
      <w:r>
        <w:rPr>
          <w:i/>
        </w:rPr>
        <w:t>overhead</w:t>
      </w:r>
      <w:r>
        <w:t xml:space="preserve"> per kueri, yang berarti penurunan biaya inferensi dan mitigasi langsung terhadap risiko </w:t>
      </w:r>
      <w:r>
        <w:rPr>
          <w:i/>
        </w:rPr>
        <w:t>context rot</w:t>
      </w:r>
      <w:r>
        <w:t xml:space="preserve"> yang diuraikan pada Bab II. Signifikansi statistik penghematan ini diuji pada Sub-bab 4.8.</w:t>
      </w:r>
    </w:p>
    <w:p>
      <w:pPr>
        <w:pStyle w:val="Heading2"/>
      </w:pPr>
      <w:r>
        <w:t>4.4 Analisis Tool Selection Accuracy</w:t>
      </w:r>
    </w:p>
    <w:p>
      <w:pPr>
        <w:ind w:firstLine="720"/>
        <w:jc w:val="both"/>
      </w:pPr>
      <w:r>
        <w:t xml:space="preserve">Akurasi pemilihan </w:t>
      </w:r>
      <w:r>
        <w:rPr>
          <w:i/>
        </w:rPr>
        <w:t>tool</w:t>
      </w:r>
      <w:r>
        <w:t xml:space="preserve"> dinilai secara biner terhadap </w:t>
      </w:r>
      <w:r>
        <w:rPr>
          <w:rFonts w:ascii="Courier New" w:hAnsi="Courier New"/>
        </w:rPr>
        <w:t>expected_tool</w:t>
      </w:r>
      <w:r>
        <w:t xml:space="preserve"> sebagai </w:t>
      </w:r>
      <w:r>
        <w:rPr>
          <w:i/>
        </w:rPr>
        <w:t>ground truth</w:t>
      </w:r>
      <w:r>
        <w:t xml:space="preserve">. Perbandingan akurasi </w:t>
      </w:r>
      <w:r>
        <w:rPr>
          <w:i/>
        </w:rPr>
        <w:t>baseline</w:t>
      </w:r>
      <w:r>
        <w:t xml:space="preserve"> dan </w:t>
      </w:r>
      <w:r>
        <w:rPr>
          <w:i/>
        </w:rPr>
        <w:t>registry</w:t>
      </w:r>
      <w:r>
        <w:t xml:space="preserve"> per skenario disajikan pada Gambar 4.2 dan Tabel 4.4.</w:t>
      </w:r>
    </w:p>
    <w:p>
      <w:pPr>
        <w:keepNext/>
        <w:spacing w:before="120"/>
        <w:jc w:val="center"/>
      </w:pPr>
      <w:r>
        <w:drawing>
          <wp:inline xmlns:a="http://schemas.openxmlformats.org/drawingml/2006/main" xmlns:pic="http://schemas.openxmlformats.org/drawingml/2006/picture">
            <wp:extent cx="4320000" cy="2400000"/>
            <wp:docPr id="6" name="Picture 6"/>
            <wp:cNvGraphicFramePr>
              <a:graphicFrameLocks noChangeAspect="1"/>
            </wp:cNvGraphicFramePr>
            <a:graphic>
              <a:graphicData uri="http://schemas.openxmlformats.org/drawingml/2006/picture">
                <pic:pic>
                  <pic:nvPicPr>
                    <pic:cNvPr id="0" name="tool_selection_accuracy.png"/>
                    <pic:cNvPicPr/>
                  </pic:nvPicPr>
                  <pic:blipFill>
                    <a:blip r:embed="rId16"/>
                    <a:stretch>
                      <a:fillRect/>
                    </a:stretch>
                  </pic:blipFill>
                  <pic:spPr>
                    <a:xfrm>
                      <a:off x="0" y="0"/>
                      <a:ext cx="4320000" cy="2400000"/>
                    </a:xfrm>
                    <a:prstGeom prst="rect"/>
                  </pic:spPr>
                </pic:pic>
              </a:graphicData>
            </a:graphic>
          </wp:inline>
        </w:drawing>
      </w:r>
    </w:p>
    <w:p>
      <w:pPr>
        <w:pStyle w:val="Caption"/>
        <w:jc w:val="center"/>
      </w:pPr>
      <w:r>
        <w:t>Gambar 4.</w:t>
      </w:r>
      <w:fldSimple w:instr=" SEQ Gambar \* ARABIC \s 1 ">
        <w:r>
          <w:t>1</w:t>
        </w:r>
      </w:fldSimple>
      <w:r>
        <w:t xml:space="preserve"> Perbandingan Akurasi Pemilihan Tool Baseline dan Registry.</w:t>
      </w:r>
    </w:p>
    <w:p>
      <w:pPr>
        <w:pStyle w:val="Caption"/>
        <w:keepNext/>
        <w:jc w:val="center"/>
      </w:pPr>
      <w:r>
        <w:t>Tabel 4.</w:t>
      </w:r>
      <w:fldSimple w:instr=" SEQ Tabel \* ARABIC \s 1 ">
        <w:r>
          <w:t>1</w:t>
        </w:r>
      </w:fldSimple>
      <w:r>
        <w:t xml:space="preserve"> Akurasi Pemilihan Tool per Skenario</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1984"/>
        <w:gridCol w:w="1984"/>
        <w:gridCol w:w="1984"/>
        <w:gridCol w:w="1984"/>
      </w:tblGrid>
      <w:tr>
        <w:trPr>
          <w:cantSplit/>
          <w:tblHeader/>
        </w:trPr>
        <w:tc>
          <w:tcPr>
            <w:tcW w:type="dxa" w:w="1984"/>
            <w:tcBorders>
              <w:top w:val="none"/>
              <w:bottom w:val="single" w:sz="8" w:space="0" w:color="000000"/>
              <w:left w:val="none"/>
              <w:right w:val="none"/>
            </w:tcBorders>
          </w:tcPr>
          <w:p>
            <w:pPr>
              <w:spacing w:line="240" w:lineRule="auto" w:after="0"/>
            </w:pPr>
            <w:r>
              <w:rPr>
                <w:b/>
                <w:sz w:val="20"/>
              </w:rPr>
            </w:r>
            <w:r>
              <w:rPr>
                <w:b/>
                <w:sz w:val="20"/>
              </w:rPr>
              <w:t>Skenario</w:t>
            </w:r>
          </w:p>
        </w:tc>
        <w:tc>
          <w:tcPr>
            <w:tcW w:type="dxa" w:w="1984"/>
            <w:tcBorders>
              <w:top w:val="none"/>
              <w:bottom w:val="single" w:sz="8" w:space="0" w:color="000000"/>
              <w:left w:val="none"/>
              <w:right w:val="none"/>
            </w:tcBorders>
          </w:tcPr>
          <w:p>
            <w:pPr>
              <w:spacing w:line="240" w:lineRule="auto" w:after="0"/>
            </w:pPr>
            <w:r>
              <w:rPr>
                <w:b/>
                <w:sz w:val="20"/>
              </w:rPr>
            </w:r>
            <w:r>
              <w:rPr>
                <w:b/>
                <w:sz w:val="20"/>
              </w:rPr>
              <w:t>Baseline</w:t>
            </w:r>
          </w:p>
        </w:tc>
        <w:tc>
          <w:tcPr>
            <w:tcW w:type="dxa" w:w="1984"/>
            <w:tcBorders>
              <w:top w:val="none"/>
              <w:bottom w:val="single" w:sz="8" w:space="0" w:color="000000"/>
              <w:left w:val="none"/>
              <w:right w:val="none"/>
            </w:tcBorders>
          </w:tcPr>
          <w:p>
            <w:pPr>
              <w:spacing w:line="240" w:lineRule="auto" w:after="0"/>
            </w:pPr>
            <w:r>
              <w:rPr>
                <w:b/>
                <w:sz w:val="20"/>
              </w:rPr>
            </w:r>
            <w:r>
              <w:rPr>
                <w:b/>
                <w:sz w:val="20"/>
              </w:rPr>
              <w:t>Registry</w:t>
            </w:r>
          </w:p>
        </w:tc>
        <w:tc>
          <w:tcPr>
            <w:tcW w:type="dxa" w:w="1984"/>
            <w:tcBorders>
              <w:top w:val="none"/>
              <w:bottom w:val="single" w:sz="8" w:space="0" w:color="000000"/>
              <w:left w:val="none"/>
              <w:right w:val="none"/>
            </w:tcBorders>
          </w:tcPr>
          <w:p>
            <w:pPr>
              <w:spacing w:line="240" w:lineRule="auto" w:after="0"/>
            </w:pPr>
            <w:r>
              <w:rPr>
                <w:b/>
                <w:sz w:val="20"/>
              </w:rPr>
            </w:r>
            <w:r>
              <w:rPr>
                <w:b/>
                <w:sz w:val="20"/>
              </w:rPr>
              <w:t>Selisih</w:t>
            </w:r>
          </w:p>
        </w:tc>
      </w:tr>
      <w:tr>
        <w:trPr>
          <w:cantSplit/>
        </w:trPr>
        <w:tc>
          <w:tcPr>
            <w:tcW w:type="dxa" w:w="1984"/>
          </w:tcPr>
          <w:p>
            <w:pPr>
              <w:spacing w:line="240" w:lineRule="auto" w:after="0"/>
            </w:pPr>
            <w:r>
              <w:rPr>
                <w:sz w:val="20"/>
              </w:rPr>
            </w:r>
            <w:r>
              <w:rPr>
                <w:sz w:val="20"/>
              </w:rPr>
              <w:t>S1</w:t>
            </w:r>
          </w:p>
        </w:tc>
        <w:tc>
          <w:tcPr>
            <w:tcW w:type="dxa" w:w="1984"/>
          </w:tcPr>
          <w:p>
            <w:pPr>
              <w:spacing w:line="240" w:lineRule="auto" w:after="0"/>
            </w:pPr>
            <w:r>
              <w:rPr>
                <w:sz w:val="20"/>
              </w:rPr>
            </w:r>
            <w:r>
              <w:rPr>
                <w:sz w:val="20"/>
              </w:rPr>
              <w:t>68,8%</w:t>
            </w:r>
          </w:p>
        </w:tc>
        <w:tc>
          <w:tcPr>
            <w:tcW w:type="dxa" w:w="1984"/>
          </w:tcPr>
          <w:p>
            <w:pPr>
              <w:spacing w:line="240" w:lineRule="auto" w:after="0"/>
            </w:pPr>
            <w:r>
              <w:rPr>
                <w:sz w:val="20"/>
              </w:rPr>
            </w:r>
            <w:r>
              <w:rPr>
                <w:sz w:val="20"/>
              </w:rPr>
              <w:t>75,0%</w:t>
            </w:r>
          </w:p>
        </w:tc>
        <w:tc>
          <w:tcPr>
            <w:tcW w:type="dxa" w:w="1984"/>
          </w:tcPr>
          <w:p>
            <w:pPr>
              <w:spacing w:line="240" w:lineRule="auto" w:after="0"/>
            </w:pPr>
            <w:r>
              <w:rPr>
                <w:sz w:val="20"/>
              </w:rPr>
            </w:r>
            <w:r>
              <w:rPr>
                <w:sz w:val="20"/>
              </w:rPr>
              <w:t>+6,3 pp</w:t>
            </w:r>
          </w:p>
        </w:tc>
      </w:tr>
      <w:tr>
        <w:trPr>
          <w:cantSplit/>
        </w:trPr>
        <w:tc>
          <w:tcPr>
            <w:tcW w:type="dxa" w:w="1984"/>
          </w:tcPr>
          <w:p>
            <w:pPr>
              <w:spacing w:line="240" w:lineRule="auto" w:after="0"/>
            </w:pPr>
            <w:r>
              <w:rPr>
                <w:sz w:val="20"/>
              </w:rPr>
            </w:r>
            <w:r>
              <w:rPr>
                <w:sz w:val="20"/>
              </w:rPr>
              <w:t>S2</w:t>
            </w:r>
          </w:p>
        </w:tc>
        <w:tc>
          <w:tcPr>
            <w:tcW w:type="dxa" w:w="1984"/>
          </w:tcPr>
          <w:p>
            <w:pPr>
              <w:spacing w:line="240" w:lineRule="auto" w:after="0"/>
            </w:pPr>
            <w:r>
              <w:rPr>
                <w:sz w:val="20"/>
              </w:rPr>
            </w:r>
            <w:r>
              <w:rPr>
                <w:sz w:val="20"/>
              </w:rPr>
              <w:t>71,4%</w:t>
            </w:r>
          </w:p>
        </w:tc>
        <w:tc>
          <w:tcPr>
            <w:tcW w:type="dxa" w:w="1984"/>
          </w:tcPr>
          <w:p>
            <w:pPr>
              <w:spacing w:line="240" w:lineRule="auto" w:after="0"/>
            </w:pPr>
            <w:r>
              <w:rPr>
                <w:sz w:val="20"/>
              </w:rPr>
            </w:r>
            <w:r>
              <w:rPr>
                <w:sz w:val="20"/>
              </w:rPr>
              <w:t>71,4%</w:t>
            </w:r>
          </w:p>
        </w:tc>
        <w:tc>
          <w:tcPr>
            <w:tcW w:type="dxa" w:w="1984"/>
          </w:tcPr>
          <w:p>
            <w:pPr>
              <w:spacing w:line="240" w:lineRule="auto" w:after="0"/>
            </w:pPr>
            <w:r>
              <w:rPr>
                <w:sz w:val="20"/>
              </w:rPr>
            </w:r>
            <w:r>
              <w:rPr>
                <w:sz w:val="20"/>
              </w:rPr>
              <w:t>0 pp</w:t>
            </w:r>
          </w:p>
        </w:tc>
      </w:tr>
      <w:tr>
        <w:trPr>
          <w:cantSplit/>
        </w:trPr>
        <w:tc>
          <w:tcPr>
            <w:tcW w:type="dxa" w:w="1984"/>
          </w:tcPr>
          <w:p>
            <w:pPr>
              <w:spacing w:line="240" w:lineRule="auto" w:after="0"/>
            </w:pPr>
            <w:r>
              <w:rPr>
                <w:sz w:val="20"/>
              </w:rPr>
            </w:r>
            <w:r>
              <w:rPr>
                <w:sz w:val="20"/>
              </w:rPr>
              <w:t>S3</w:t>
            </w:r>
          </w:p>
        </w:tc>
        <w:tc>
          <w:tcPr>
            <w:tcW w:type="dxa" w:w="1984"/>
          </w:tcPr>
          <w:p>
            <w:pPr>
              <w:spacing w:line="240" w:lineRule="auto" w:after="0"/>
            </w:pPr>
            <w:r>
              <w:rPr>
                <w:sz w:val="20"/>
              </w:rPr>
            </w:r>
            <w:r>
              <w:rPr>
                <w:sz w:val="20"/>
              </w:rPr>
              <w:t>71,4%</w:t>
            </w:r>
          </w:p>
        </w:tc>
        <w:tc>
          <w:tcPr>
            <w:tcW w:type="dxa" w:w="1984"/>
          </w:tcPr>
          <w:p>
            <w:pPr>
              <w:spacing w:line="240" w:lineRule="auto" w:after="0"/>
            </w:pPr>
            <w:r>
              <w:rPr>
                <w:sz w:val="20"/>
              </w:rPr>
            </w:r>
            <w:r>
              <w:rPr>
                <w:sz w:val="20"/>
              </w:rPr>
              <w:t>77,6%</w:t>
            </w:r>
          </w:p>
        </w:tc>
        <w:tc>
          <w:tcPr>
            <w:tcW w:type="dxa" w:w="1984"/>
          </w:tcPr>
          <w:p>
            <w:pPr>
              <w:spacing w:line="240" w:lineRule="auto" w:after="0"/>
            </w:pPr>
            <w:r>
              <w:rPr>
                <w:sz w:val="20"/>
              </w:rPr>
            </w:r>
            <w:r>
              <w:rPr>
                <w:sz w:val="20"/>
              </w:rPr>
              <w:t>+6,3 pp</w:t>
            </w:r>
          </w:p>
        </w:tc>
      </w:tr>
    </w:tbl>
    <w:p>
      <w:pPr>
        <w:ind w:firstLine="720"/>
        <w:jc w:val="both"/>
      </w:pPr>
      <w:r>
        <w:t xml:space="preserve">Mode </w:t>
      </w:r>
      <w:r>
        <w:rPr>
          <w:i/>
        </w:rPr>
        <w:t>registry</w:t>
      </w:r>
      <w:r>
        <w:t xml:space="preserve"> meningkatkan akurasi sebesar +6,3 poin persentase pada skenario S1 dan S3, serta setara pada S2. Temuan ini menunjukkan bahwa penyaringan </w:t>
      </w:r>
      <w:r>
        <w:rPr>
          <w:i/>
        </w:rPr>
        <w:t>tool</w:t>
      </w:r>
      <w:r>
        <w:t xml:space="preserve"> tidak mengorbankan akurasi — bahkan cenderung memperbaikinya — karena dengan meneruskan hanya himpunan </w:t>
      </w:r>
      <w:r>
        <w:rPr>
          <w:i/>
        </w:rPr>
        <w:t>tool</w:t>
      </w:r>
      <w:r>
        <w:t xml:space="preserve"> relevan, model terhindar dari kebingungan akibat </w:t>
      </w:r>
      <w:r>
        <w:rPr>
          <w:i/>
        </w:rPr>
        <w:t>bloated tool sets</w:t>
      </w:r>
      <w:r>
        <w:t xml:space="preserve">. Yang patut dicatat, perbaikan akurasi pada S3 (katalog terbesar) justru paling konsisten, sejalan dengan prinsip bahwa pengurangan </w:t>
      </w:r>
      <w:r>
        <w:rPr>
          <w:i/>
        </w:rPr>
        <w:t>noise</w:t>
      </w:r>
      <w:r>
        <w:t xml:space="preserve"> konteks paling bermanfaat ketika katalog membesar.</w:t>
      </w:r>
    </w:p>
    <w:p>
      <w:pPr>
        <w:ind w:firstLine="720"/>
        <w:jc w:val="both"/>
      </w:pPr>
      <w:r>
        <w:t>Meskipun arah perbaikan akurasi konsisten dan positif, besarnya peningkatan (+6,3 pp) belum mencapai signifikansi statistik pada taraf α=0,05 (lihat Sub-bab 4.8). Oleh karena itu, peningkatan akurasi dilaporkan sebagai tren positif yang konsisten, sedangkan klaim utama penelitian difokuskan pada penghematan token yang terbukti signifikan kuat secara statistik.</w:t>
      </w:r>
    </w:p>
    <w:p>
      <w:pPr>
        <w:pStyle w:val="Heading2"/>
      </w:pPr>
      <w:r>
        <w:t>4.5 Analisis Sub-linear Scalability</w:t>
      </w:r>
    </w:p>
    <w:p>
      <w:pPr>
        <w:ind w:firstLine="720"/>
        <w:jc w:val="both"/>
      </w:pPr>
      <w:r>
        <w:t xml:space="preserve">Properti skalabilitas </w:t>
      </w:r>
      <w:r>
        <w:rPr>
          <w:i/>
        </w:rPr>
        <w:t>sub-linear</w:t>
      </w:r>
      <w:r>
        <w:t xml:space="preserve"> merupakan kontribusi arsitektural utama Tool Registry. Gambar 4.3 dan Tabel 4.5 membandingkan jumlah </w:t>
      </w:r>
      <w:r>
        <w:rPr>
          <w:i/>
        </w:rPr>
        <w:t>tool</w:t>
      </w:r>
      <w:r>
        <w:t xml:space="preserve"> yang terlihat oleh LLM antara kedua mode.</w:t>
      </w:r>
    </w:p>
    <w:p>
      <w:pPr>
        <w:keepNext/>
        <w:spacing w:before="120"/>
        <w:jc w:val="center"/>
      </w:pPr>
      <w:r>
        <w:drawing>
          <wp:inline xmlns:a="http://schemas.openxmlformats.org/drawingml/2006/main" xmlns:pic="http://schemas.openxmlformats.org/drawingml/2006/picture">
            <wp:extent cx="4320000" cy="2400000"/>
            <wp:docPr id="7" name="Picture 7"/>
            <wp:cNvGraphicFramePr>
              <a:graphicFrameLocks noChangeAspect="1"/>
            </wp:cNvGraphicFramePr>
            <a:graphic>
              <a:graphicData uri="http://schemas.openxmlformats.org/drawingml/2006/picture">
                <pic:pic>
                  <pic:nvPicPr>
                    <pic:cNvPr id="0" name="visible_tools_scaling.png"/>
                    <pic:cNvPicPr/>
                  </pic:nvPicPr>
                  <pic:blipFill>
                    <a:blip r:embed="rId17"/>
                    <a:stretch>
                      <a:fillRect/>
                    </a:stretch>
                  </pic:blipFill>
                  <pic:spPr>
                    <a:xfrm>
                      <a:off x="0" y="0"/>
                      <a:ext cx="4320000" cy="2400000"/>
                    </a:xfrm>
                    <a:prstGeom prst="rect"/>
                  </pic:spPr>
                </pic:pic>
              </a:graphicData>
            </a:graphic>
          </wp:inline>
        </w:drawing>
      </w:r>
    </w:p>
    <w:p>
      <w:pPr>
        <w:pStyle w:val="Caption"/>
        <w:jc w:val="center"/>
      </w:pPr>
      <w:r>
        <w:t>Gambar 4.</w:t>
      </w:r>
      <w:fldSimple w:instr=" SEQ Gambar \* ARABIC \s 1 ">
        <w:r>
          <w:t>1</w:t>
        </w:r>
      </w:fldSimple>
      <w:r>
        <w:t xml:space="preserve"> Jumlah Tool Terlihat oleh LLM terhadap Ukuran Katalog.</w:t>
      </w:r>
    </w:p>
    <w:p>
      <w:pPr>
        <w:pStyle w:val="Caption"/>
        <w:keepNext/>
        <w:jc w:val="center"/>
      </w:pPr>
      <w:r>
        <w:t>Tabel 4.</w:t>
      </w:r>
      <w:fldSimple w:instr=" SEQ Tabel \* ARABIC \s 1 ">
        <w:r>
          <w:t>1</w:t>
        </w:r>
      </w:fldSimple>
      <w:r>
        <w:t xml:space="preserve"> Jumlah Tool Terlihat dan Kompleksitas Penskalaan</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1984"/>
        <w:gridCol w:w="1984"/>
        <w:gridCol w:w="1984"/>
        <w:gridCol w:w="1984"/>
      </w:tblGrid>
      <w:tr>
        <w:trPr>
          <w:cantSplit/>
          <w:tblHeader/>
        </w:trPr>
        <w:tc>
          <w:tcPr>
            <w:tcW w:type="dxa" w:w="1984"/>
            <w:tcBorders>
              <w:top w:val="none"/>
              <w:bottom w:val="single" w:sz="8" w:space="0" w:color="000000"/>
              <w:left w:val="none"/>
              <w:right w:val="none"/>
            </w:tcBorders>
          </w:tcPr>
          <w:p>
            <w:pPr>
              <w:spacing w:line="240" w:lineRule="auto" w:after="0"/>
            </w:pPr>
            <w:r>
              <w:rPr>
                <w:b/>
                <w:sz w:val="20"/>
              </w:rPr>
            </w:r>
            <w:r>
              <w:rPr>
                <w:b/>
                <w:sz w:val="20"/>
              </w:rPr>
              <w:t>Skenario</w:t>
            </w:r>
          </w:p>
        </w:tc>
        <w:tc>
          <w:tcPr>
            <w:tcW w:type="dxa" w:w="1984"/>
            <w:tcBorders>
              <w:top w:val="none"/>
              <w:bottom w:val="single" w:sz="8" w:space="0" w:color="000000"/>
              <w:left w:val="none"/>
              <w:right w:val="none"/>
            </w:tcBorders>
          </w:tcPr>
          <w:p>
            <w:pPr>
              <w:spacing w:line="240" w:lineRule="auto" w:after="0"/>
            </w:pPr>
            <w:r>
              <w:rPr>
                <w:b/>
                <w:sz w:val="20"/>
              </w:rPr>
            </w:r>
            <w:r>
              <w:rPr>
                <w:b/>
                <w:sz w:val="20"/>
              </w:rPr>
              <w:t>Total Tool Katalog</w:t>
            </w:r>
          </w:p>
        </w:tc>
        <w:tc>
          <w:tcPr>
            <w:tcW w:type="dxa" w:w="1984"/>
            <w:tcBorders>
              <w:top w:val="none"/>
              <w:bottom w:val="single" w:sz="8" w:space="0" w:color="000000"/>
              <w:left w:val="none"/>
              <w:right w:val="none"/>
            </w:tcBorders>
          </w:tcPr>
          <w:p>
            <w:pPr>
              <w:spacing w:line="240" w:lineRule="auto" w:after="0"/>
            </w:pPr>
            <w:r>
              <w:rPr>
                <w:b/>
                <w:sz w:val="20"/>
              </w:rPr>
            </w:r>
            <w:r>
              <w:rPr>
                <w:b/>
                <w:sz w:val="20"/>
              </w:rPr>
              <w:t>Tool Terlihat (Baseline)</w:t>
            </w:r>
          </w:p>
        </w:tc>
        <w:tc>
          <w:tcPr>
            <w:tcW w:type="dxa" w:w="1984"/>
            <w:tcBorders>
              <w:top w:val="none"/>
              <w:bottom w:val="single" w:sz="8" w:space="0" w:color="000000"/>
              <w:left w:val="none"/>
              <w:right w:val="none"/>
            </w:tcBorders>
          </w:tcPr>
          <w:p>
            <w:pPr>
              <w:spacing w:line="240" w:lineRule="auto" w:after="0"/>
            </w:pPr>
            <w:r>
              <w:rPr>
                <w:b/>
                <w:sz w:val="20"/>
              </w:rPr>
            </w:r>
            <w:r>
              <w:rPr>
                <w:b/>
                <w:sz w:val="20"/>
              </w:rPr>
              <w:t>Tool Terlihat (Registry)</w:t>
            </w:r>
          </w:p>
        </w:tc>
      </w:tr>
      <w:tr>
        <w:trPr>
          <w:cantSplit/>
        </w:trPr>
        <w:tc>
          <w:tcPr>
            <w:tcW w:type="dxa" w:w="1984"/>
          </w:tcPr>
          <w:p>
            <w:pPr>
              <w:spacing w:line="240" w:lineRule="auto" w:after="0"/>
            </w:pPr>
            <w:r>
              <w:rPr>
                <w:sz w:val="20"/>
              </w:rPr>
            </w:r>
            <w:r>
              <w:rPr>
                <w:sz w:val="20"/>
              </w:rPr>
              <w:t>S1</w:t>
            </w:r>
          </w:p>
        </w:tc>
        <w:tc>
          <w:tcPr>
            <w:tcW w:type="dxa" w:w="1984"/>
          </w:tcPr>
          <w:p>
            <w:pPr>
              <w:spacing w:line="240" w:lineRule="auto" w:after="0"/>
            </w:pPr>
            <w:r>
              <w:rPr>
                <w:sz w:val="20"/>
              </w:rPr>
            </w:r>
            <w:r>
              <w:rPr>
                <w:sz w:val="20"/>
              </w:rPr>
              <w:t>30</w:t>
            </w:r>
          </w:p>
        </w:tc>
        <w:tc>
          <w:tcPr>
            <w:tcW w:type="dxa" w:w="1984"/>
          </w:tcPr>
          <w:p>
            <w:pPr>
              <w:spacing w:line="240" w:lineRule="auto" w:after="0"/>
            </w:pPr>
            <w:r>
              <w:rPr>
                <w:sz w:val="20"/>
              </w:rPr>
            </w:r>
            <w:r>
              <w:rPr>
                <w:sz w:val="20"/>
              </w:rPr>
              <w:t>30</w:t>
            </w:r>
          </w:p>
        </w:tc>
        <w:tc>
          <w:tcPr>
            <w:tcW w:type="dxa" w:w="1984"/>
          </w:tcPr>
          <w:p>
            <w:pPr>
              <w:spacing w:line="240" w:lineRule="auto" w:after="0"/>
            </w:pPr>
            <w:r>
              <w:rPr>
                <w:sz w:val="20"/>
              </w:rPr>
            </w:r>
            <w:r>
              <w:rPr>
                <w:sz w:val="20"/>
              </w:rPr>
              <w:t>10,6</w:t>
            </w:r>
          </w:p>
        </w:tc>
      </w:tr>
      <w:tr>
        <w:trPr>
          <w:cantSplit/>
        </w:trPr>
        <w:tc>
          <w:tcPr>
            <w:tcW w:type="dxa" w:w="1984"/>
          </w:tcPr>
          <w:p>
            <w:pPr>
              <w:spacing w:line="240" w:lineRule="auto" w:after="0"/>
            </w:pPr>
            <w:r>
              <w:rPr>
                <w:sz w:val="20"/>
              </w:rPr>
            </w:r>
            <w:r>
              <w:rPr>
                <w:sz w:val="20"/>
              </w:rPr>
              <w:t>S2</w:t>
            </w:r>
          </w:p>
        </w:tc>
        <w:tc>
          <w:tcPr>
            <w:tcW w:type="dxa" w:w="1984"/>
          </w:tcPr>
          <w:p>
            <w:pPr>
              <w:spacing w:line="240" w:lineRule="auto" w:after="0"/>
            </w:pPr>
            <w:r>
              <w:rPr>
                <w:sz w:val="20"/>
              </w:rPr>
            </w:r>
            <w:r>
              <w:rPr>
                <w:sz w:val="20"/>
              </w:rPr>
              <w:t>100</w:t>
            </w:r>
          </w:p>
        </w:tc>
        <w:tc>
          <w:tcPr>
            <w:tcW w:type="dxa" w:w="1984"/>
          </w:tcPr>
          <w:p>
            <w:pPr>
              <w:spacing w:line="240" w:lineRule="auto" w:after="0"/>
            </w:pPr>
            <w:r>
              <w:rPr>
                <w:sz w:val="20"/>
              </w:rPr>
            </w:r>
            <w:r>
              <w:rPr>
                <w:sz w:val="20"/>
              </w:rPr>
              <w:t>100</w:t>
            </w:r>
          </w:p>
        </w:tc>
        <w:tc>
          <w:tcPr>
            <w:tcW w:type="dxa" w:w="1984"/>
          </w:tcPr>
          <w:p>
            <w:pPr>
              <w:spacing w:line="240" w:lineRule="auto" w:after="0"/>
            </w:pPr>
            <w:r>
              <w:rPr>
                <w:sz w:val="20"/>
              </w:rPr>
            </w:r>
            <w:r>
              <w:rPr>
                <w:sz w:val="20"/>
              </w:rPr>
              <w:t>15</w:t>
            </w:r>
          </w:p>
        </w:tc>
      </w:tr>
      <w:tr>
        <w:trPr>
          <w:cantSplit/>
        </w:trPr>
        <w:tc>
          <w:tcPr>
            <w:tcW w:type="dxa" w:w="1984"/>
          </w:tcPr>
          <w:p>
            <w:pPr>
              <w:spacing w:line="240" w:lineRule="auto" w:after="0"/>
            </w:pPr>
            <w:r>
              <w:rPr>
                <w:sz w:val="20"/>
              </w:rPr>
            </w:r>
            <w:r>
              <w:rPr>
                <w:sz w:val="20"/>
              </w:rPr>
              <w:t>S3</w:t>
            </w:r>
          </w:p>
        </w:tc>
        <w:tc>
          <w:tcPr>
            <w:tcW w:type="dxa" w:w="1984"/>
          </w:tcPr>
          <w:p>
            <w:pPr>
              <w:spacing w:line="240" w:lineRule="auto" w:after="0"/>
            </w:pPr>
            <w:r>
              <w:rPr>
                <w:sz w:val="20"/>
              </w:rPr>
            </w:r>
            <w:r>
              <w:rPr>
                <w:sz w:val="20"/>
              </w:rPr>
              <w:t>300</w:t>
            </w:r>
          </w:p>
        </w:tc>
        <w:tc>
          <w:tcPr>
            <w:tcW w:type="dxa" w:w="1984"/>
          </w:tcPr>
          <w:p>
            <w:pPr>
              <w:spacing w:line="240" w:lineRule="auto" w:after="0"/>
            </w:pPr>
            <w:r>
              <w:rPr>
                <w:sz w:val="20"/>
              </w:rPr>
            </w:r>
            <w:r>
              <w:rPr>
                <w:sz w:val="20"/>
              </w:rPr>
              <w:t>300</w:t>
            </w:r>
          </w:p>
        </w:tc>
        <w:tc>
          <w:tcPr>
            <w:tcW w:type="dxa" w:w="1984"/>
          </w:tcPr>
          <w:p>
            <w:pPr>
              <w:spacing w:line="240" w:lineRule="auto" w:after="0"/>
            </w:pPr>
            <w:r>
              <w:rPr>
                <w:sz w:val="20"/>
              </w:rPr>
            </w:r>
            <w:r>
              <w:rPr>
                <w:sz w:val="20"/>
              </w:rPr>
              <w:t>15</w:t>
            </w:r>
          </w:p>
        </w:tc>
      </w:tr>
    </w:tbl>
    <w:p>
      <w:pPr>
        <w:ind w:firstLine="720"/>
        <w:jc w:val="both"/>
      </w:pPr>
      <w:r>
        <w:t xml:space="preserve">Pada mode </w:t>
      </w:r>
      <w:r>
        <w:rPr>
          <w:i/>
        </w:rPr>
        <w:t>baseline</w:t>
      </w:r>
      <w:r>
        <w:t xml:space="preserve">, jumlah </w:t>
      </w:r>
      <w:r>
        <w:rPr>
          <w:i/>
        </w:rPr>
        <w:t>tool</w:t>
      </w:r>
      <w:r>
        <w:t xml:space="preserve"> yang terlihat tumbuh secara O(N) — mengikuti persis ukuran katalog (30, 100, 300). Sebaliknya, pada mode </w:t>
      </w:r>
      <w:r>
        <w:rPr>
          <w:i/>
        </w:rPr>
        <w:t>registry</w:t>
      </w:r>
      <w:r>
        <w:t xml:space="preserve">, jumlah </w:t>
      </w:r>
      <w:r>
        <w:rPr>
          <w:i/>
        </w:rPr>
        <w:t>tool</w:t>
      </w:r>
      <w:r>
        <w:t xml:space="preserve"> terlihat tertahan pada </w:t>
      </w:r>
      <w:r>
        <w:rPr>
          <w:i/>
        </w:rPr>
        <w:t>budget cap</w:t>
      </w:r>
      <w:r>
        <w:t xml:space="preserve"> sebesar 15 </w:t>
      </w:r>
      <w:r>
        <w:rPr>
          <w:i/>
        </w:rPr>
        <w:t>tool</w:t>
      </w:r>
      <w:r>
        <w:t xml:space="preserve">, bahkan hanya 10,6 </w:t>
      </w:r>
      <w:r>
        <w:rPr>
          <w:i/>
        </w:rPr>
        <w:t>tool</w:t>
      </w:r>
      <w:r>
        <w:t xml:space="preserve"> rata-rata pada S1 karena sebagian kueri menghasilkan kandidat lebih sedikit dari anggaran. Sebagaimana terlihat pada Gambar 4.3, kurva </w:t>
      </w:r>
      <w:r>
        <w:rPr>
          <w:i/>
        </w:rPr>
        <w:t>registry</w:t>
      </w:r>
      <w:r>
        <w:t xml:space="preserve"> mendatar (O(1)) sementara kurva </w:t>
      </w:r>
      <w:r>
        <w:rPr>
          <w:i/>
        </w:rPr>
        <w:t>baseline</w:t>
      </w:r>
      <w:r>
        <w:t xml:space="preserve"> menanjak linear. Properti O(1) inilah yang menjawab rumusan masalah keempat: katalog dapat tumbuh dari 30 ke 300 </w:t>
      </w:r>
      <w:r>
        <w:rPr>
          <w:i/>
        </w:rPr>
        <w:t>tool</w:t>
      </w:r>
      <w:r>
        <w:t xml:space="preserve"> tanpa menambah beban konteks yang dilihat LLM, sehingga skalabilitas AI Agent zerlo.id tidak lagi dibatasi oleh ukuran katalog </w:t>
      </w:r>
      <w:r>
        <w:rPr>
          <w:i/>
        </w:rPr>
        <w:t>tool</w:t>
      </w:r>
      <w:r>
        <w:t>.</w:t>
      </w:r>
    </w:p>
    <w:p>
      <w:pPr>
        <w:pStyle w:val="Heading2"/>
      </w:pPr>
      <w:r>
        <w:t>4.6 Analisis Memory Footprint</w:t>
      </w:r>
    </w:p>
    <w:p>
      <w:pPr>
        <w:ind w:firstLine="720"/>
        <w:jc w:val="both"/>
      </w:pPr>
      <w:r>
        <w:t>Jejak memori (</w:t>
      </w:r>
      <w:r>
        <w:rPr>
          <w:i/>
        </w:rPr>
        <w:t>memory footprint</w:t>
      </w:r>
      <w:r>
        <w:t xml:space="preserve">) registry diukur untuk memastikan bahwa </w:t>
      </w:r>
      <w:r>
        <w:rPr>
          <w:i/>
        </w:rPr>
        <w:t>overhead</w:t>
      </w:r>
      <w:r>
        <w:t xml:space="preserve"> struktur metadata tetap kecil dan dapat dikelola. Hasil pengukuran disajikan pada Gambar 4.4 dan Tabel 4.6.</w:t>
      </w:r>
    </w:p>
    <w:p>
      <w:pPr>
        <w:keepNext/>
        <w:spacing w:before="120"/>
        <w:jc w:val="center"/>
      </w:pPr>
      <w:r>
        <w:drawing>
          <wp:inline xmlns:a="http://schemas.openxmlformats.org/drawingml/2006/main" xmlns:pic="http://schemas.openxmlformats.org/drawingml/2006/picture">
            <wp:extent cx="4320000" cy="2400000"/>
            <wp:docPr id="8" name="Picture 8"/>
            <wp:cNvGraphicFramePr>
              <a:graphicFrameLocks noChangeAspect="1"/>
            </wp:cNvGraphicFramePr>
            <a:graphic>
              <a:graphicData uri="http://schemas.openxmlformats.org/drawingml/2006/picture">
                <pic:pic>
                  <pic:nvPicPr>
                    <pic:cNvPr id="0" name="memory_footprint.png"/>
                    <pic:cNvPicPr/>
                  </pic:nvPicPr>
                  <pic:blipFill>
                    <a:blip r:embed="rId18"/>
                    <a:stretch>
                      <a:fillRect/>
                    </a:stretch>
                  </pic:blipFill>
                  <pic:spPr>
                    <a:xfrm>
                      <a:off x="0" y="0"/>
                      <a:ext cx="4320000" cy="2400000"/>
                    </a:xfrm>
                    <a:prstGeom prst="rect"/>
                  </pic:spPr>
                </pic:pic>
              </a:graphicData>
            </a:graphic>
          </wp:inline>
        </w:drawing>
      </w:r>
    </w:p>
    <w:p>
      <w:pPr>
        <w:pStyle w:val="Caption"/>
        <w:jc w:val="center"/>
      </w:pPr>
      <w:r>
        <w:t>Gambar 4.</w:t>
      </w:r>
      <w:fldSimple w:instr=" SEQ Gambar \* ARABIC \s 1 ">
        <w:r>
          <w:t>1</w:t>
        </w:r>
      </w:fldSimple>
      <w:r>
        <w:t xml:space="preserve"> Jejak Memori Registry terhadap Ukuran Katalog.</w:t>
      </w:r>
    </w:p>
    <w:p>
      <w:pPr>
        <w:pStyle w:val="Caption"/>
        <w:keepNext/>
        <w:jc w:val="center"/>
      </w:pPr>
      <w:r>
        <w:t>Tabel 4.</w:t>
      </w:r>
      <w:fldSimple w:instr=" SEQ Tabel \* ARABIC \s 1 ">
        <w:r>
          <w:t>1</w:t>
        </w:r>
      </w:fldSimple>
      <w:r>
        <w:t xml:space="preserve"> Jejak Memori Registry per Skenario</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1984"/>
        <w:gridCol w:w="1984"/>
        <w:gridCol w:w="1984"/>
        <w:gridCol w:w="1984"/>
      </w:tblGrid>
      <w:tr>
        <w:trPr>
          <w:cantSplit/>
          <w:tblHeader/>
        </w:trPr>
        <w:tc>
          <w:tcPr>
            <w:tcW w:type="dxa" w:w="1984"/>
            <w:tcBorders>
              <w:top w:val="none"/>
              <w:bottom w:val="single" w:sz="8" w:space="0" w:color="000000"/>
              <w:left w:val="none"/>
              <w:right w:val="none"/>
            </w:tcBorders>
          </w:tcPr>
          <w:p>
            <w:pPr>
              <w:spacing w:line="240" w:lineRule="auto" w:after="0"/>
            </w:pPr>
            <w:r>
              <w:rPr>
                <w:b/>
                <w:sz w:val="20"/>
              </w:rPr>
            </w:r>
            <w:r>
              <w:rPr>
                <w:b/>
                <w:sz w:val="20"/>
              </w:rPr>
              <w:t>Skenario</w:t>
            </w:r>
          </w:p>
        </w:tc>
        <w:tc>
          <w:tcPr>
            <w:tcW w:type="dxa" w:w="1984"/>
            <w:tcBorders>
              <w:top w:val="none"/>
              <w:bottom w:val="single" w:sz="8" w:space="0" w:color="000000"/>
              <w:left w:val="none"/>
              <w:right w:val="none"/>
            </w:tcBorders>
          </w:tcPr>
          <w:p>
            <w:pPr>
              <w:spacing w:line="240" w:lineRule="auto" w:after="0"/>
            </w:pPr>
            <w:r>
              <w:rPr>
                <w:b/>
                <w:sz w:val="20"/>
              </w:rPr>
            </w:r>
            <w:r>
              <w:rPr>
                <w:b/>
                <w:sz w:val="20"/>
              </w:rPr>
              <w:t>Total Tool</w:t>
            </w:r>
          </w:p>
        </w:tc>
        <w:tc>
          <w:tcPr>
            <w:tcW w:type="dxa" w:w="1984"/>
            <w:tcBorders>
              <w:top w:val="none"/>
              <w:bottom w:val="single" w:sz="8" w:space="0" w:color="000000"/>
              <w:left w:val="none"/>
              <w:right w:val="none"/>
            </w:tcBorders>
          </w:tcPr>
          <w:p>
            <w:pPr>
              <w:spacing w:line="240" w:lineRule="auto" w:after="0"/>
            </w:pPr>
            <w:r>
              <w:rPr>
                <w:b/>
                <w:sz w:val="20"/>
              </w:rPr>
            </w:r>
            <w:r>
              <w:rPr>
                <w:b/>
                <w:sz w:val="20"/>
              </w:rPr>
              <w:t>Jejak Memori (byte)</w:t>
            </w:r>
          </w:p>
        </w:tc>
        <w:tc>
          <w:tcPr>
            <w:tcW w:type="dxa" w:w="1984"/>
            <w:tcBorders>
              <w:top w:val="none"/>
              <w:bottom w:val="single" w:sz="8" w:space="0" w:color="000000"/>
              <w:left w:val="none"/>
              <w:right w:val="none"/>
            </w:tcBorders>
          </w:tcPr>
          <w:p>
            <w:pPr>
              <w:spacing w:line="240" w:lineRule="auto" w:after="0"/>
            </w:pPr>
            <w:r>
              <w:rPr>
                <w:b/>
                <w:sz w:val="20"/>
              </w:rPr>
            </w:r>
            <w:r>
              <w:rPr>
                <w:b/>
                <w:sz w:val="20"/>
              </w:rPr>
              <w:t>Setara</w:t>
            </w:r>
          </w:p>
        </w:tc>
      </w:tr>
      <w:tr>
        <w:trPr>
          <w:cantSplit/>
        </w:trPr>
        <w:tc>
          <w:tcPr>
            <w:tcW w:type="dxa" w:w="1984"/>
          </w:tcPr>
          <w:p>
            <w:pPr>
              <w:spacing w:line="240" w:lineRule="auto" w:after="0"/>
            </w:pPr>
            <w:r>
              <w:rPr>
                <w:sz w:val="20"/>
              </w:rPr>
            </w:r>
            <w:r>
              <w:rPr>
                <w:sz w:val="20"/>
              </w:rPr>
              <w:t>S1</w:t>
            </w:r>
          </w:p>
        </w:tc>
        <w:tc>
          <w:tcPr>
            <w:tcW w:type="dxa" w:w="1984"/>
          </w:tcPr>
          <w:p>
            <w:pPr>
              <w:spacing w:line="240" w:lineRule="auto" w:after="0"/>
            </w:pPr>
            <w:r>
              <w:rPr>
                <w:sz w:val="20"/>
              </w:rPr>
            </w:r>
            <w:r>
              <w:rPr>
                <w:sz w:val="20"/>
              </w:rPr>
              <w:t>30</w:t>
            </w:r>
          </w:p>
        </w:tc>
        <w:tc>
          <w:tcPr>
            <w:tcW w:type="dxa" w:w="1984"/>
          </w:tcPr>
          <w:p>
            <w:pPr>
              <w:spacing w:line="240" w:lineRule="auto" w:after="0"/>
            </w:pPr>
            <w:r>
              <w:rPr>
                <w:sz w:val="20"/>
              </w:rPr>
            </w:r>
            <w:r>
              <w:rPr>
                <w:sz w:val="20"/>
              </w:rPr>
              <w:t>22.662</w:t>
            </w:r>
          </w:p>
        </w:tc>
        <w:tc>
          <w:tcPr>
            <w:tcW w:type="dxa" w:w="1984"/>
          </w:tcPr>
          <w:p>
            <w:pPr>
              <w:spacing w:line="240" w:lineRule="auto" w:after="0"/>
            </w:pPr>
            <w:r>
              <w:rPr>
                <w:sz w:val="20"/>
              </w:rPr>
            </w:r>
            <w:r>
              <w:rPr>
                <w:sz w:val="20"/>
              </w:rPr>
              <w:t>≈22 KB</w:t>
            </w:r>
          </w:p>
        </w:tc>
      </w:tr>
      <w:tr>
        <w:trPr>
          <w:cantSplit/>
        </w:trPr>
        <w:tc>
          <w:tcPr>
            <w:tcW w:type="dxa" w:w="1984"/>
          </w:tcPr>
          <w:p>
            <w:pPr>
              <w:spacing w:line="240" w:lineRule="auto" w:after="0"/>
            </w:pPr>
            <w:r>
              <w:rPr>
                <w:sz w:val="20"/>
              </w:rPr>
            </w:r>
            <w:r>
              <w:rPr>
                <w:sz w:val="20"/>
              </w:rPr>
              <w:t>S2</w:t>
            </w:r>
          </w:p>
        </w:tc>
        <w:tc>
          <w:tcPr>
            <w:tcW w:type="dxa" w:w="1984"/>
          </w:tcPr>
          <w:p>
            <w:pPr>
              <w:spacing w:line="240" w:lineRule="auto" w:after="0"/>
            </w:pPr>
            <w:r>
              <w:rPr>
                <w:sz w:val="20"/>
              </w:rPr>
            </w:r>
            <w:r>
              <w:rPr>
                <w:sz w:val="20"/>
              </w:rPr>
              <w:t>100</w:t>
            </w:r>
          </w:p>
        </w:tc>
        <w:tc>
          <w:tcPr>
            <w:tcW w:type="dxa" w:w="1984"/>
          </w:tcPr>
          <w:p>
            <w:pPr>
              <w:spacing w:line="240" w:lineRule="auto" w:after="0"/>
            </w:pPr>
            <w:r>
              <w:rPr>
                <w:sz w:val="20"/>
              </w:rPr>
            </w:r>
            <w:r>
              <w:rPr>
                <w:sz w:val="20"/>
              </w:rPr>
              <w:t>71.971</w:t>
            </w:r>
          </w:p>
        </w:tc>
        <w:tc>
          <w:tcPr>
            <w:tcW w:type="dxa" w:w="1984"/>
          </w:tcPr>
          <w:p>
            <w:pPr>
              <w:spacing w:line="240" w:lineRule="auto" w:after="0"/>
            </w:pPr>
            <w:r>
              <w:rPr>
                <w:sz w:val="20"/>
              </w:rPr>
            </w:r>
            <w:r>
              <w:rPr>
                <w:sz w:val="20"/>
              </w:rPr>
              <w:t>≈70 KB</w:t>
            </w:r>
          </w:p>
        </w:tc>
      </w:tr>
      <w:tr>
        <w:trPr>
          <w:cantSplit/>
        </w:trPr>
        <w:tc>
          <w:tcPr>
            <w:tcW w:type="dxa" w:w="1984"/>
          </w:tcPr>
          <w:p>
            <w:pPr>
              <w:spacing w:line="240" w:lineRule="auto" w:after="0"/>
            </w:pPr>
            <w:r>
              <w:rPr>
                <w:sz w:val="20"/>
              </w:rPr>
            </w:r>
            <w:r>
              <w:rPr>
                <w:sz w:val="20"/>
              </w:rPr>
              <w:t>S3</w:t>
            </w:r>
          </w:p>
        </w:tc>
        <w:tc>
          <w:tcPr>
            <w:tcW w:type="dxa" w:w="1984"/>
          </w:tcPr>
          <w:p>
            <w:pPr>
              <w:spacing w:line="240" w:lineRule="auto" w:after="0"/>
            </w:pPr>
            <w:r>
              <w:rPr>
                <w:sz w:val="20"/>
              </w:rPr>
            </w:r>
            <w:r>
              <w:rPr>
                <w:sz w:val="20"/>
              </w:rPr>
              <w:t>300</w:t>
            </w:r>
          </w:p>
        </w:tc>
        <w:tc>
          <w:tcPr>
            <w:tcW w:type="dxa" w:w="1984"/>
          </w:tcPr>
          <w:p>
            <w:pPr>
              <w:spacing w:line="240" w:lineRule="auto" w:after="0"/>
            </w:pPr>
            <w:r>
              <w:rPr>
                <w:sz w:val="20"/>
              </w:rPr>
            </w:r>
            <w:r>
              <w:rPr>
                <w:sz w:val="20"/>
              </w:rPr>
              <w:t>205.354</w:t>
            </w:r>
          </w:p>
        </w:tc>
        <w:tc>
          <w:tcPr>
            <w:tcW w:type="dxa" w:w="1984"/>
          </w:tcPr>
          <w:p>
            <w:pPr>
              <w:spacing w:line="240" w:lineRule="auto" w:after="0"/>
            </w:pPr>
            <w:r>
              <w:rPr>
                <w:sz w:val="20"/>
              </w:rPr>
            </w:r>
            <w:r>
              <w:rPr>
                <w:sz w:val="20"/>
              </w:rPr>
              <w:t>≈201 KB</w:t>
            </w:r>
          </w:p>
        </w:tc>
      </w:tr>
    </w:tbl>
    <w:p>
      <w:pPr>
        <w:ind w:firstLine="720"/>
        <w:jc w:val="both"/>
      </w:pPr>
      <w:r>
        <w:t xml:space="preserve">Jejak memori tumbuh secara linear terhadap ukuran katalog, dari 22 KB (30 </w:t>
      </w:r>
      <w:r>
        <w:rPr>
          <w:i/>
        </w:rPr>
        <w:t>tool</w:t>
      </w:r>
      <w:r>
        <w:t xml:space="preserve">) menjadi 201 KB (300 </w:t>
      </w:r>
      <w:r>
        <w:rPr>
          <w:i/>
        </w:rPr>
        <w:t>tool</w:t>
      </w:r>
      <w:r>
        <w:t xml:space="preserve">). Pertumbuhan linear ini wajar dan tidak menjadi </w:t>
      </w:r>
      <w:r>
        <w:rPr>
          <w:i/>
        </w:rPr>
        <w:t>bottleneck</w:t>
      </w:r>
      <w:r>
        <w:t xml:space="preserve">: bahkan pada katalog 300 </w:t>
      </w:r>
      <w:r>
        <w:rPr>
          <w:i/>
        </w:rPr>
        <w:t>tool</w:t>
      </w:r>
      <w:r>
        <w:t xml:space="preserve">, struktur metadata registry hanya menempati sekitar 201 KB memori — jumlah yang sangat kecil dibandingkan kapasitas memori server produksi. Dengan demikian, manfaat penghematan token yang besar diperoleh dengan </w:t>
      </w:r>
      <w:r>
        <w:rPr>
          <w:i/>
        </w:rPr>
        <w:t>overhead</w:t>
      </w:r>
      <w:r>
        <w:t xml:space="preserve"> memori yang dapat diabaikan, menjadikan Tool Registry solusi yang efisien secara ruang maupun token.</w:t>
      </w:r>
    </w:p>
    <w:p>
      <w:pPr>
        <w:pStyle w:val="Heading2"/>
      </w:pPr>
      <w:r>
        <w:t>4.7 Analisis Latency</w:t>
      </w:r>
    </w:p>
    <w:p>
      <w:pPr>
        <w:ind w:firstLine="720"/>
        <w:jc w:val="both"/>
      </w:pPr>
      <w:r>
        <w:t>Latensi respons diukur pada persentil ke-50 (p50) sebagai indikator pengalaman pengguna tipikal. Perbandingan latensi disajikan pada Gambar 4.5 dan Tabel 4.7.</w:t>
      </w:r>
    </w:p>
    <w:p>
      <w:pPr>
        <w:keepNext/>
        <w:spacing w:before="120"/>
        <w:jc w:val="center"/>
      </w:pPr>
      <w:r>
        <w:drawing>
          <wp:inline xmlns:a="http://schemas.openxmlformats.org/drawingml/2006/main" xmlns:pic="http://schemas.openxmlformats.org/drawingml/2006/picture">
            <wp:extent cx="4320000" cy="2400000"/>
            <wp:docPr id="9" name="Picture 9"/>
            <wp:cNvGraphicFramePr>
              <a:graphicFrameLocks noChangeAspect="1"/>
            </wp:cNvGraphicFramePr>
            <a:graphic>
              <a:graphicData uri="http://schemas.openxmlformats.org/drawingml/2006/picture">
                <pic:pic>
                  <pic:nvPicPr>
                    <pic:cNvPr id="0" name="latency_p50.png"/>
                    <pic:cNvPicPr/>
                  </pic:nvPicPr>
                  <pic:blipFill>
                    <a:blip r:embed="rId19"/>
                    <a:stretch>
                      <a:fillRect/>
                    </a:stretch>
                  </pic:blipFill>
                  <pic:spPr>
                    <a:xfrm>
                      <a:off x="0" y="0"/>
                      <a:ext cx="4320000" cy="2400000"/>
                    </a:xfrm>
                    <a:prstGeom prst="rect"/>
                  </pic:spPr>
                </pic:pic>
              </a:graphicData>
            </a:graphic>
          </wp:inline>
        </w:drawing>
      </w:r>
    </w:p>
    <w:p>
      <w:pPr>
        <w:pStyle w:val="Caption"/>
        <w:jc w:val="center"/>
      </w:pPr>
      <w:r>
        <w:t>Gambar 4.</w:t>
      </w:r>
      <w:fldSimple w:instr=" SEQ Gambar \* ARABIC \s 1 ">
        <w:r>
          <w:t>1</w:t>
        </w:r>
      </w:fldSimple>
      <w:r>
        <w:t xml:space="preserve"> Perbandingan Latensi p50 Baseline dan Registry.</w:t>
      </w:r>
    </w:p>
    <w:p>
      <w:pPr>
        <w:pStyle w:val="Caption"/>
        <w:keepNext/>
        <w:jc w:val="center"/>
      </w:pPr>
      <w:r>
        <w:t>Tabel 4.</w:t>
      </w:r>
      <w:fldSimple w:instr=" SEQ Tabel \* ARABIC \s 1 ">
        <w:r>
          <w:t>1</w:t>
        </w:r>
      </w:fldSimple>
      <w:r>
        <w:t xml:space="preserve"> Latensi p50 dan p95 per Skenario</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1587"/>
        <w:gridCol w:w="1587"/>
        <w:gridCol w:w="1587"/>
        <w:gridCol w:w="1587"/>
        <w:gridCol w:w="1587"/>
      </w:tblGrid>
      <w:tr>
        <w:trPr>
          <w:cantSplit/>
          <w:tblHeader/>
        </w:trPr>
        <w:tc>
          <w:tcPr>
            <w:tcW w:type="dxa" w:w="1587"/>
            <w:tcBorders>
              <w:top w:val="none"/>
              <w:bottom w:val="single" w:sz="8" w:space="0" w:color="000000"/>
              <w:left w:val="none"/>
              <w:right w:val="none"/>
            </w:tcBorders>
          </w:tcPr>
          <w:p>
            <w:pPr>
              <w:spacing w:line="240" w:lineRule="auto" w:after="0"/>
            </w:pPr>
            <w:r>
              <w:rPr>
                <w:b/>
                <w:sz w:val="20"/>
              </w:rPr>
            </w:r>
            <w:r>
              <w:rPr>
                <w:b/>
                <w:sz w:val="20"/>
              </w:rPr>
              <w:t>Skenario</w:t>
            </w:r>
          </w:p>
        </w:tc>
        <w:tc>
          <w:tcPr>
            <w:tcW w:type="dxa" w:w="1587"/>
            <w:tcBorders>
              <w:top w:val="none"/>
              <w:bottom w:val="single" w:sz="8" w:space="0" w:color="000000"/>
              <w:left w:val="none"/>
              <w:right w:val="none"/>
            </w:tcBorders>
          </w:tcPr>
          <w:p>
            <w:pPr>
              <w:spacing w:line="240" w:lineRule="auto" w:after="0"/>
            </w:pPr>
            <w:r>
              <w:rPr>
                <w:b/>
                <w:sz w:val="20"/>
              </w:rPr>
            </w:r>
            <w:r>
              <w:rPr>
                <w:b/>
                <w:sz w:val="20"/>
              </w:rPr>
              <w:t>p50 Baseline</w:t>
            </w:r>
          </w:p>
        </w:tc>
        <w:tc>
          <w:tcPr>
            <w:tcW w:type="dxa" w:w="1587"/>
            <w:tcBorders>
              <w:top w:val="none"/>
              <w:bottom w:val="single" w:sz="8" w:space="0" w:color="000000"/>
              <w:left w:val="none"/>
              <w:right w:val="none"/>
            </w:tcBorders>
          </w:tcPr>
          <w:p>
            <w:pPr>
              <w:spacing w:line="240" w:lineRule="auto" w:after="0"/>
            </w:pPr>
            <w:r>
              <w:rPr>
                <w:b/>
                <w:sz w:val="20"/>
              </w:rPr>
            </w:r>
            <w:r>
              <w:rPr>
                <w:b/>
                <w:sz w:val="20"/>
              </w:rPr>
              <w:t>p50 Registry</w:t>
            </w:r>
          </w:p>
        </w:tc>
        <w:tc>
          <w:tcPr>
            <w:tcW w:type="dxa" w:w="1587"/>
            <w:tcBorders>
              <w:top w:val="none"/>
              <w:bottom w:val="single" w:sz="8" w:space="0" w:color="000000"/>
              <w:left w:val="none"/>
              <w:right w:val="none"/>
            </w:tcBorders>
          </w:tcPr>
          <w:p>
            <w:pPr>
              <w:spacing w:line="240" w:lineRule="auto" w:after="0"/>
            </w:pPr>
            <w:r>
              <w:rPr>
                <w:b/>
                <w:sz w:val="20"/>
              </w:rPr>
            </w:r>
            <w:r>
              <w:rPr>
                <w:b/>
                <w:sz w:val="20"/>
              </w:rPr>
              <w:t>p95 Baseline</w:t>
            </w:r>
          </w:p>
        </w:tc>
        <w:tc>
          <w:tcPr>
            <w:tcW w:type="dxa" w:w="1587"/>
            <w:tcBorders>
              <w:top w:val="none"/>
              <w:bottom w:val="single" w:sz="8" w:space="0" w:color="000000"/>
              <w:left w:val="none"/>
              <w:right w:val="none"/>
            </w:tcBorders>
          </w:tcPr>
          <w:p>
            <w:pPr>
              <w:spacing w:line="240" w:lineRule="auto" w:after="0"/>
            </w:pPr>
            <w:r>
              <w:rPr>
                <w:b/>
                <w:sz w:val="20"/>
              </w:rPr>
            </w:r>
            <w:r>
              <w:rPr>
                <w:b/>
                <w:sz w:val="20"/>
              </w:rPr>
              <w:t>p95 Registry</w:t>
            </w:r>
          </w:p>
        </w:tc>
      </w:tr>
      <w:tr>
        <w:trPr>
          <w:cantSplit/>
        </w:trPr>
        <w:tc>
          <w:tcPr>
            <w:tcW w:type="dxa" w:w="1587"/>
          </w:tcPr>
          <w:p>
            <w:pPr>
              <w:spacing w:line="240" w:lineRule="auto" w:after="0"/>
            </w:pPr>
            <w:r>
              <w:rPr>
                <w:sz w:val="20"/>
              </w:rPr>
            </w:r>
            <w:r>
              <w:rPr>
                <w:sz w:val="20"/>
              </w:rPr>
              <w:t>S1</w:t>
            </w:r>
          </w:p>
        </w:tc>
        <w:tc>
          <w:tcPr>
            <w:tcW w:type="dxa" w:w="1587"/>
          </w:tcPr>
          <w:p>
            <w:pPr>
              <w:spacing w:line="240" w:lineRule="auto" w:after="0"/>
            </w:pPr>
            <w:r>
              <w:rPr>
                <w:sz w:val="20"/>
              </w:rPr>
            </w:r>
            <w:r>
              <w:rPr>
                <w:sz w:val="20"/>
              </w:rPr>
              <w:t>833 ms</w:t>
            </w:r>
          </w:p>
        </w:tc>
        <w:tc>
          <w:tcPr>
            <w:tcW w:type="dxa" w:w="1587"/>
          </w:tcPr>
          <w:p>
            <w:pPr>
              <w:spacing w:line="240" w:lineRule="auto" w:after="0"/>
            </w:pPr>
            <w:r>
              <w:rPr>
                <w:sz w:val="20"/>
              </w:rPr>
            </w:r>
            <w:r>
              <w:rPr>
                <w:sz w:val="20"/>
              </w:rPr>
              <w:t>905 ms</w:t>
            </w:r>
          </w:p>
        </w:tc>
        <w:tc>
          <w:tcPr>
            <w:tcW w:type="dxa" w:w="1587"/>
          </w:tcPr>
          <w:p>
            <w:pPr>
              <w:spacing w:line="240" w:lineRule="auto" w:after="0"/>
            </w:pPr>
            <w:r>
              <w:rPr>
                <w:sz w:val="20"/>
              </w:rPr>
            </w:r>
            <w:r>
              <w:rPr>
                <w:sz w:val="20"/>
              </w:rPr>
              <w:t>1.311 ms</w:t>
            </w:r>
          </w:p>
        </w:tc>
        <w:tc>
          <w:tcPr>
            <w:tcW w:type="dxa" w:w="1587"/>
          </w:tcPr>
          <w:p>
            <w:pPr>
              <w:spacing w:line="240" w:lineRule="auto" w:after="0"/>
            </w:pPr>
            <w:r>
              <w:rPr>
                <w:sz w:val="20"/>
              </w:rPr>
            </w:r>
            <w:r>
              <w:rPr>
                <w:sz w:val="20"/>
              </w:rPr>
              <w:t>2.567 ms</w:t>
            </w:r>
          </w:p>
        </w:tc>
      </w:tr>
      <w:tr>
        <w:trPr>
          <w:cantSplit/>
        </w:trPr>
        <w:tc>
          <w:tcPr>
            <w:tcW w:type="dxa" w:w="1587"/>
          </w:tcPr>
          <w:p>
            <w:pPr>
              <w:spacing w:line="240" w:lineRule="auto" w:after="0"/>
            </w:pPr>
            <w:r>
              <w:rPr>
                <w:sz w:val="20"/>
              </w:rPr>
            </w:r>
            <w:r>
              <w:rPr>
                <w:sz w:val="20"/>
              </w:rPr>
              <w:t>S2</w:t>
            </w:r>
          </w:p>
        </w:tc>
        <w:tc>
          <w:tcPr>
            <w:tcW w:type="dxa" w:w="1587"/>
          </w:tcPr>
          <w:p>
            <w:pPr>
              <w:spacing w:line="240" w:lineRule="auto" w:after="0"/>
            </w:pPr>
            <w:r>
              <w:rPr>
                <w:sz w:val="20"/>
              </w:rPr>
            </w:r>
            <w:r>
              <w:rPr>
                <w:sz w:val="20"/>
              </w:rPr>
              <w:t>1.014 ms</w:t>
            </w:r>
          </w:p>
        </w:tc>
        <w:tc>
          <w:tcPr>
            <w:tcW w:type="dxa" w:w="1587"/>
          </w:tcPr>
          <w:p>
            <w:pPr>
              <w:spacing w:line="240" w:lineRule="auto" w:after="0"/>
            </w:pPr>
            <w:r>
              <w:rPr>
                <w:sz w:val="20"/>
              </w:rPr>
            </w:r>
            <w:r>
              <w:rPr>
                <w:sz w:val="20"/>
              </w:rPr>
              <w:t>910 ms</w:t>
            </w:r>
          </w:p>
        </w:tc>
        <w:tc>
          <w:tcPr>
            <w:tcW w:type="dxa" w:w="1587"/>
          </w:tcPr>
          <w:p>
            <w:pPr>
              <w:spacing w:line="240" w:lineRule="auto" w:after="0"/>
            </w:pPr>
            <w:r>
              <w:rPr>
                <w:sz w:val="20"/>
              </w:rPr>
            </w:r>
            <w:r>
              <w:rPr>
                <w:sz w:val="20"/>
              </w:rPr>
              <w:t>2.625 ms</w:t>
            </w:r>
          </w:p>
        </w:tc>
        <w:tc>
          <w:tcPr>
            <w:tcW w:type="dxa" w:w="1587"/>
          </w:tcPr>
          <w:p>
            <w:pPr>
              <w:spacing w:line="240" w:lineRule="auto" w:after="0"/>
            </w:pPr>
            <w:r>
              <w:rPr>
                <w:sz w:val="20"/>
              </w:rPr>
            </w:r>
            <w:r>
              <w:rPr>
                <w:sz w:val="20"/>
              </w:rPr>
              <w:t>1.369 ms</w:t>
            </w:r>
          </w:p>
        </w:tc>
      </w:tr>
      <w:tr>
        <w:trPr>
          <w:cantSplit/>
        </w:trPr>
        <w:tc>
          <w:tcPr>
            <w:tcW w:type="dxa" w:w="1587"/>
          </w:tcPr>
          <w:p>
            <w:pPr>
              <w:spacing w:line="240" w:lineRule="auto" w:after="0"/>
            </w:pPr>
            <w:r>
              <w:rPr>
                <w:sz w:val="20"/>
              </w:rPr>
            </w:r>
            <w:r>
              <w:rPr>
                <w:sz w:val="20"/>
              </w:rPr>
              <w:t>S3</w:t>
            </w:r>
          </w:p>
        </w:tc>
        <w:tc>
          <w:tcPr>
            <w:tcW w:type="dxa" w:w="1587"/>
          </w:tcPr>
          <w:p>
            <w:pPr>
              <w:spacing w:line="240" w:lineRule="auto" w:after="0"/>
            </w:pPr>
            <w:r>
              <w:rPr>
                <w:sz w:val="20"/>
              </w:rPr>
            </w:r>
            <w:r>
              <w:rPr>
                <w:sz w:val="20"/>
              </w:rPr>
              <w:t>992 ms</w:t>
            </w:r>
          </w:p>
        </w:tc>
        <w:tc>
          <w:tcPr>
            <w:tcW w:type="dxa" w:w="1587"/>
          </w:tcPr>
          <w:p>
            <w:pPr>
              <w:spacing w:line="240" w:lineRule="auto" w:after="0"/>
            </w:pPr>
            <w:r>
              <w:rPr>
                <w:sz w:val="20"/>
              </w:rPr>
            </w:r>
            <w:r>
              <w:rPr>
                <w:sz w:val="20"/>
              </w:rPr>
              <w:t>851 ms</w:t>
            </w:r>
          </w:p>
        </w:tc>
        <w:tc>
          <w:tcPr>
            <w:tcW w:type="dxa" w:w="1587"/>
          </w:tcPr>
          <w:p>
            <w:pPr>
              <w:spacing w:line="240" w:lineRule="auto" w:after="0"/>
            </w:pPr>
            <w:r>
              <w:rPr>
                <w:sz w:val="20"/>
              </w:rPr>
            </w:r>
            <w:r>
              <w:rPr>
                <w:sz w:val="20"/>
              </w:rPr>
              <w:t>1.548 ms</w:t>
            </w:r>
          </w:p>
        </w:tc>
        <w:tc>
          <w:tcPr>
            <w:tcW w:type="dxa" w:w="1587"/>
          </w:tcPr>
          <w:p>
            <w:pPr>
              <w:spacing w:line="240" w:lineRule="auto" w:after="0"/>
            </w:pPr>
            <w:r>
              <w:rPr>
                <w:sz w:val="20"/>
              </w:rPr>
            </w:r>
            <w:r>
              <w:rPr>
                <w:sz w:val="20"/>
              </w:rPr>
              <w:t>1.112 ms</w:t>
            </w:r>
          </w:p>
        </w:tc>
      </w:tr>
    </w:tbl>
    <w:p>
      <w:pPr>
        <w:ind w:firstLine="720"/>
        <w:jc w:val="both"/>
      </w:pPr>
      <w:r>
        <w:t xml:space="preserve">Perbaikan latensi bersifat moderat dan tidak sekuat penghematan token. Pada skenario besar S3, latensi p50 membaik dari 992 ms menjadi 851 ms (−14%), dan p95 membaik dari 1.548 ms menjadi 1.112 ms. Namun pada skenario kecil S1, latensi </w:t>
      </w:r>
      <w:r>
        <w:rPr>
          <w:i/>
        </w:rPr>
        <w:t>registry</w:t>
      </w:r>
      <w:r>
        <w:t xml:space="preserve"> justru sedikit lebih tinggi (905 ms vs 833 ms), karena </w:t>
      </w:r>
      <w:r>
        <w:rPr>
          <w:i/>
        </w:rPr>
        <w:t>overhead</w:t>
      </w:r>
      <w:r>
        <w:t xml:space="preserve"> komputasi penyaringan belum terkompensasi oleh penghematan token yang kecil. Pola ini menunjukkan bahwa manfaat latensi Tool Registry baru terasa pada katalog besar — tepat pada kondisi di mana </w:t>
      </w:r>
      <w:r>
        <w:rPr>
          <w:i/>
        </w:rPr>
        <w:t>bottleneck</w:t>
      </w:r>
      <w:r>
        <w:t xml:space="preserve"> token paling parah. Mengingat variabilitas latensi yang tinggi (dipengaruhi kondisi jaringan dan beban layanan), perbaikan latensi dilaporkan sebagai manfaat sekunder yang moderat, bukan sebagai klaim utama.</w:t>
      </w:r>
    </w:p>
    <w:p>
      <w:pPr>
        <w:pStyle w:val="Heading2"/>
      </w:pPr>
      <w:r>
        <w:t>4.8 Uji Statistik</w:t>
      </w:r>
    </w:p>
    <w:p>
      <w:pPr>
        <w:ind w:firstLine="720"/>
        <w:jc w:val="both"/>
      </w:pPr>
      <w:r>
        <w:t xml:space="preserve">Signifikansi penghematan token diuji menggunakan uji Wilcoxon </w:t>
      </w:r>
      <w:r>
        <w:rPr>
          <w:i/>
        </w:rPr>
        <w:t>signed-rank</w:t>
      </w:r>
      <w:r>
        <w:t xml:space="preserve"> berpasangan satu arah, dengan ukuran efek Cohen's d dan selang kepercayaan (</w:t>
      </w:r>
      <w:r>
        <w:rPr>
          <w:i/>
        </w:rPr>
        <w:t>confidence interval</w:t>
      </w:r>
      <w:r>
        <w:t>) 95%. Hasil uji disajikan pada Tabel 4.8.</w:t>
      </w:r>
    </w:p>
    <w:p>
      <w:pPr>
        <w:pStyle w:val="Caption"/>
        <w:keepNext/>
        <w:jc w:val="center"/>
      </w:pPr>
      <w:r>
        <w:t>Tabel 4.</w:t>
      </w:r>
      <w:fldSimple w:instr=" SEQ Tabel \* ARABIC \s 1 ">
        <w:r>
          <w:t>1</w:t>
        </w:r>
      </w:fldSimple>
      <w:r>
        <w:t xml:space="preserve"> Hasil Uji Statistik Penghematan Token</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1323"/>
        <w:gridCol w:w="1323"/>
        <w:gridCol w:w="1323"/>
        <w:gridCol w:w="1323"/>
        <w:gridCol w:w="1323"/>
        <w:gridCol w:w="1323"/>
      </w:tblGrid>
      <w:tr>
        <w:trPr>
          <w:cantSplit/>
          <w:tblHeader/>
        </w:trPr>
        <w:tc>
          <w:tcPr>
            <w:tcW w:type="dxa" w:w="1323"/>
            <w:tcBorders>
              <w:top w:val="none"/>
              <w:bottom w:val="single" w:sz="8" w:space="0" w:color="000000"/>
              <w:left w:val="none"/>
              <w:right w:val="none"/>
            </w:tcBorders>
          </w:tcPr>
          <w:p>
            <w:pPr>
              <w:spacing w:line="240" w:lineRule="auto" w:after="0"/>
            </w:pPr>
            <w:r>
              <w:rPr>
                <w:b/>
                <w:sz w:val="20"/>
              </w:rPr>
            </w:r>
            <w:r>
              <w:rPr>
                <w:b/>
                <w:sz w:val="20"/>
              </w:rPr>
              <w:t>Skenario</w:t>
            </w:r>
          </w:p>
        </w:tc>
        <w:tc>
          <w:tcPr>
            <w:tcW w:type="dxa" w:w="1323"/>
            <w:tcBorders>
              <w:top w:val="none"/>
              <w:bottom w:val="single" w:sz="8" w:space="0" w:color="000000"/>
              <w:left w:val="none"/>
              <w:right w:val="none"/>
            </w:tcBorders>
          </w:tcPr>
          <w:p>
            <w:pPr>
              <w:spacing w:line="240" w:lineRule="auto" w:after="0"/>
            </w:pPr>
            <w:r>
              <w:rPr>
                <w:b/>
                <w:sz w:val="20"/>
              </w:rPr>
            </w:r>
            <w:r>
              <w:rPr>
                <w:b/>
                <w:sz w:val="20"/>
              </w:rPr>
              <w:t>n Pasangan</w:t>
            </w:r>
          </w:p>
        </w:tc>
        <w:tc>
          <w:tcPr>
            <w:tcW w:type="dxa" w:w="1323"/>
            <w:tcBorders>
              <w:top w:val="none"/>
              <w:bottom w:val="single" w:sz="8" w:space="0" w:color="000000"/>
              <w:left w:val="none"/>
              <w:right w:val="none"/>
            </w:tcBorders>
          </w:tcPr>
          <w:p>
            <w:pPr>
              <w:spacing w:line="240" w:lineRule="auto" w:after="0"/>
            </w:pPr>
            <w:r>
              <w:rPr>
                <w:b/>
                <w:sz w:val="20"/>
              </w:rPr>
            </w:r>
            <w:r>
              <w:rPr>
                <w:b/>
                <w:sz w:val="20"/>
              </w:rPr>
              <w:t>Rerata Penghematan</w:t>
            </w:r>
          </w:p>
        </w:tc>
        <w:tc>
          <w:tcPr>
            <w:tcW w:type="dxa" w:w="1323"/>
            <w:tcBorders>
              <w:top w:val="none"/>
              <w:bottom w:val="single" w:sz="8" w:space="0" w:color="000000"/>
              <w:left w:val="none"/>
              <w:right w:val="none"/>
            </w:tcBorders>
          </w:tcPr>
          <w:p>
            <w:pPr>
              <w:spacing w:line="240" w:lineRule="auto" w:after="0"/>
            </w:pPr>
            <w:r>
              <w:rPr>
                <w:b/>
                <w:sz w:val="20"/>
              </w:rPr>
            </w:r>
            <w:r>
              <w:rPr>
                <w:b/>
                <w:sz w:val="20"/>
              </w:rPr>
              <w:t>CI 95%</w:t>
            </w:r>
          </w:p>
        </w:tc>
        <w:tc>
          <w:tcPr>
            <w:tcW w:type="dxa" w:w="1323"/>
            <w:tcBorders>
              <w:top w:val="none"/>
              <w:bottom w:val="single" w:sz="8" w:space="0" w:color="000000"/>
              <w:left w:val="none"/>
              <w:right w:val="none"/>
            </w:tcBorders>
          </w:tcPr>
          <w:p>
            <w:pPr>
              <w:spacing w:line="240" w:lineRule="auto" w:after="0"/>
            </w:pPr>
            <w:r>
              <w:rPr>
                <w:b/>
                <w:sz w:val="20"/>
              </w:rPr>
            </w:r>
            <w:r>
              <w:rPr>
                <w:b/>
                <w:sz w:val="20"/>
              </w:rPr>
              <w:t>Wilcoxon p</w:t>
            </w:r>
          </w:p>
        </w:tc>
        <w:tc>
          <w:tcPr>
            <w:tcW w:type="dxa" w:w="1323"/>
            <w:tcBorders>
              <w:top w:val="none"/>
              <w:bottom w:val="single" w:sz="8" w:space="0" w:color="000000"/>
              <w:left w:val="none"/>
              <w:right w:val="none"/>
            </w:tcBorders>
          </w:tcPr>
          <w:p>
            <w:pPr>
              <w:spacing w:line="240" w:lineRule="auto" w:after="0"/>
            </w:pPr>
            <w:r>
              <w:rPr>
                <w:b/>
                <w:sz w:val="20"/>
              </w:rPr>
            </w:r>
            <w:r>
              <w:rPr>
                <w:b/>
                <w:sz w:val="20"/>
              </w:rPr>
              <w:t>Cohen's d</w:t>
            </w:r>
          </w:p>
        </w:tc>
      </w:tr>
      <w:tr>
        <w:trPr>
          <w:cantSplit/>
        </w:trPr>
        <w:tc>
          <w:tcPr>
            <w:tcW w:type="dxa" w:w="1323"/>
          </w:tcPr>
          <w:p>
            <w:pPr>
              <w:spacing w:line="240" w:lineRule="auto" w:after="0"/>
            </w:pPr>
            <w:r>
              <w:rPr>
                <w:sz w:val="20"/>
              </w:rPr>
            </w:r>
            <w:r>
              <w:rPr>
                <w:sz w:val="20"/>
              </w:rPr>
              <w:t>S1</w:t>
            </w:r>
          </w:p>
        </w:tc>
        <w:tc>
          <w:tcPr>
            <w:tcW w:type="dxa" w:w="1323"/>
          </w:tcPr>
          <w:p>
            <w:pPr>
              <w:spacing w:line="240" w:lineRule="auto" w:after="0"/>
            </w:pPr>
            <w:r>
              <w:rPr>
                <w:sz w:val="20"/>
              </w:rPr>
            </w:r>
            <w:r>
              <w:rPr>
                <w:sz w:val="20"/>
              </w:rPr>
              <w:t>16</w:t>
            </w:r>
          </w:p>
        </w:tc>
        <w:tc>
          <w:tcPr>
            <w:tcW w:type="dxa" w:w="1323"/>
          </w:tcPr>
          <w:p>
            <w:pPr>
              <w:spacing w:line="240" w:lineRule="auto" w:after="0"/>
            </w:pPr>
            <w:r>
              <w:rPr>
                <w:sz w:val="20"/>
              </w:rPr>
            </w:r>
            <w:r>
              <w:rPr>
                <w:sz w:val="20"/>
              </w:rPr>
              <w:t>1.534 token</w:t>
            </w:r>
          </w:p>
        </w:tc>
        <w:tc>
          <w:tcPr>
            <w:tcW w:type="dxa" w:w="1323"/>
          </w:tcPr>
          <w:p>
            <w:pPr>
              <w:spacing w:line="240" w:lineRule="auto" w:after="0"/>
            </w:pPr>
            <w:r>
              <w:rPr>
                <w:sz w:val="20"/>
              </w:rPr>
            </w:r>
            <w:r>
              <w:rPr>
                <w:sz w:val="20"/>
              </w:rPr>
              <w:t>[1.464, 1.604]</w:t>
            </w:r>
          </w:p>
        </w:tc>
        <w:tc>
          <w:tcPr>
            <w:tcW w:type="dxa" w:w="1323"/>
          </w:tcPr>
          <w:p>
            <w:pPr>
              <w:spacing w:line="240" w:lineRule="auto" w:after="0"/>
            </w:pPr>
            <w:r>
              <w:rPr>
                <w:sz w:val="20"/>
              </w:rPr>
            </w:r>
            <w:r>
              <w:rPr>
                <w:sz w:val="20"/>
              </w:rPr>
              <w:t>0,0002</w:t>
            </w:r>
          </w:p>
        </w:tc>
        <w:tc>
          <w:tcPr>
            <w:tcW w:type="dxa" w:w="1323"/>
          </w:tcPr>
          <w:p>
            <w:pPr>
              <w:spacing w:line="240" w:lineRule="auto" w:after="0"/>
            </w:pPr>
            <w:r>
              <w:rPr>
                <w:sz w:val="20"/>
              </w:rPr>
            </w:r>
            <w:r>
              <w:rPr>
                <w:sz w:val="20"/>
              </w:rPr>
              <w:t>11,71</w:t>
            </w:r>
          </w:p>
        </w:tc>
      </w:tr>
      <w:tr>
        <w:trPr>
          <w:cantSplit/>
        </w:trPr>
        <w:tc>
          <w:tcPr>
            <w:tcW w:type="dxa" w:w="1323"/>
          </w:tcPr>
          <w:p>
            <w:pPr>
              <w:spacing w:line="240" w:lineRule="auto" w:after="0"/>
            </w:pPr>
            <w:r>
              <w:rPr>
                <w:sz w:val="20"/>
              </w:rPr>
            </w:r>
            <w:r>
              <w:rPr>
                <w:sz w:val="20"/>
              </w:rPr>
              <w:t>S2</w:t>
            </w:r>
          </w:p>
        </w:tc>
        <w:tc>
          <w:tcPr>
            <w:tcW w:type="dxa" w:w="1323"/>
          </w:tcPr>
          <w:p>
            <w:pPr>
              <w:spacing w:line="240" w:lineRule="auto" w:after="0"/>
            </w:pPr>
            <w:r>
              <w:rPr>
                <w:sz w:val="20"/>
              </w:rPr>
            </w:r>
            <w:r>
              <w:rPr>
                <w:sz w:val="20"/>
              </w:rPr>
              <w:t>28</w:t>
            </w:r>
          </w:p>
        </w:tc>
        <w:tc>
          <w:tcPr>
            <w:tcW w:type="dxa" w:w="1323"/>
          </w:tcPr>
          <w:p>
            <w:pPr>
              <w:spacing w:line="240" w:lineRule="auto" w:after="0"/>
            </w:pPr>
            <w:r>
              <w:rPr>
                <w:sz w:val="20"/>
              </w:rPr>
            </w:r>
            <w:r>
              <w:rPr>
                <w:sz w:val="20"/>
              </w:rPr>
              <w:t>6.744 token</w:t>
            </w:r>
          </w:p>
        </w:tc>
        <w:tc>
          <w:tcPr>
            <w:tcW w:type="dxa" w:w="1323"/>
          </w:tcPr>
          <w:p>
            <w:pPr>
              <w:spacing w:line="240" w:lineRule="auto" w:after="0"/>
            </w:pPr>
            <w:r>
              <w:rPr>
                <w:sz w:val="20"/>
              </w:rPr>
            </w:r>
            <w:r>
              <w:rPr>
                <w:sz w:val="20"/>
              </w:rPr>
              <w:t>[6.735, 6.753]</w:t>
            </w:r>
          </w:p>
        </w:tc>
        <w:tc>
          <w:tcPr>
            <w:tcW w:type="dxa" w:w="1323"/>
          </w:tcPr>
          <w:p>
            <w:pPr>
              <w:spacing w:line="240" w:lineRule="auto" w:after="0"/>
            </w:pPr>
            <w:r>
              <w:rPr>
                <w:sz w:val="20"/>
              </w:rPr>
            </w:r>
            <w:r>
              <w:rPr>
                <w:sz w:val="20"/>
              </w:rPr>
              <w:t>&lt;0,0001</w:t>
            </w:r>
          </w:p>
        </w:tc>
        <w:tc>
          <w:tcPr>
            <w:tcW w:type="dxa" w:w="1323"/>
          </w:tcPr>
          <w:p>
            <w:pPr>
              <w:spacing w:line="240" w:lineRule="auto" w:after="0"/>
            </w:pPr>
            <w:r>
              <w:rPr>
                <w:sz w:val="20"/>
              </w:rPr>
            </w:r>
            <w:r>
              <w:rPr>
                <w:sz w:val="20"/>
              </w:rPr>
              <w:t>290,91</w:t>
            </w:r>
          </w:p>
        </w:tc>
      </w:tr>
      <w:tr>
        <w:trPr>
          <w:cantSplit/>
        </w:trPr>
        <w:tc>
          <w:tcPr>
            <w:tcW w:type="dxa" w:w="1323"/>
          </w:tcPr>
          <w:p>
            <w:pPr>
              <w:spacing w:line="240" w:lineRule="auto" w:after="0"/>
            </w:pPr>
            <w:r>
              <w:rPr>
                <w:sz w:val="20"/>
              </w:rPr>
            </w:r>
            <w:r>
              <w:rPr>
                <w:sz w:val="20"/>
              </w:rPr>
              <w:t>S3</w:t>
            </w:r>
          </w:p>
        </w:tc>
        <w:tc>
          <w:tcPr>
            <w:tcW w:type="dxa" w:w="1323"/>
          </w:tcPr>
          <w:p>
            <w:pPr>
              <w:spacing w:line="240" w:lineRule="auto" w:after="0"/>
            </w:pPr>
            <w:r>
              <w:rPr>
                <w:sz w:val="20"/>
              </w:rPr>
            </w:r>
            <w:r>
              <w:rPr>
                <w:sz w:val="20"/>
              </w:rPr>
              <w:t>49</w:t>
            </w:r>
          </w:p>
        </w:tc>
        <w:tc>
          <w:tcPr>
            <w:tcW w:type="dxa" w:w="1323"/>
          </w:tcPr>
          <w:p>
            <w:pPr>
              <w:spacing w:line="240" w:lineRule="auto" w:after="0"/>
            </w:pPr>
            <w:r>
              <w:rPr>
                <w:sz w:val="20"/>
              </w:rPr>
            </w:r>
            <w:r>
              <w:rPr>
                <w:sz w:val="20"/>
              </w:rPr>
              <w:t>22.654 token</w:t>
            </w:r>
          </w:p>
        </w:tc>
        <w:tc>
          <w:tcPr>
            <w:tcW w:type="dxa" w:w="1323"/>
          </w:tcPr>
          <w:p>
            <w:pPr>
              <w:spacing w:line="240" w:lineRule="auto" w:after="0"/>
            </w:pPr>
            <w:r>
              <w:rPr>
                <w:sz w:val="20"/>
              </w:rPr>
            </w:r>
            <w:r>
              <w:rPr>
                <w:sz w:val="20"/>
              </w:rPr>
              <w:t>[22.645, 22.662]</w:t>
            </w:r>
          </w:p>
        </w:tc>
        <w:tc>
          <w:tcPr>
            <w:tcW w:type="dxa" w:w="1323"/>
          </w:tcPr>
          <w:p>
            <w:pPr>
              <w:spacing w:line="240" w:lineRule="auto" w:after="0"/>
            </w:pPr>
            <w:r>
              <w:rPr>
                <w:sz w:val="20"/>
              </w:rPr>
            </w:r>
            <w:r>
              <w:rPr>
                <w:sz w:val="20"/>
              </w:rPr>
              <w:t>&lt;0,0001</w:t>
            </w:r>
          </w:p>
        </w:tc>
        <w:tc>
          <w:tcPr>
            <w:tcW w:type="dxa" w:w="1323"/>
          </w:tcPr>
          <w:p>
            <w:pPr>
              <w:spacing w:line="240" w:lineRule="auto" w:after="0"/>
            </w:pPr>
            <w:r>
              <w:rPr>
                <w:sz w:val="20"/>
              </w:rPr>
            </w:r>
            <w:r>
              <w:rPr>
                <w:sz w:val="20"/>
              </w:rPr>
              <w:t>782,01</w:t>
            </w:r>
          </w:p>
        </w:tc>
      </w:tr>
    </w:tbl>
    <w:p>
      <w:pPr>
        <w:ind w:firstLine="720"/>
        <w:jc w:val="both"/>
      </w:pPr>
      <w:r>
        <w:t xml:space="preserve">Penghematan token terbukti signifikan secara statistik pada seluruh skenario, dengan nilai p&lt;0,001 (S1) dan p&lt;0,0001 (S2 dan S3). Ukuran efek Cohen's d berkisar antara 11,71 hingga 782,01 — jauh melampaui ambang </w:t>
      </w:r>
      <w:r>
        <w:rPr>
          <w:i/>
        </w:rPr>
        <w:t>large effect</w:t>
      </w:r>
      <w:r>
        <w:t xml:space="preserve"> (0,8) — yang menandakan bahwa penghematan token bersifat hampir deterministik dan tidak mungkin terjadi secara kebetulan. Selang kepercayaan 95% yang sempit semakin menegaskan presisi estimasi penghematan. Adapun untuk dimensi akurasi, uji Wilcoxon </w:t>
      </w:r>
      <w:r>
        <w:rPr>
          <w:i/>
        </w:rPr>
        <w:t>signed-rank</w:t>
      </w:r>
      <w:r>
        <w:t xml:space="preserve"> menghasilkan p=0,28 (S1), p=0,50 (S2), dan p=0,09 (S3) — seluruhnya di atas α=0,05. Dengan demikian, peningkatan akurasi +6,3 pp bersifat directional namun belum signifikan secara statistik, kemungkinan akibat jumlah kueri yang terbatas dan sifat penilaian biner per kueri. Temuan ini memposisikan penghematan token sebagai kontribusi yang terbukti kuat, sedangkan perbaikan akurasi sebagai tren pendukung yang konsisten.</w:t>
      </w:r>
    </w:p>
    <w:p>
      <w:pPr>
        <w:pStyle w:val="Heading2"/>
      </w:pPr>
      <w:r>
        <w:t>4.9 Failure Analysis</w:t>
      </w:r>
    </w:p>
    <w:p>
      <w:pPr>
        <w:ind w:firstLine="720"/>
        <w:jc w:val="both"/>
      </w:pPr>
      <w:r>
        <w:t>Analisis kegagalan dilakukan terhadap kueri yang dipilih secara salah pada ketiga pengulangan (</w:t>
      </w:r>
      <w:r>
        <w:rPr>
          <w:i/>
        </w:rPr>
        <w:t>consistent failures</w:t>
      </w:r>
      <w:r>
        <w:t xml:space="preserve">) dalam mode </w:t>
      </w:r>
      <w:r>
        <w:rPr>
          <w:i/>
        </w:rPr>
        <w:t>registry</w:t>
      </w:r>
      <w:r>
        <w:t>. Pola kegagalan yang berulang lintas skenario dirangkum pada Tabel 4.9.</w:t>
      </w:r>
    </w:p>
    <w:p>
      <w:pPr>
        <w:pStyle w:val="Caption"/>
        <w:keepNext/>
        <w:jc w:val="center"/>
      </w:pPr>
      <w:r>
        <w:t>Tabel 4.</w:t>
      </w:r>
      <w:fldSimple w:instr=" SEQ Tabel \* ARABIC \s 1 ">
        <w:r>
          <w:t>1</w:t>
        </w:r>
      </w:fldSimple>
      <w:r>
        <w:t xml:space="preserve"> Kueri yang Gagal Konsisten di Seluruh Pengulangan</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2646"/>
        <w:gridCol w:w="2646"/>
        <w:gridCol w:w="2646"/>
      </w:tblGrid>
      <w:tr>
        <w:trPr>
          <w:cantSplit/>
          <w:tblHeader/>
        </w:trPr>
        <w:tc>
          <w:tcPr>
            <w:tcW w:type="dxa" w:w="2646"/>
            <w:tcBorders>
              <w:top w:val="none"/>
              <w:bottom w:val="single" w:sz="8" w:space="0" w:color="000000"/>
              <w:left w:val="none"/>
              <w:right w:val="none"/>
            </w:tcBorders>
          </w:tcPr>
          <w:p>
            <w:pPr>
              <w:spacing w:line="240" w:lineRule="auto" w:after="0"/>
            </w:pPr>
            <w:r>
              <w:rPr>
                <w:b/>
                <w:sz w:val="20"/>
              </w:rPr>
            </w:r>
            <w:r>
              <w:rPr>
                <w:b/>
                <w:sz w:val="20"/>
              </w:rPr>
              <w:t>Tool yang Diharapkan</w:t>
            </w:r>
          </w:p>
        </w:tc>
        <w:tc>
          <w:tcPr>
            <w:tcW w:type="dxa" w:w="2646"/>
            <w:tcBorders>
              <w:top w:val="none"/>
              <w:bottom w:val="single" w:sz="8" w:space="0" w:color="000000"/>
              <w:left w:val="none"/>
              <w:right w:val="none"/>
            </w:tcBorders>
          </w:tcPr>
          <w:p>
            <w:pPr>
              <w:spacing w:line="240" w:lineRule="auto" w:after="0"/>
            </w:pPr>
            <w:r>
              <w:rPr>
                <w:b/>
                <w:sz w:val="20"/>
              </w:rPr>
            </w:r>
            <w:r>
              <w:rPr>
                <w:b/>
                <w:sz w:val="20"/>
              </w:rPr>
              <w:t>Tool yang Dipilih Model</w:t>
            </w:r>
          </w:p>
        </w:tc>
        <w:tc>
          <w:tcPr>
            <w:tcW w:type="dxa" w:w="2646"/>
            <w:tcBorders>
              <w:top w:val="none"/>
              <w:bottom w:val="single" w:sz="8" w:space="0" w:color="000000"/>
              <w:left w:val="none"/>
              <w:right w:val="none"/>
            </w:tcBorders>
          </w:tcPr>
          <w:p>
            <w:pPr>
              <w:spacing w:line="240" w:lineRule="auto" w:after="0"/>
            </w:pPr>
            <w:r>
              <w:rPr>
                <w:b/>
                <w:sz w:val="20"/>
              </w:rPr>
            </w:r>
            <w:r>
              <w:rPr>
                <w:b/>
                <w:sz w:val="20"/>
              </w:rPr>
              <w:t>Modul</w:t>
            </w:r>
          </w:p>
        </w:tc>
      </w:tr>
      <w:tr>
        <w:trPr>
          <w:cantSplit/>
        </w:trPr>
        <w:tc>
          <w:tcPr>
            <w:tcW w:type="dxa" w:w="2646"/>
          </w:tcPr>
          <w:p>
            <w:pPr>
              <w:spacing w:line="240" w:lineRule="auto" w:after="0"/>
            </w:pPr>
            <w:r>
              <w:rPr>
                <w:sz w:val="20"/>
              </w:rPr>
            </w:r>
            <w:r>
              <w:rPr>
                <w:rFonts w:ascii="Courier New" w:hAnsi="Courier New"/>
                <w:sz w:val="20"/>
              </w:rPr>
              <w:t>supplier_create_purchase_order</w:t>
            </w:r>
          </w:p>
        </w:tc>
        <w:tc>
          <w:tcPr>
            <w:tcW w:type="dxa" w:w="2646"/>
          </w:tcPr>
          <w:p>
            <w:pPr>
              <w:spacing w:line="240" w:lineRule="auto" w:after="0"/>
            </w:pPr>
            <w:r>
              <w:rPr>
                <w:sz w:val="20"/>
              </w:rPr>
            </w:r>
            <w:r>
              <w:rPr>
                <w:rFonts w:ascii="Courier New" w:hAnsi="Courier New"/>
                <w:sz w:val="20"/>
              </w:rPr>
              <w:t>supplier_read_tool</w:t>
            </w:r>
            <w:r>
              <w:rPr>
                <w:sz w:val="20"/>
              </w:rPr>
              <w:t xml:space="preserve"> / </w:t>
            </w:r>
            <w:r>
              <w:rPr>
                <w:rFonts w:ascii="Courier New" w:hAnsi="Courier New"/>
                <w:sz w:val="20"/>
              </w:rPr>
              <w:t>supplier_admin_tool</w:t>
            </w:r>
          </w:p>
        </w:tc>
        <w:tc>
          <w:tcPr>
            <w:tcW w:type="dxa" w:w="2646"/>
          </w:tcPr>
          <w:p>
            <w:pPr>
              <w:spacing w:line="240" w:lineRule="auto" w:after="0"/>
            </w:pPr>
            <w:r>
              <w:rPr>
                <w:sz w:val="20"/>
              </w:rPr>
            </w:r>
            <w:r>
              <w:rPr>
                <w:sz w:val="20"/>
              </w:rPr>
              <w:t>supplier</w:t>
            </w:r>
          </w:p>
        </w:tc>
      </w:tr>
      <w:tr>
        <w:trPr>
          <w:cantSplit/>
        </w:trPr>
        <w:tc>
          <w:tcPr>
            <w:tcW w:type="dxa" w:w="2646"/>
          </w:tcPr>
          <w:p>
            <w:pPr>
              <w:spacing w:line="240" w:lineRule="auto" w:after="0"/>
            </w:pPr>
            <w:r>
              <w:rPr>
                <w:sz w:val="20"/>
              </w:rPr>
            </w:r>
            <w:r>
              <w:rPr>
                <w:rFonts w:ascii="Courier New" w:hAnsi="Courier New"/>
                <w:sz w:val="20"/>
              </w:rPr>
              <w:t>accounting_generate_journal</w:t>
            </w:r>
          </w:p>
        </w:tc>
        <w:tc>
          <w:tcPr>
            <w:tcW w:type="dxa" w:w="2646"/>
          </w:tcPr>
          <w:p>
            <w:pPr>
              <w:spacing w:line="240" w:lineRule="auto" w:after="0"/>
            </w:pPr>
            <w:r>
              <w:rPr>
                <w:sz w:val="20"/>
              </w:rPr>
            </w:r>
            <w:r>
              <w:rPr>
                <w:rFonts w:ascii="Courier New" w:hAnsi="Courier New"/>
                <w:sz w:val="20"/>
              </w:rPr>
              <w:t>accounting_read_tool</w:t>
            </w:r>
            <w:r>
              <w:rPr>
                <w:sz w:val="20"/>
              </w:rPr>
              <w:t xml:space="preserve"> / </w:t>
            </w:r>
            <w:r>
              <w:rPr>
                <w:rFonts w:ascii="Courier New" w:hAnsi="Courier New"/>
                <w:sz w:val="20"/>
              </w:rPr>
              <w:t>accounting_admin_tool</w:t>
            </w:r>
          </w:p>
        </w:tc>
        <w:tc>
          <w:tcPr>
            <w:tcW w:type="dxa" w:w="2646"/>
          </w:tcPr>
          <w:p>
            <w:pPr>
              <w:spacing w:line="240" w:lineRule="auto" w:after="0"/>
            </w:pPr>
            <w:r>
              <w:rPr>
                <w:sz w:val="20"/>
              </w:rPr>
            </w:r>
            <w:r>
              <w:rPr>
                <w:sz w:val="20"/>
              </w:rPr>
              <w:t>accounting</w:t>
            </w:r>
          </w:p>
        </w:tc>
      </w:tr>
      <w:tr>
        <w:trPr>
          <w:cantSplit/>
        </w:trPr>
        <w:tc>
          <w:tcPr>
            <w:tcW w:type="dxa" w:w="2646"/>
          </w:tcPr>
          <w:p>
            <w:pPr>
              <w:spacing w:line="240" w:lineRule="auto" w:after="0"/>
            </w:pPr>
            <w:r>
              <w:rPr>
                <w:sz w:val="20"/>
              </w:rPr>
            </w:r>
            <w:r>
              <w:rPr>
                <w:rFonts w:ascii="Courier New" w:hAnsi="Courier New"/>
                <w:sz w:val="20"/>
              </w:rPr>
              <w:t>sales_daily_revenue</w:t>
            </w:r>
          </w:p>
        </w:tc>
        <w:tc>
          <w:tcPr>
            <w:tcW w:type="dxa" w:w="2646"/>
          </w:tcPr>
          <w:p>
            <w:pPr>
              <w:spacing w:line="240" w:lineRule="auto" w:after="0"/>
            </w:pPr>
            <w:r>
              <w:rPr>
                <w:sz w:val="20"/>
              </w:rPr>
            </w:r>
            <w:r>
              <w:rPr>
                <w:rFonts w:ascii="Courier New" w:hAnsi="Courier New"/>
                <w:sz w:val="20"/>
              </w:rPr>
              <w:t>sales_analytical_tool</w:t>
            </w:r>
          </w:p>
        </w:tc>
        <w:tc>
          <w:tcPr>
            <w:tcW w:type="dxa" w:w="2646"/>
          </w:tcPr>
          <w:p>
            <w:pPr>
              <w:spacing w:line="240" w:lineRule="auto" w:after="0"/>
            </w:pPr>
            <w:r>
              <w:rPr>
                <w:sz w:val="20"/>
              </w:rPr>
            </w:r>
            <w:r>
              <w:rPr>
                <w:sz w:val="20"/>
              </w:rPr>
              <w:t>sales</w:t>
            </w:r>
          </w:p>
        </w:tc>
      </w:tr>
      <w:tr>
        <w:trPr>
          <w:cantSplit/>
        </w:trPr>
        <w:tc>
          <w:tcPr>
            <w:tcW w:type="dxa" w:w="2646"/>
          </w:tcPr>
          <w:p>
            <w:pPr>
              <w:spacing w:line="240" w:lineRule="auto" w:after="0"/>
            </w:pPr>
            <w:r>
              <w:rPr>
                <w:sz w:val="20"/>
              </w:rPr>
            </w:r>
            <w:r>
              <w:rPr>
                <w:rFonts w:ascii="Courier New" w:hAnsi="Courier New"/>
                <w:sz w:val="20"/>
              </w:rPr>
              <w:t>inventory_check_stock</w:t>
            </w:r>
          </w:p>
        </w:tc>
        <w:tc>
          <w:tcPr>
            <w:tcW w:type="dxa" w:w="2646"/>
          </w:tcPr>
          <w:p>
            <w:pPr>
              <w:spacing w:line="240" w:lineRule="auto" w:after="0"/>
            </w:pPr>
            <w:r>
              <w:rPr>
                <w:sz w:val="20"/>
              </w:rPr>
            </w:r>
            <w:r>
              <w:rPr>
                <w:rFonts w:ascii="Courier New" w:hAnsi="Courier New"/>
                <w:sz w:val="20"/>
              </w:rPr>
              <w:t>inventory_admin_tool</w:t>
            </w:r>
          </w:p>
        </w:tc>
        <w:tc>
          <w:tcPr>
            <w:tcW w:type="dxa" w:w="2646"/>
          </w:tcPr>
          <w:p>
            <w:pPr>
              <w:spacing w:line="240" w:lineRule="auto" w:after="0"/>
            </w:pPr>
            <w:r>
              <w:rPr>
                <w:sz w:val="20"/>
              </w:rPr>
            </w:r>
            <w:r>
              <w:rPr>
                <w:sz w:val="20"/>
              </w:rPr>
              <w:t>inventory</w:t>
            </w:r>
          </w:p>
        </w:tc>
      </w:tr>
    </w:tbl>
    <w:p>
      <w:pPr>
        <w:ind w:firstLine="720"/>
        <w:jc w:val="both"/>
      </w:pPr>
      <w:r>
        <w:t xml:space="preserve">Temuan kunci dari Tabel 4.9 adalah bahwa pada seluruh kasus kegagalan, </w:t>
      </w:r>
      <w:r>
        <w:rPr>
          <w:i/>
        </w:rPr>
        <w:t>tool</w:t>
      </w:r>
      <w:r>
        <w:t xml:space="preserve"> yang dipilih model berada di </w:t>
      </w:r>
      <w:r>
        <w:rPr>
          <w:b/>
        </w:rPr>
        <w:t>modul yang sama</w:t>
      </w:r>
      <w:r>
        <w:t xml:space="preserve"> dengan </w:t>
      </w:r>
      <w:r>
        <w:rPr>
          <w:i/>
        </w:rPr>
        <w:t>tool</w:t>
      </w:r>
      <w:r>
        <w:t xml:space="preserve"> yang diharapkan. Hal ini membuktikan bahwa penyaringan modul oleh Tool Registry berfungsi dengan benar — registry berhasil mempersempit kandidat ke modul yang tepat — namun model gagal membedakan antar-</w:t>
      </w:r>
      <w:r>
        <w:rPr>
          <w:i/>
        </w:rPr>
        <w:t>tool</w:t>
      </w:r>
      <w:r>
        <w:t xml:space="preserve"> di dalam modul tersebut. Akar masalahnya adalah skema parameter </w:t>
      </w:r>
      <w:r>
        <w:rPr>
          <w:i/>
        </w:rPr>
        <w:t>tool</w:t>
      </w:r>
      <w:r>
        <w:t xml:space="preserve"> yang kosong (</w:t>
      </w:r>
      <w:r>
        <w:rPr>
          <w:rFonts w:ascii="Courier New" w:hAnsi="Courier New"/>
        </w:rPr>
        <w:t>properties: {}</w:t>
      </w:r>
      <w:r>
        <w:t xml:space="preserve">) pada eksperimen ini, sehingga model hanya dapat membedakan </w:t>
      </w:r>
      <w:r>
        <w:rPr>
          <w:i/>
        </w:rPr>
        <w:t>tool</w:t>
      </w:r>
      <w:r>
        <w:t xml:space="preserve"> berdasarkan deskripsi teks pendek; ketika beberapa </w:t>
      </w:r>
      <w:r>
        <w:rPr>
          <w:i/>
        </w:rPr>
        <w:t>tool</w:t>
      </w:r>
      <w:r>
        <w:t xml:space="preserve"> dalam satu modul memiliki deskripsi yang mirip, ambiguitas menjadi tinggi.</w:t>
      </w:r>
    </w:p>
    <w:p>
      <w:pPr>
        <w:ind w:firstLine="720"/>
        <w:jc w:val="both"/>
      </w:pPr>
      <w:r>
        <w:t xml:space="preserve">Penting ditegaskan bahwa kegagalan ini muncul baik pada mode </w:t>
      </w:r>
      <w:r>
        <w:rPr>
          <w:i/>
        </w:rPr>
        <w:t>baseline</w:t>
      </w:r>
      <w:r>
        <w:t xml:space="preserve"> maupun </w:t>
      </w:r>
      <w:r>
        <w:rPr>
          <w:i/>
        </w:rPr>
        <w:t>registry</w:t>
      </w:r>
      <w:r>
        <w:t xml:space="preserve"> — sehingga merupakan keterbatasan format deskripsi </w:t>
      </w:r>
      <w:r>
        <w:rPr>
          <w:i/>
        </w:rPr>
        <w:t>tool</w:t>
      </w:r>
      <w:r>
        <w:t xml:space="preserve">, </w:t>
      </w:r>
      <w:r>
        <w:rPr>
          <w:b/>
        </w:rPr>
        <w:t>bukan</w:t>
      </w:r>
      <w:r>
        <w:t xml:space="preserve"> kegagalan Tool Registry. Kegagalan ini berperan sebagai </w:t>
      </w:r>
      <w:r>
        <w:rPr>
          <w:i/>
        </w:rPr>
        <w:t>confounding variable</w:t>
      </w:r>
      <w:r>
        <w:t xml:space="preserve"> yang membatasi akurasi absolut kedua mode secara setara, dan menjadi dasar rekomendasi penyempurnaan deskripsi </w:t>
      </w:r>
      <w:r>
        <w:rPr>
          <w:i/>
        </w:rPr>
        <w:t>tool</w:t>
      </w:r>
      <w:r>
        <w:t xml:space="preserve"> yang dibahas pada Bab V.</w:t>
      </w:r>
    </w:p>
    <w:p>
      <w:pPr>
        <w:pStyle w:val="Heading2"/>
      </w:pPr>
      <w:r>
        <w:t>4.10 Validasi Multi-model</w:t>
      </w:r>
    </w:p>
    <w:p>
      <w:pPr>
        <w:ind w:firstLine="720"/>
        <w:jc w:val="both"/>
      </w:pPr>
      <w:r>
        <w:t xml:space="preserve">Untuk menguji generalisabilitas temuan ke penyedia LLM lain, dijalankan eksperimen pendahuluan menggunakan model MiniMax-M2.7 dan GLM-4.5-Flash melalui </w:t>
      </w:r>
      <w:r>
        <w:rPr>
          <w:i/>
        </w:rPr>
        <w:t>gateway</w:t>
      </w:r>
      <w:r>
        <w:t xml:space="preserve"> ADACODE yang berbasis antarmuka </w:t>
      </w:r>
      <w:r>
        <w:rPr>
          <w:i/>
        </w:rPr>
        <w:t>OpenAI-compatible</w:t>
      </w:r>
      <w:r>
        <w:t xml:space="preserve">. Namun, antarmuka tersebut tidak mereproduksi penghitungan token dan ekstraksi pemanggilan </w:t>
      </w:r>
      <w:r>
        <w:rPr>
          <w:i/>
        </w:rPr>
        <w:t>tool</w:t>
      </w:r>
      <w:r>
        <w:t xml:space="preserve"> secara setara dengan </w:t>
      </w:r>
      <w:r>
        <w:rPr>
          <w:i/>
        </w:rPr>
        <w:t>native function calling</w:t>
      </w:r>
      <w:r>
        <w:t xml:space="preserve"> Gemini: konsumsi token mode </w:t>
      </w:r>
      <w:r>
        <w:rPr>
          <w:i/>
        </w:rPr>
        <w:t>registry</w:t>
      </w:r>
      <w:r>
        <w:t xml:space="preserve"> tercatat nyaris identik dengan </w:t>
      </w:r>
      <w:r>
        <w:rPr>
          <w:i/>
        </w:rPr>
        <w:t>baseline</w:t>
      </w:r>
      <w:r>
        <w:t xml:space="preserve"> (mengindikasikan katalog penuh tetap dikirim oleh </w:t>
      </w:r>
      <w:r>
        <w:rPr>
          <w:i/>
        </w:rPr>
        <w:t>gateway</w:t>
      </w:r>
      <w:r>
        <w:t xml:space="preserve">), dan ekstraksi </w:t>
      </w:r>
      <w:r>
        <w:rPr>
          <w:i/>
        </w:rPr>
        <w:t>tool call</w:t>
      </w:r>
      <w:r>
        <w:t xml:space="preserve"> gagal terbaca pada mayoritas rekaman.</w:t>
      </w:r>
    </w:p>
    <w:p>
      <w:pPr>
        <w:ind w:firstLine="720"/>
        <w:jc w:val="both"/>
      </w:pPr>
      <w:r>
        <w:t xml:space="preserve">Oleh karena keterbatasan harness pengukuran tersebut, hasil multi-model belum dapat diperbandingkan secara valid dengan eksperimen resmi Gemini, sehingga tidak disertakan sebagai bukti generalisabilitas pada penelitian ini. Validasi multi-model yang memerlukan adaptasi harness pengukuran per penyedia diposisikan sebagai bagian dari </w:t>
      </w:r>
      <w:r>
        <w:rPr>
          <w:i/>
        </w:rPr>
        <w:t>future work</w:t>
      </w:r>
      <w:r>
        <w:t xml:space="preserve"> (Bab V). Keterbatasan ini sekaligus menegaskan bahwa hasil resmi penelitian ini bersifat spesifik terhadap mekanisme </w:t>
      </w:r>
      <w:r>
        <w:rPr>
          <w:i/>
        </w:rPr>
        <w:t>native function calling</w:t>
      </w:r>
      <w:r>
        <w:t xml:space="preserve"> Gemini 2.5 Flash Lite, sebagaimana dinyatakan pada batasan masalah.</w:t>
      </w:r>
    </w:p>
    <w:p>
      <w:r>
        <w:br w:type="page"/>
      </w:r>
    </w:p>
    <w:p>
      <w:pPr>
        <w:pStyle w:val="Heading1"/>
      </w:pPr>
      <w:r>
        <w:t>BAB V KESIMPULAN</w:t>
      </w:r>
    </w:p>
    <w:p>
      <w:pPr>
        <w:pStyle w:val="Heading2"/>
      </w:pPr>
      <w:r>
        <w:t>5.1 Kesimpulan</w:t>
      </w:r>
    </w:p>
    <w:p>
      <w:pPr>
        <w:ind w:firstLine="720"/>
        <w:jc w:val="both"/>
      </w:pPr>
      <w:r>
        <w:t xml:space="preserve">Penelitian ini merancang, mengimplementasikan, dan mengevaluasi secara kuantitatif sebuah </w:t>
      </w:r>
      <w:r>
        <w:rPr>
          <w:i/>
        </w:rPr>
        <w:t>Tool Registry</w:t>
      </w:r>
      <w:r>
        <w:t xml:space="preserve"> deterministik berbasis metadata sebagai lapisan penyaringan </w:t>
      </w:r>
      <w:r>
        <w:rPr>
          <w:i/>
        </w:rPr>
        <w:t>tool</w:t>
      </w:r>
      <w:r>
        <w:t xml:space="preserve"> di hadapan AI Agent pada platform ERP restoran zerlo.id. Berdasarkan hasil eksperimen yang dipaparkan pada Bab IV — khususnya eksperimen resmi Gemini Native v2 dengan total n=558 rekaman — keempat rumusan masalah penelitian dapat dijawab sebagai berikut.</w:t>
      </w:r>
    </w:p>
    <w:p>
      <w:pPr>
        <w:ind w:firstLine="720"/>
        <w:jc w:val="both"/>
      </w:pPr>
      <w:r>
        <w:rPr>
          <w:b/>
        </w:rPr>
        <w:t>Rumusan masalah pertama</w:t>
      </w:r>
      <w:r>
        <w:t xml:space="preserve"> menyangkut perancangan Tool Registry yang mampu menyimpan metadata </w:t>
      </w:r>
      <w:r>
        <w:rPr>
          <w:i/>
        </w:rPr>
        <w:t>tool</w:t>
      </w:r>
      <w:r>
        <w:t xml:space="preserve"> secara terstruktur. Permasalahan ini terjawab melalui perancangan </w:t>
      </w:r>
      <w:r>
        <w:rPr>
          <w:i/>
        </w:rPr>
        <w:t>dataclass</w:t>
      </w:r>
      <w:r>
        <w:t xml:space="preserve"> </w:t>
      </w:r>
      <w:r>
        <w:rPr>
          <w:rFonts w:ascii="Courier New" w:hAnsi="Courier New"/>
        </w:rPr>
        <w:t>ToolMeta</w:t>
      </w:r>
      <w:r>
        <w:t xml:space="preserve"> yang menyimpan lima atribut metadata per </w:t>
      </w:r>
      <w:r>
        <w:rPr>
          <w:i/>
        </w:rPr>
        <w:t>tool</w:t>
      </w:r>
      <w:r>
        <w:t xml:space="preserve"> — modul (</w:t>
      </w:r>
      <w:r>
        <w:rPr>
          <w:i/>
        </w:rPr>
        <w:t>module</w:t>
      </w:r>
      <w:r>
        <w:t>), tipe operasi (</w:t>
      </w:r>
      <w:r>
        <w:rPr>
          <w:i/>
        </w:rPr>
        <w:t>op_type</w:t>
      </w:r>
      <w:r>
        <w:t>), kata kunci (</w:t>
      </w:r>
      <w:r>
        <w:rPr>
          <w:i/>
        </w:rPr>
        <w:t>keywords</w:t>
      </w:r>
      <w:r>
        <w:t>), peran (</w:t>
      </w:r>
      <w:r>
        <w:rPr>
          <w:i/>
        </w:rPr>
        <w:t>role</w:t>
      </w:r>
      <w:r>
        <w:t>), dan tingkat langganan (</w:t>
      </w:r>
      <w:r>
        <w:rPr>
          <w:i/>
        </w:rPr>
        <w:t>tier</w:t>
      </w:r>
      <w:r>
        <w:t xml:space="preserve">) — serta kelas </w:t>
      </w:r>
      <w:r>
        <w:rPr>
          <w:rFonts w:ascii="Courier New" w:hAnsi="Courier New"/>
        </w:rPr>
        <w:t>ToolRegistry</w:t>
      </w:r>
      <w:r>
        <w:t xml:space="preserve"> sebagai </w:t>
      </w:r>
      <w:r>
        <w:rPr>
          <w:i/>
        </w:rPr>
        <w:t>singleton</w:t>
      </w:r>
      <w:r>
        <w:t xml:space="preserve"> penyimpan katalog. Rancangan ini terbukti memadai untuk merepresentasikan seluruh </w:t>
      </w:r>
      <w:r>
        <w:rPr>
          <w:i/>
        </w:rPr>
        <w:t>tool</w:t>
      </w:r>
      <w:r>
        <w:t xml:space="preserve"> pada tiga skenario katalog (30, 100, dan 300 </w:t>
      </w:r>
      <w:r>
        <w:rPr>
          <w:i/>
        </w:rPr>
        <w:t>tools</w:t>
      </w:r>
      <w:r>
        <w:t>) tanpa perubahan struktur, sebagaimana diuraikan pada Bab III.</w:t>
      </w:r>
    </w:p>
    <w:p>
      <w:pPr>
        <w:ind w:firstLine="720"/>
        <w:jc w:val="both"/>
      </w:pPr>
      <w:r>
        <w:rPr>
          <w:b/>
        </w:rPr>
        <w:t>Rumusan masalah kedua</w:t>
      </w:r>
      <w:r>
        <w:t xml:space="preserve"> menyangkut mekanisme penyaringan </w:t>
      </w:r>
      <w:r>
        <w:rPr>
          <w:i/>
        </w:rPr>
        <w:t>tool</w:t>
      </w:r>
      <w:r>
        <w:t xml:space="preserve"> secara dinamis berdasarkan modul, peran, tingkat langganan, dan anggaran token. Permasalahan ini terjawab melalui fungsi </w:t>
      </w:r>
      <w:r>
        <w:rPr>
          <w:rFonts w:ascii="Courier New" w:hAnsi="Courier New"/>
        </w:rPr>
        <w:t>registry_filter()</w:t>
      </w:r>
      <w:r>
        <w:t xml:space="preserve"> yang menjalankan </w:t>
      </w:r>
      <w:r>
        <w:rPr>
          <w:i/>
        </w:rPr>
        <w:t>pipeline</w:t>
      </w:r>
      <w:r>
        <w:t xml:space="preserve"> penyaringan berbasis </w:t>
      </w:r>
      <w:r>
        <w:rPr>
          <w:i/>
        </w:rPr>
        <w:t>keyword scoring</w:t>
      </w:r>
      <w:r>
        <w:t xml:space="preserve"> dengan </w:t>
      </w:r>
      <w:r>
        <w:rPr>
          <w:i/>
        </w:rPr>
        <w:t>budget cap</w:t>
      </w:r>
      <w:r>
        <w:t xml:space="preserve"> maksimal 15 </w:t>
      </w:r>
      <w:r>
        <w:rPr>
          <w:i/>
        </w:rPr>
        <w:t>tools</w:t>
      </w:r>
      <w:r>
        <w:t xml:space="preserve"> per panggilan. Mekanisme ini bekerja secara deterministik dan ringan — tanpa ketergantungan pada model </w:t>
      </w:r>
      <w:r>
        <w:rPr>
          <w:i/>
        </w:rPr>
        <w:t>embedding</w:t>
      </w:r>
      <w:r>
        <w:t xml:space="preserve"> maupun basis data vektor — sehingga selaras dengan kebutuhan sistem ERP berukuran menengah seperti zerlo.id.</w:t>
      </w:r>
    </w:p>
    <w:p>
      <w:pPr>
        <w:ind w:firstLine="720"/>
        <w:jc w:val="both"/>
      </w:pPr>
      <w:r>
        <w:rPr>
          <w:b/>
        </w:rPr>
        <w:t>Rumusan masalah ketiga</w:t>
      </w:r>
      <w:r>
        <w:t xml:space="preserve"> menyangkut dampak Tool Registry terhadap penggunaan token, latensi, dan akurasi pemilihan </w:t>
      </w:r>
      <w:r>
        <w:rPr>
          <w:i/>
        </w:rPr>
        <w:t>tool</w:t>
      </w:r>
      <w:r>
        <w:t xml:space="preserve">. Hasil pengukuran menunjukkan bahwa kontribusi terkuat penelitian ini terletak pada </w:t>
      </w:r>
      <w:r>
        <w:rPr>
          <w:b/>
        </w:rPr>
        <w:t>penghematan token</w:t>
      </w:r>
      <w:r>
        <w:t xml:space="preserve">: konsumsi token rata-rata per kueri turun dari 2.426 menjadi 893 token pada skenario S1 (−63%), dari 7.985 menjadi 1.241 token pada S2 (−84%), dan dari 23.893 menjadi 1.239 token pada S3 (−95%). Penghematan ini terbukti signifikan secara statistik dengan uji Wilcoxon </w:t>
      </w:r>
      <w:r>
        <w:rPr>
          <w:i/>
        </w:rPr>
        <w:t>signed-rank</w:t>
      </w:r>
      <w:r>
        <w:t xml:space="preserve"> (p=0,0002 pada S1; p&lt;0,0001 pada S2 dan S3) dan ukuran efek Cohen's d yang sangat besar (11,71 hingga 782,01), jauh melampaui ambang </w:t>
      </w:r>
      <w:r>
        <w:rPr>
          <w:i/>
        </w:rPr>
        <w:t>large effect</w:t>
      </w:r>
      <w:r>
        <w:t xml:space="preserve">. Pada dimensi akurasi, mode </w:t>
      </w:r>
      <w:r>
        <w:rPr>
          <w:i/>
        </w:rPr>
        <w:t>registry</w:t>
      </w:r>
      <w:r>
        <w:t xml:space="preserve"> mencatat tren positif sebesar +6,3 persentase poin pada S1 (68,8% → 75,0%) dan S3 (71,4% → 77,6%), namun tanpa perubahan pada S2 (71,4% → 71,4%); peningkatan ini bersifat </w:t>
      </w:r>
      <w:r>
        <w:rPr>
          <w:i/>
        </w:rPr>
        <w:t>directional</w:t>
      </w:r>
      <w:r>
        <w:t xml:space="preserve"> dan </w:t>
      </w:r>
      <w:r>
        <w:rPr>
          <w:b/>
        </w:rPr>
        <w:t>belum signifikan</w:t>
      </w:r>
      <w:r>
        <w:t xml:space="preserve"> secara statistik (Wilcoxon p=0,28; 0,50; dan 0,09, seluruhnya di atas α=0,05), sehingga diposisikan sebagai tren pendukung, bukan klaim utama. Pada dimensi latensi, perbaikan bersifat moderat dan </w:t>
      </w:r>
      <w:r>
        <w:rPr>
          <w:i/>
        </w:rPr>
        <w:t>noisy</w:t>
      </w:r>
      <w:r>
        <w:t xml:space="preserve">: latensi p50 pada S3 turun dari 992 ms menjadi 851 ms (−14%), sedangkan pada S1 mode </w:t>
      </w:r>
      <w:r>
        <w:rPr>
          <w:i/>
        </w:rPr>
        <w:t>registry</w:t>
      </w:r>
      <w:r>
        <w:t xml:space="preserve"> justru sedikit lebih lambat — sehingga perbaikan latensi tidak dapat dinyatakan kuat.</w:t>
      </w:r>
    </w:p>
    <w:p>
      <w:pPr>
        <w:ind w:firstLine="720"/>
        <w:jc w:val="both"/>
      </w:pPr>
      <w:r>
        <w:rPr>
          <w:b/>
        </w:rPr>
        <w:t>Rumusan masalah keempat</w:t>
      </w:r>
      <w:r>
        <w:t xml:space="preserve"> menyangkut kemampuan Tool Registry mendukung skalabilitas AI Agent ketika katalog </w:t>
      </w:r>
      <w:r>
        <w:rPr>
          <w:i/>
        </w:rPr>
        <w:t>tool</w:t>
      </w:r>
      <w:r>
        <w:t xml:space="preserve"> bertambah. Permasalahan ini terjawab melalui temuan skalabilitas </w:t>
      </w:r>
      <w:r>
        <w:rPr>
          <w:i/>
        </w:rPr>
        <w:t>sub-linear</w:t>
      </w:r>
      <w:r>
        <w:t xml:space="preserve">: jumlah </w:t>
      </w:r>
      <w:r>
        <w:rPr>
          <w:i/>
        </w:rPr>
        <w:t>tool</w:t>
      </w:r>
      <w:r>
        <w:t xml:space="preserve"> yang terlihat oleh LLM tetap konstan pada batas anggaran (15 </w:t>
      </w:r>
      <w:r>
        <w:rPr>
          <w:i/>
        </w:rPr>
        <w:t>tools</w:t>
      </w:r>
      <w:r>
        <w:t xml:space="preserve"> pada S2 dan S3; 10,6 </w:t>
      </w:r>
      <w:r>
        <w:rPr>
          <w:i/>
        </w:rPr>
        <w:t>tools</w:t>
      </w:r>
      <w:r>
        <w:t xml:space="preserve"> rata-rata pada S1) meskipun ukuran katalog tumbuh dari 30 ke 100 ke 300 </w:t>
      </w:r>
      <w:r>
        <w:rPr>
          <w:i/>
        </w:rPr>
        <w:t>tools</w:t>
      </w:r>
      <w:r>
        <w:t xml:space="preserve">. Dengan demikian, konsumsi token mode </w:t>
      </w:r>
      <w:r>
        <w:rPr>
          <w:i/>
        </w:rPr>
        <w:t>registry</w:t>
      </w:r>
      <w:r>
        <w:t xml:space="preserve"> praktis stabil (893–1.241 token) sementara konsumsi </w:t>
      </w:r>
      <w:r>
        <w:rPr>
          <w:i/>
        </w:rPr>
        <w:t>baseline</w:t>
      </w:r>
      <w:r>
        <w:t xml:space="preserve"> meningkat hampir sepuluh kali lipat (2.426 → 23.893 token). Perilaku ini mengubah kompleksitas dari O(N) menjadi O(1) terhadap ukuran katalog, dengan </w:t>
      </w:r>
      <w:r>
        <w:rPr>
          <w:i/>
        </w:rPr>
        <w:t>overhead</w:t>
      </w:r>
      <w:r>
        <w:t xml:space="preserve"> memori yang tetap kecil dan linear (22 KB pada S1, 70 KB pada S2, 201 KB pada S3). Proyeksi deterministik pada skenario S4 (1.000 </w:t>
      </w:r>
      <w:r>
        <w:rPr>
          <w:i/>
        </w:rPr>
        <w:t>tools</w:t>
      </w:r>
      <w:r>
        <w:t>) memperkuat pola ini, dengan estimasi penghematan token mencapai −98%.</w:t>
      </w:r>
    </w:p>
    <w:p>
      <w:pPr>
        <w:ind w:firstLine="720"/>
        <w:jc w:val="both"/>
      </w:pPr>
      <w:r>
        <w:t xml:space="preserve">Secara keseluruhan, penelitian ini membuktikan bahwa Tool Registry deterministik berbasis metadata merupakan solusi </w:t>
      </w:r>
      <w:r>
        <w:rPr>
          <w:i/>
        </w:rPr>
        <w:t>tool management</w:t>
      </w:r>
      <w:r>
        <w:t xml:space="preserve"> yang efektif dan dapat diskalakan untuk AI Agent multi-modul. Kontribusi utama yang terbukti kuat secara statistik adalah penghematan token sebesar 63–95% yang memungkinkan platform zerlo.id diskalakan ke ratusan modul tanpa mengalami lonjakan biaya inferensi proporsional maupun degradasi konteks (</w:t>
      </w:r>
      <w:r>
        <w:rPr>
          <w:i/>
        </w:rPr>
        <w:t>context rot</w:t>
      </w:r>
      <w:r>
        <w:t>), sementara perbaikan akurasi dan latensi merupakan manfaat tambahan yang konsisten meskipun belum signifikan secara statistik.</w:t>
      </w:r>
    </w:p>
    <w:p>
      <w:pPr>
        <w:pStyle w:val="Heading2"/>
      </w:pPr>
      <w:r>
        <w:t>5.2 Keterbatasan dan Ancaman Terhadap Validitas</w:t>
      </w:r>
    </w:p>
    <w:p>
      <w:pPr>
        <w:ind w:firstLine="720"/>
        <w:jc w:val="both"/>
      </w:pPr>
      <w:r>
        <w:t>Hasil penelitian ini perlu ditafsirkan dalam kerangka keterbatasan eksperimen yang dirancang untuk kondisi terkontrol dan dapat direproduksi. Beberapa keterbatasan dan ancaman terhadap validitas diakui secara eksplisit demi menjaga kejujuran ilmiah.</w:t>
      </w:r>
    </w:p>
    <w:p>
      <w:pPr>
        <w:ind w:firstLine="720"/>
        <w:jc w:val="both"/>
      </w:pPr>
      <w:r>
        <w:rPr>
          <w:b/>
        </w:rPr>
        <w:t>Katalog dan skema *tool* yang sintetis.</w:t>
      </w:r>
      <w:r>
        <w:t xml:space="preserve"> Katalog </w:t>
      </w:r>
      <w:r>
        <w:rPr>
          <w:i/>
        </w:rPr>
        <w:t>tool</w:t>
      </w:r>
      <w:r>
        <w:t xml:space="preserve"> dibangun secara sintetis menggunakan generator berbasis modul dengan skema parameter dikosongkan (</w:t>
      </w:r>
      <w:r>
        <w:rPr>
          <w:rFonts w:ascii="Courier New" w:hAnsi="Courier New"/>
        </w:rPr>
        <w:t>properties: {}</w:t>
      </w:r>
      <w:r>
        <w:t xml:space="preserve">) dan deskripsi berpola seragam. Akibatnya, model hanya dapat membedakan </w:t>
      </w:r>
      <w:r>
        <w:rPr>
          <w:i/>
        </w:rPr>
        <w:t>tool</w:t>
      </w:r>
      <w:r>
        <w:t xml:space="preserve"> berdasarkan teks deskripsi pendek tanpa sinyal struktur parameter. Kondisi ini menekan akurasi absolut kedua mode secara setara sehingga akurasi yang terukur merupakan </w:t>
      </w:r>
      <w:r>
        <w:rPr>
          <w:i/>
        </w:rPr>
        <w:t>lower bound</w:t>
      </w:r>
      <w:r>
        <w:t xml:space="preserve">; klaim keunggulan </w:t>
      </w:r>
      <w:r>
        <w:rPr>
          <w:i/>
        </w:rPr>
        <w:t>registry</w:t>
      </w:r>
      <w:r>
        <w:t xml:space="preserve"> tetap valid karena kondisi ini berlaku identik pada </w:t>
      </w:r>
      <w:r>
        <w:rPr>
          <w:i/>
        </w:rPr>
        <w:t>baseline</w:t>
      </w:r>
      <w:r>
        <w:t xml:space="preserve"> maupun </w:t>
      </w:r>
      <w:r>
        <w:rPr>
          <w:i/>
        </w:rPr>
        <w:t>registry</w:t>
      </w:r>
      <w:r>
        <w:t>.</w:t>
      </w:r>
    </w:p>
    <w:p>
      <w:pPr>
        <w:ind w:firstLine="720"/>
        <w:jc w:val="both"/>
      </w:pPr>
      <w:r>
        <w:rPr>
          <w:b/>
        </w:rPr>
        <w:t>Kegagalan deterministik sebagai *confounding variable*.</w:t>
      </w:r>
      <w:r>
        <w:t xml:space="preserve"> Sebagaimana dianalisis pada Subbab 4.9, empat hingga lima pola kueri gagal secara konsisten di seluruh pengulangan pada kedua mode. Seluruh </w:t>
      </w:r>
      <w:r>
        <w:rPr>
          <w:i/>
        </w:rPr>
        <w:t>tool</w:t>
      </w:r>
      <w:r>
        <w:t xml:space="preserve"> yang keliru dipilih berada di modul yang sama dengan </w:t>
      </w:r>
      <w:r>
        <w:rPr>
          <w:i/>
        </w:rPr>
        <w:t>tool</w:t>
      </w:r>
      <w:r>
        <w:t xml:space="preserve"> yang diharapkan — membuktikan penyaringan modul berfungsi benar, namun model gagal membedakan antar-</w:t>
      </w:r>
      <w:r>
        <w:rPr>
          <w:i/>
        </w:rPr>
        <w:t>tool</w:t>
      </w:r>
      <w:r>
        <w:t xml:space="preserve"> intra-modul akibat deskripsi yang mirip. Kegagalan ini merupakan keterbatasan format deskripsi </w:t>
      </w:r>
      <w:r>
        <w:rPr>
          <w:i/>
        </w:rPr>
        <w:t>tool</w:t>
      </w:r>
      <w:r>
        <w:t>, bukan kegagalan Tool Registry.</w:t>
      </w:r>
    </w:p>
    <w:p>
      <w:pPr>
        <w:ind w:firstLine="720"/>
        <w:jc w:val="both"/>
      </w:pPr>
      <w:r>
        <w:rPr>
          <w:b/>
        </w:rPr>
        <w:t>Cakupan eksperimen yang terbatas.</w:t>
      </w:r>
      <w:r>
        <w:t xml:space="preserve"> Eksperimen utama menggunakan satu penyedia LLM (Gemini 2.5 Flash Lite), 100 kueri evaluasi, dan tiga pengulangan per kueri. Validasi multi-model pada MiniMax-M2.7 dan GLM-4.5-Flash melalui </w:t>
      </w:r>
      <w:r>
        <w:rPr>
          <w:i/>
        </w:rPr>
        <w:t>gateway</w:t>
      </w:r>
      <w:r>
        <w:t xml:space="preserve"> ADACODE tidak dapat diperbandingkan secara valid karena keterbatasan </w:t>
      </w:r>
      <w:r>
        <w:rPr>
          <w:i/>
        </w:rPr>
        <w:t>harness</w:t>
      </w:r>
      <w:r>
        <w:t xml:space="preserve"> pengukuran token dan ekstraksi pemanggilan </w:t>
      </w:r>
      <w:r>
        <w:rPr>
          <w:i/>
        </w:rPr>
        <w:t>tool</w:t>
      </w:r>
      <w:r>
        <w:t xml:space="preserve"> (Subbab 4.10). Pengukuran latensi juga mencakup latensi jaringan ke API sehingga bukan ukuran murni latensi inferensi. Hasil resmi penelitian ini, dengan demikian, bersifat spesifik terhadap mekanisme </w:t>
      </w:r>
      <w:r>
        <w:rPr>
          <w:i/>
        </w:rPr>
        <w:t>native function calling</w:t>
      </w:r>
      <w:r>
        <w:t xml:space="preserve"> Gemini 2.5 Flash Lite pada periode pengujian.</w:t>
      </w:r>
    </w:p>
    <w:p>
      <w:pPr>
        <w:ind w:firstLine="720"/>
        <w:jc w:val="both"/>
      </w:pPr>
      <w:r>
        <w:rPr>
          <w:b/>
        </w:rPr>
        <w:t>Validitas konstruk.</w:t>
      </w:r>
      <w:r>
        <w:t xml:space="preserve"> Akurasi didefinisikan secara biner sebagai kecocokan nama fungsi (</w:t>
      </w:r>
      <w:r>
        <w:rPr>
          <w:rFonts w:ascii="Courier New" w:hAnsi="Courier New"/>
        </w:rPr>
        <w:t>selected_tool == expected_tool</w:t>
      </w:r>
      <w:r>
        <w:t xml:space="preserve">), dengan asumsi setiap kueri memiliki tepat satu </w:t>
      </w:r>
      <w:r>
        <w:rPr>
          <w:i/>
        </w:rPr>
        <w:t>tool</w:t>
      </w:r>
      <w:r>
        <w:t xml:space="preserve"> yang benar — sebuah penyederhanaan terhadap kondisi nyata yang dapat melibatkan beberapa </w:t>
      </w:r>
      <w:r>
        <w:rPr>
          <w:i/>
        </w:rPr>
        <w:t>tool</w:t>
      </w:r>
      <w:r>
        <w:t xml:space="preserve"> alternatif atau rangkaian </w:t>
      </w:r>
      <w:r>
        <w:rPr>
          <w:i/>
        </w:rPr>
        <w:t>tool</w:t>
      </w:r>
      <w:r>
        <w:t xml:space="preserve">. Token usage yang diukur berasal dari </w:t>
      </w:r>
      <w:r>
        <w:rPr>
          <w:rFonts w:ascii="Courier New" w:hAnsi="Courier New"/>
        </w:rPr>
        <w:t>usage_metadata</w:t>
      </w:r>
      <w:r>
        <w:t xml:space="preserve"> API dan belum mencakup </w:t>
      </w:r>
      <w:r>
        <w:rPr>
          <w:i/>
        </w:rPr>
        <w:t>overhead</w:t>
      </w:r>
      <w:r>
        <w:t xml:space="preserve"> dari </w:t>
      </w:r>
      <w:r>
        <w:rPr>
          <w:i/>
        </w:rPr>
        <w:t>system prompt</w:t>
      </w:r>
      <w:r>
        <w:t xml:space="preserve"> maupun riwayat percakapan pada sistem </w:t>
      </w:r>
      <w:r>
        <w:rPr>
          <w:i/>
        </w:rPr>
        <w:t>production</w:t>
      </w:r>
      <w:r>
        <w:t>.</w:t>
      </w:r>
    </w:p>
    <w:p>
      <w:pPr>
        <w:ind w:firstLine="720"/>
        <w:jc w:val="both"/>
      </w:pPr>
      <w:r>
        <w:t>Tabel 5.1 merangkum pemetaan antara ancaman terhadap validitas, mitigasi yang diterapkan pada penelitian ini, dan arah penyempurnaan pada penelitian lanjutan.</w:t>
      </w:r>
    </w:p>
    <w:p>
      <w:pPr>
        <w:pStyle w:val="Caption"/>
        <w:keepNext/>
        <w:jc w:val="center"/>
      </w:pPr>
      <w:r>
        <w:t>Tabel 5.</w:t>
      </w:r>
      <w:fldSimple w:instr=" SEQ Tabel \* ARABIC \s 1 ">
        <w:r>
          <w:t>1</w:t>
        </w:r>
      </w:fldSimple>
      <w:r>
        <w:t xml:space="preserve"> Ancaman Terhadap Validitas, Mitigasi, dan Penelitian Lanjutan</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2646"/>
        <w:gridCol w:w="2646"/>
        <w:gridCol w:w="2646"/>
      </w:tblGrid>
      <w:tr>
        <w:trPr>
          <w:cantSplit/>
          <w:tblHeader/>
        </w:trPr>
        <w:tc>
          <w:tcPr>
            <w:tcW w:type="dxa" w:w="2646"/>
            <w:tcBorders>
              <w:top w:val="none"/>
              <w:bottom w:val="single" w:sz="8" w:space="0" w:color="000000"/>
              <w:left w:val="none"/>
              <w:right w:val="none"/>
            </w:tcBorders>
          </w:tcPr>
          <w:p>
            <w:pPr>
              <w:spacing w:line="240" w:lineRule="auto" w:after="0"/>
            </w:pPr>
            <w:r>
              <w:rPr>
                <w:b/>
                <w:sz w:val="20"/>
              </w:rPr>
            </w:r>
            <w:r>
              <w:rPr>
                <w:b/>
                <w:sz w:val="20"/>
              </w:rPr>
              <w:t>Ancaman</w:t>
            </w:r>
          </w:p>
        </w:tc>
        <w:tc>
          <w:tcPr>
            <w:tcW w:type="dxa" w:w="2646"/>
            <w:tcBorders>
              <w:top w:val="none"/>
              <w:bottom w:val="single" w:sz="8" w:space="0" w:color="000000"/>
              <w:left w:val="none"/>
              <w:right w:val="none"/>
            </w:tcBorders>
          </w:tcPr>
          <w:p>
            <w:pPr>
              <w:spacing w:line="240" w:lineRule="auto" w:after="0"/>
            </w:pPr>
            <w:r>
              <w:rPr>
                <w:b/>
                <w:sz w:val="20"/>
              </w:rPr>
            </w:r>
            <w:r>
              <w:rPr>
                <w:b/>
                <w:sz w:val="20"/>
              </w:rPr>
              <w:t>Mitigasi pada Penelitian Ini</w:t>
            </w:r>
          </w:p>
        </w:tc>
        <w:tc>
          <w:tcPr>
            <w:tcW w:type="dxa" w:w="2646"/>
            <w:tcBorders>
              <w:top w:val="none"/>
              <w:bottom w:val="single" w:sz="8" w:space="0" w:color="000000"/>
              <w:left w:val="none"/>
              <w:right w:val="none"/>
            </w:tcBorders>
          </w:tcPr>
          <w:p>
            <w:pPr>
              <w:spacing w:line="240" w:lineRule="auto" w:after="0"/>
            </w:pPr>
            <w:r>
              <w:rPr>
                <w:b/>
                <w:sz w:val="20"/>
              </w:rPr>
            </w:r>
            <w:r>
              <w:rPr>
                <w:b/>
                <w:sz w:val="20"/>
              </w:rPr>
              <w:t>Penelitian Lanjutan</w:t>
            </w:r>
          </w:p>
        </w:tc>
      </w:tr>
      <w:tr>
        <w:trPr>
          <w:cantSplit/>
        </w:trPr>
        <w:tc>
          <w:tcPr>
            <w:tcW w:type="dxa" w:w="2646"/>
          </w:tcPr>
          <w:p>
            <w:pPr>
              <w:spacing w:line="240" w:lineRule="auto" w:after="0"/>
            </w:pPr>
            <w:r>
              <w:rPr>
                <w:sz w:val="20"/>
              </w:rPr>
            </w:r>
            <w:r>
              <w:rPr>
                <w:sz w:val="20"/>
              </w:rPr>
              <w:t xml:space="preserve">Katalog </w:t>
            </w:r>
            <w:r>
              <w:rPr>
                <w:i/>
                <w:sz w:val="20"/>
              </w:rPr>
              <w:t>tool</w:t>
            </w:r>
            <w:r>
              <w:rPr>
                <w:sz w:val="20"/>
              </w:rPr>
              <w:t xml:space="preserve"> sintetis</w:t>
            </w:r>
          </w:p>
        </w:tc>
        <w:tc>
          <w:tcPr>
            <w:tcW w:type="dxa" w:w="2646"/>
          </w:tcPr>
          <w:p>
            <w:pPr>
              <w:spacing w:line="240" w:lineRule="auto" w:after="0"/>
            </w:pPr>
            <w:r>
              <w:rPr>
                <w:sz w:val="20"/>
              </w:rPr>
            </w:r>
            <w:r>
              <w:rPr>
                <w:i/>
                <w:sz w:val="20"/>
              </w:rPr>
              <w:t>Tool</w:t>
            </w:r>
            <w:r>
              <w:rPr>
                <w:sz w:val="20"/>
              </w:rPr>
              <w:t xml:space="preserve"> menyerupai domain ERP; skema seragam dikontrol antar-mode</w:t>
            </w:r>
          </w:p>
        </w:tc>
        <w:tc>
          <w:tcPr>
            <w:tcW w:type="dxa" w:w="2646"/>
          </w:tcPr>
          <w:p>
            <w:pPr>
              <w:spacing w:line="240" w:lineRule="auto" w:after="0"/>
            </w:pPr>
            <w:r>
              <w:rPr>
                <w:sz w:val="20"/>
              </w:rPr>
            </w:r>
            <w:r>
              <w:rPr>
                <w:sz w:val="20"/>
              </w:rPr>
              <w:t xml:space="preserve">Uji dengan katalog </w:t>
            </w:r>
            <w:r>
              <w:rPr>
                <w:i/>
                <w:sz w:val="20"/>
              </w:rPr>
              <w:t>production</w:t>
            </w:r>
            <w:r>
              <w:rPr>
                <w:sz w:val="20"/>
              </w:rPr>
              <w:t xml:space="preserve"> zerlo.id yang sesungguhnya</w:t>
            </w:r>
          </w:p>
        </w:tc>
      </w:tr>
      <w:tr>
        <w:trPr>
          <w:cantSplit/>
        </w:trPr>
        <w:tc>
          <w:tcPr>
            <w:tcW w:type="dxa" w:w="2646"/>
          </w:tcPr>
          <w:p>
            <w:pPr>
              <w:spacing w:line="240" w:lineRule="auto" w:after="0"/>
            </w:pPr>
            <w:r>
              <w:rPr>
                <w:sz w:val="20"/>
              </w:rPr>
            </w:r>
            <w:r>
              <w:rPr>
                <w:sz w:val="20"/>
              </w:rPr>
              <w:t>Skema parameter kosong</w:t>
            </w:r>
          </w:p>
        </w:tc>
        <w:tc>
          <w:tcPr>
            <w:tcW w:type="dxa" w:w="2646"/>
          </w:tcPr>
          <w:p>
            <w:pPr>
              <w:spacing w:line="240" w:lineRule="auto" w:after="0"/>
            </w:pPr>
            <w:r>
              <w:rPr>
                <w:sz w:val="20"/>
              </w:rPr>
            </w:r>
            <w:r>
              <w:rPr>
                <w:sz w:val="20"/>
              </w:rPr>
              <w:t xml:space="preserve">Kondisi identik pada </w:t>
            </w:r>
            <w:r>
              <w:rPr>
                <w:i/>
                <w:sz w:val="20"/>
              </w:rPr>
              <w:t>baseline</w:t>
            </w:r>
            <w:r>
              <w:rPr>
                <w:sz w:val="20"/>
              </w:rPr>
              <w:t xml:space="preserve"> dan </w:t>
            </w:r>
            <w:r>
              <w:rPr>
                <w:i/>
                <w:sz w:val="20"/>
              </w:rPr>
              <w:t>registry</w:t>
            </w:r>
            <w:r>
              <w:rPr>
                <w:sz w:val="20"/>
              </w:rPr>
              <w:t>; klaim tetap valid</w:t>
            </w:r>
          </w:p>
        </w:tc>
        <w:tc>
          <w:tcPr>
            <w:tcW w:type="dxa" w:w="2646"/>
          </w:tcPr>
          <w:p>
            <w:pPr>
              <w:spacing w:line="240" w:lineRule="auto" w:after="0"/>
            </w:pPr>
            <w:r>
              <w:rPr>
                <w:sz w:val="20"/>
              </w:rPr>
            </w:r>
            <w:r>
              <w:rPr>
                <w:sz w:val="20"/>
              </w:rPr>
              <w:t>Tambahkan skema parameter lengkap untuk mengukur dampaknya</w:t>
            </w:r>
          </w:p>
        </w:tc>
      </w:tr>
      <w:tr>
        <w:trPr>
          <w:cantSplit/>
        </w:trPr>
        <w:tc>
          <w:tcPr>
            <w:tcW w:type="dxa" w:w="2646"/>
          </w:tcPr>
          <w:p>
            <w:pPr>
              <w:spacing w:line="240" w:lineRule="auto" w:after="0"/>
            </w:pPr>
            <w:r>
              <w:rPr>
                <w:sz w:val="20"/>
              </w:rPr>
            </w:r>
            <w:r>
              <w:rPr>
                <w:sz w:val="20"/>
              </w:rPr>
              <w:t>Dataset evaluasi kecil</w:t>
            </w:r>
          </w:p>
        </w:tc>
        <w:tc>
          <w:tcPr>
            <w:tcW w:type="dxa" w:w="2646"/>
          </w:tcPr>
          <w:p>
            <w:pPr>
              <w:spacing w:line="240" w:lineRule="auto" w:after="0"/>
            </w:pPr>
            <w:r>
              <w:rPr>
                <w:sz w:val="20"/>
              </w:rPr>
            </w:r>
            <w:r>
              <w:rPr>
                <w:sz w:val="20"/>
              </w:rPr>
              <w:t>100 kueri (50/30/20), 3 pengulangan, uji Wilcoxon + Cohen's d + CI 95%</w:t>
            </w:r>
          </w:p>
        </w:tc>
        <w:tc>
          <w:tcPr>
            <w:tcW w:type="dxa" w:w="2646"/>
          </w:tcPr>
          <w:p>
            <w:pPr>
              <w:spacing w:line="240" w:lineRule="auto" w:after="0"/>
            </w:pPr>
            <w:r>
              <w:rPr>
                <w:sz w:val="20"/>
              </w:rPr>
            </w:r>
            <w:r>
              <w:rPr>
                <w:sz w:val="20"/>
              </w:rPr>
              <w:t>Perluas ke 300+ kueri dengan distribusi lebih representatif</w:t>
            </w:r>
          </w:p>
        </w:tc>
      </w:tr>
      <w:tr>
        <w:trPr>
          <w:cantSplit/>
        </w:trPr>
        <w:tc>
          <w:tcPr>
            <w:tcW w:type="dxa" w:w="2646"/>
          </w:tcPr>
          <w:p>
            <w:pPr>
              <w:spacing w:line="240" w:lineRule="auto" w:after="0"/>
            </w:pPr>
            <w:r>
              <w:rPr>
                <w:sz w:val="20"/>
              </w:rPr>
            </w:r>
            <w:r>
              <w:rPr>
                <w:sz w:val="20"/>
              </w:rPr>
              <w:t>Satu penyedia LLM</w:t>
            </w:r>
          </w:p>
        </w:tc>
        <w:tc>
          <w:tcPr>
            <w:tcW w:type="dxa" w:w="2646"/>
          </w:tcPr>
          <w:p>
            <w:pPr>
              <w:spacing w:line="240" w:lineRule="auto" w:after="0"/>
            </w:pPr>
            <w:r>
              <w:rPr>
                <w:sz w:val="20"/>
              </w:rPr>
            </w:r>
            <w:r>
              <w:rPr>
                <w:sz w:val="20"/>
              </w:rPr>
              <w:t xml:space="preserve">Fokus pada Gemini sesuai </w:t>
            </w:r>
            <w:r>
              <w:rPr>
                <w:i/>
                <w:sz w:val="20"/>
              </w:rPr>
              <w:t>stack production</w:t>
            </w:r>
            <w:r>
              <w:rPr>
                <w:sz w:val="20"/>
              </w:rPr>
              <w:t xml:space="preserve"> zerlo.id</w:t>
            </w:r>
          </w:p>
        </w:tc>
        <w:tc>
          <w:tcPr>
            <w:tcW w:type="dxa" w:w="2646"/>
          </w:tcPr>
          <w:p>
            <w:pPr>
              <w:spacing w:line="240" w:lineRule="auto" w:after="0"/>
            </w:pPr>
            <w:r>
              <w:rPr>
                <w:sz w:val="20"/>
              </w:rPr>
            </w:r>
            <w:r>
              <w:rPr>
                <w:sz w:val="20"/>
              </w:rPr>
              <w:t xml:space="preserve">Validasi lintas model (Claude, GPT-4o, MiniMax) dengan </w:t>
            </w:r>
            <w:r>
              <w:rPr>
                <w:i/>
                <w:sz w:val="20"/>
              </w:rPr>
              <w:t>harness</w:t>
            </w:r>
            <w:r>
              <w:rPr>
                <w:sz w:val="20"/>
              </w:rPr>
              <w:t xml:space="preserve"> per-penyedia</w:t>
            </w:r>
          </w:p>
        </w:tc>
      </w:tr>
      <w:tr>
        <w:trPr>
          <w:cantSplit/>
        </w:trPr>
        <w:tc>
          <w:tcPr>
            <w:tcW w:type="dxa" w:w="2646"/>
          </w:tcPr>
          <w:p>
            <w:pPr>
              <w:spacing w:line="240" w:lineRule="auto" w:after="0"/>
            </w:pPr>
            <w:r>
              <w:rPr>
                <w:sz w:val="20"/>
              </w:rPr>
            </w:r>
            <w:r>
              <w:rPr>
                <w:sz w:val="20"/>
              </w:rPr>
              <w:t>Kegagalan deterministik</w:t>
            </w:r>
          </w:p>
        </w:tc>
        <w:tc>
          <w:tcPr>
            <w:tcW w:type="dxa" w:w="2646"/>
          </w:tcPr>
          <w:p>
            <w:pPr>
              <w:spacing w:line="240" w:lineRule="auto" w:after="0"/>
            </w:pPr>
            <w:r>
              <w:rPr>
                <w:sz w:val="20"/>
              </w:rPr>
            </w:r>
            <w:r>
              <w:rPr>
                <w:sz w:val="20"/>
              </w:rPr>
              <w:t xml:space="preserve">Dianalisis per kueri; didokumentasikan sebagai </w:t>
            </w:r>
            <w:r>
              <w:rPr>
                <w:i/>
                <w:sz w:val="20"/>
              </w:rPr>
              <w:t>threat</w:t>
            </w:r>
          </w:p>
        </w:tc>
        <w:tc>
          <w:tcPr>
            <w:tcW w:type="dxa" w:w="2646"/>
          </w:tcPr>
          <w:p>
            <w:pPr>
              <w:spacing w:line="240" w:lineRule="auto" w:after="0"/>
            </w:pPr>
            <w:r>
              <w:rPr>
                <w:sz w:val="20"/>
              </w:rPr>
            </w:r>
            <w:r>
              <w:rPr>
                <w:i/>
                <w:sz w:val="20"/>
              </w:rPr>
              <w:t>Two-stage</w:t>
            </w:r>
            <w:r>
              <w:rPr>
                <w:sz w:val="20"/>
              </w:rPr>
              <w:t xml:space="preserve">: penyaringan </w:t>
            </w:r>
            <w:r>
              <w:rPr>
                <w:i/>
                <w:sz w:val="20"/>
              </w:rPr>
              <w:t>registry</w:t>
            </w:r>
            <w:r>
              <w:rPr>
                <w:sz w:val="20"/>
              </w:rPr>
              <w:t xml:space="preserve"> → </w:t>
            </w:r>
            <w:r>
              <w:rPr>
                <w:i/>
                <w:sz w:val="20"/>
              </w:rPr>
              <w:t>intent</w:t>
            </w:r>
            <w:r>
              <w:rPr>
                <w:sz w:val="20"/>
              </w:rPr>
              <w:t xml:space="preserve"> unik per </w:t>
            </w:r>
            <w:r>
              <w:rPr>
                <w:i/>
                <w:sz w:val="20"/>
              </w:rPr>
              <w:t>tool</w:t>
            </w:r>
          </w:p>
        </w:tc>
      </w:tr>
      <w:tr>
        <w:trPr>
          <w:cantSplit/>
        </w:trPr>
        <w:tc>
          <w:tcPr>
            <w:tcW w:type="dxa" w:w="2646"/>
          </w:tcPr>
          <w:p>
            <w:pPr>
              <w:spacing w:line="240" w:lineRule="auto" w:after="0"/>
            </w:pPr>
            <w:r>
              <w:rPr>
                <w:sz w:val="20"/>
              </w:rPr>
            </w:r>
            <w:r>
              <w:rPr>
                <w:sz w:val="20"/>
              </w:rPr>
              <w:t>Latensi jaringan</w:t>
            </w:r>
          </w:p>
        </w:tc>
        <w:tc>
          <w:tcPr>
            <w:tcW w:type="dxa" w:w="2646"/>
          </w:tcPr>
          <w:p>
            <w:pPr>
              <w:spacing w:line="240" w:lineRule="auto" w:after="0"/>
            </w:pPr>
            <w:r>
              <w:rPr>
                <w:sz w:val="20"/>
              </w:rPr>
            </w:r>
            <w:r>
              <w:rPr>
                <w:sz w:val="20"/>
              </w:rPr>
              <w:t xml:space="preserve">Dilaporkan sebagai p50/p95 </w:t>
            </w:r>
            <w:r>
              <w:rPr>
                <w:i/>
                <w:sz w:val="20"/>
              </w:rPr>
              <w:t>wall-clock</w:t>
            </w:r>
            <w:r>
              <w:rPr>
                <w:sz w:val="20"/>
              </w:rPr>
              <w:t>; metrik komparatif tetap valid</w:t>
            </w:r>
          </w:p>
        </w:tc>
        <w:tc>
          <w:tcPr>
            <w:tcW w:type="dxa" w:w="2646"/>
          </w:tcPr>
          <w:p>
            <w:pPr>
              <w:spacing w:line="240" w:lineRule="auto" w:after="0"/>
            </w:pPr>
            <w:r>
              <w:rPr>
                <w:sz w:val="20"/>
              </w:rPr>
            </w:r>
            <w:r>
              <w:rPr>
                <w:sz w:val="20"/>
              </w:rPr>
              <w:t>Pisahkan latensi jaringan dari latensi inferensi</w:t>
            </w:r>
          </w:p>
        </w:tc>
      </w:tr>
    </w:tbl>
    <w:p>
      <w:pPr>
        <w:pStyle w:val="Heading2"/>
      </w:pPr>
      <w:r>
        <w:t>5.3 Saran / Future Work</w:t>
      </w:r>
    </w:p>
    <w:p>
      <w:pPr>
        <w:ind w:firstLine="720"/>
        <w:jc w:val="both"/>
      </w:pPr>
      <w:r>
        <w:t>Berdasarkan temuan dan keterbatasan di atas, beberapa arah penelitian lanjutan direkomendasikan.</w:t>
      </w:r>
    </w:p>
    <w:p>
      <w:pPr>
        <w:ind w:left="567" w:hanging="283"/>
        <w:jc w:val="both"/>
      </w:pPr>
      <w:r>
        <w:t xml:space="preserve">1. </w:t>
      </w:r>
      <w:r>
        <w:rPr>
          <w:b/>
        </w:rPr>
        <w:t>Integrasi *Tool RAG* berbasis vektor untuk skala ribuan *tool*.</w:t>
      </w:r>
      <w:r>
        <w:t xml:space="preserve"> Tool Registry deterministik efektif pada skala ratusan </w:t>
      </w:r>
      <w:r>
        <w:rPr>
          <w:i/>
        </w:rPr>
        <w:t>tool</w:t>
      </w:r>
      <w:r>
        <w:t xml:space="preserve">, tetapi pada skala ribuan </w:t>
      </w:r>
      <w:r>
        <w:rPr>
          <w:i/>
        </w:rPr>
        <w:t>tool</w:t>
      </w:r>
      <w:r>
        <w:t xml:space="preserve"> — sebagaimana dilaporkan MCP-Flow dengan 11.536 </w:t>
      </w:r>
      <w:r>
        <w:rPr>
          <w:i/>
        </w:rPr>
        <w:t>tools</w:t>
      </w:r>
      <w:r>
        <w:t xml:space="preserve"> [13] — penyaringan berbasis kata kunci dapat menjadi kurang presisi. Penggabungan dengan pendekatan </w:t>
      </w:r>
      <w:r>
        <w:rPr>
          <w:i/>
        </w:rPr>
        <w:t>Retrieval-Augmented Generation</w:t>
      </w:r>
      <w:r>
        <w:t xml:space="preserve"> berbasis </w:t>
      </w:r>
      <w:r>
        <w:rPr>
          <w:i/>
        </w:rPr>
        <w:t>embedding</w:t>
      </w:r>
      <w:r>
        <w:t xml:space="preserve"> seperti Gorilla [8] dan Toolshed [10] berpotensi mempertahankan presisi pada skala yang jauh lebih besar.</w:t>
      </w:r>
    </w:p>
    <w:p>
      <w:pPr>
        <w:ind w:left="567" w:hanging="283"/>
        <w:jc w:val="both"/>
      </w:pPr>
      <w:r>
        <w:t xml:space="preserve">2. </w:t>
      </w:r>
      <w:r>
        <w:rPr>
          <w:b/>
        </w:rPr>
        <w:t>Pendekatan hibrida *two-stage*: penyaringan *registry* diikuti deskripsi kaya per *tool*.</w:t>
      </w:r>
      <w:r>
        <w:t xml:space="preserve"> Eksperimen Gemini Rich (Subbab 4.1) menunjukkan bahwa </w:t>
      </w:r>
      <w:r>
        <w:rPr>
          <w:i/>
        </w:rPr>
        <w:t>template intent</w:t>
      </w:r>
      <w:r>
        <w:t xml:space="preserve"> generik justru menurunkan akurasi </w:t>
      </w:r>
      <w:r>
        <w:rPr>
          <w:i/>
        </w:rPr>
        <w:t>registry</w:t>
      </w:r>
      <w:r>
        <w:t xml:space="preserve"> sebesar 9–11 persentase poin karena identik untuk seluruh </w:t>
      </w:r>
      <w:r>
        <w:rPr>
          <w:i/>
        </w:rPr>
        <w:t>tool</w:t>
      </w:r>
      <w:r>
        <w:t xml:space="preserve"> dengan </w:t>
      </w:r>
      <w:r>
        <w:rPr>
          <w:i/>
        </w:rPr>
        <w:t>op_type</w:t>
      </w:r>
      <w:r>
        <w:t xml:space="preserve"> yang sama. Temuan ini menegaskan bahwa kualitas deskripsi berarti </w:t>
      </w:r>
      <w:r>
        <w:rPr>
          <w:b/>
        </w:rPr>
        <w:t>keunikan per *tool</w:t>
      </w:r>
      <w:r>
        <w:rPr>
          <w:i/>
        </w:rPr>
        <w:t xml:space="preserve">, bukan panjang teks. Penelitian lanjutan dapat menguji arsitektur dua tahap: tahap pertama menyaring kandidat dengan </w:t>
      </w:r>
      <w:r>
        <w:t>registry</w:t>
      </w:r>
      <w:r>
        <w:rPr>
          <w:i/>
        </w:rPr>
        <w:t xml:space="preserve"> (penghematan token besar), tahap kedua menyuntikkan </w:t>
      </w:r>
      <w:r>
        <w:t>docstring</w:t>
      </w:r>
      <w:r>
        <w:rPr>
          <w:i/>
        </w:rPr>
        <w:t xml:space="preserve"> unik per </w:t>
      </w:r>
      <w:r>
        <w:t>tool* hanya untuk kandidat terpilih — sehingga akurasi intra-modul meningkat tanpa membengkakkan token.</w:t>
      </w:r>
    </w:p>
    <w:p>
      <w:pPr>
        <w:ind w:left="567" w:hanging="283"/>
        <w:jc w:val="both"/>
      </w:pPr>
      <w:r>
        <w:t xml:space="preserve">3. </w:t>
      </w:r>
      <w:r>
        <w:rPr>
          <w:b/>
        </w:rPr>
        <w:t>Penambahan skema parameter lengkap.</w:t>
      </w:r>
      <w:r>
        <w:t xml:space="preserve"> Pengisian skema parameter yang bertipe dan bernama spesifik diharapkan dapat menaikkan </w:t>
      </w:r>
      <w:r>
        <w:rPr>
          <w:i/>
        </w:rPr>
        <w:t>ceiling</w:t>
      </w:r>
      <w:r>
        <w:t xml:space="preserve"> akurasi yang pada eksperimen ini tertahan oleh skema kosong, sekaligus mengatasi sebagian besar kegagalan deterministik intra-modul.</w:t>
      </w:r>
    </w:p>
    <w:p>
      <w:pPr>
        <w:ind w:left="567" w:hanging="283"/>
        <w:jc w:val="both"/>
      </w:pPr>
      <w:r>
        <w:t xml:space="preserve">4. </w:t>
      </w:r>
      <w:r>
        <w:rPr>
          <w:b/>
        </w:rPr>
        <w:t>Validasi multi-model dengan *harness* pengukuran per-penyedia.</w:t>
      </w:r>
      <w:r>
        <w:t xml:space="preserve"> Perbandingan lintas penyedia LLM (Claude Sonnet 4.6, GPT-4o, MiniMax-M2.7, GLM-4.5-Flash) memerlukan adaptasi </w:t>
      </w:r>
      <w:r>
        <w:rPr>
          <w:i/>
        </w:rPr>
        <w:t>harness</w:t>
      </w:r>
      <w:r>
        <w:t xml:space="preserve"> penghitungan token dan ekstraksi pemanggilan </w:t>
      </w:r>
      <w:r>
        <w:rPr>
          <w:i/>
        </w:rPr>
        <w:t>tool</w:t>
      </w:r>
      <w:r>
        <w:t xml:space="preserve"> agar setara dengan </w:t>
      </w:r>
      <w:r>
        <w:rPr>
          <w:i/>
        </w:rPr>
        <w:t>native function calling</w:t>
      </w:r>
      <w:r>
        <w:t xml:space="preserve"> Gemini, sehingga generalisabilitas temuan dapat diuji secara valid.</w:t>
      </w:r>
    </w:p>
    <w:p>
      <w:pPr>
        <w:ind w:left="567" w:hanging="283"/>
        <w:jc w:val="both"/>
      </w:pPr>
      <w:r>
        <w:t xml:space="preserve">5. </w:t>
      </w:r>
      <w:r>
        <w:rPr>
          <w:b/>
        </w:rPr>
        <w:t>Integrasi produksi penuh dan evaluasi berkelanjutan.</w:t>
      </w:r>
      <w:r>
        <w:t xml:space="preserve"> Penerapan Tool Registry pada lingkungan </w:t>
      </w:r>
      <w:r>
        <w:rPr>
          <w:i/>
        </w:rPr>
        <w:t>production</w:t>
      </w:r>
      <w:r>
        <w:t xml:space="preserve"> zerlo.id secara penuh — mencakup penyaringan berbasis </w:t>
      </w:r>
      <w:r>
        <w:rPr>
          <w:i/>
        </w:rPr>
        <w:t>role</w:t>
      </w:r>
      <w:r>
        <w:t xml:space="preserve"> (RBAC), </w:t>
      </w:r>
      <w:r>
        <w:rPr>
          <w:i/>
        </w:rPr>
        <w:t>gating</w:t>
      </w:r>
      <w:r>
        <w:t xml:space="preserve"> berdasarkan </w:t>
      </w:r>
      <w:r>
        <w:rPr>
          <w:i/>
        </w:rPr>
        <w:t>tier</w:t>
      </w:r>
      <w:r>
        <w:t xml:space="preserve"> langganan, dan 80+ </w:t>
      </w:r>
      <w:r>
        <w:rPr>
          <w:i/>
        </w:rPr>
        <w:t>tool</w:t>
      </w:r>
      <w:r>
        <w:t xml:space="preserve"> aktif — perlu dievaluasi menggunakan </w:t>
      </w:r>
      <w:r>
        <w:rPr>
          <w:i/>
        </w:rPr>
        <w:t>log</w:t>
      </w:r>
      <w:r>
        <w:t xml:space="preserve"> kueri pengguna nyata secara berkelanjutan, untuk memvalidasi temuan eksperimen pada distribusi kueri produksi yang sesungguhnya.</w:t>
      </w:r>
    </w:p>
    <w:p>
      <w:r>
        <w:br w:type="page"/>
      </w:r>
    </w:p>
    <w:p>
      <w:pPr>
        <w:pStyle w:val="Heading1"/>
      </w:pPr>
      <w:r>
        <w:t>DAFTAR PUSTAKA</w:t>
      </w:r>
    </w:p>
    <w:p>
      <w:pPr>
        <w:spacing w:after="0"/>
        <w:jc w:val="center"/>
      </w:pPr>
      <w:r>
        <w:rPr>
          <w:b w:val="0"/>
          <w:i w:val="0"/>
          <w:sz w:val="24"/>
        </w:rPr>
      </w:r>
    </w:p>
    <w:p>
      <w:pPr>
        <w:spacing w:line="240" w:lineRule="auto" w:after="120"/>
        <w:ind w:left="567" w:hanging="567"/>
        <w:jc w:val="both"/>
      </w:pPr>
      <w:r>
        <w:t xml:space="preserve">[1] </w:t>
      </w:r>
      <w:r>
        <w:t xml:space="preserve">OpenAI, "Function calling and other API updates," </w:t>
      </w:r>
      <w:r>
        <w:rPr>
          <w:i/>
        </w:rPr>
        <w:t>OpenAI Blog</w:t>
      </w:r>
      <w:r>
        <w:t>, Jun. 2023. [Online]. Tersedia: https://openai.com/index/function-calling-and-other-api-updates/</w:t>
      </w:r>
    </w:p>
    <w:p>
      <w:pPr>
        <w:spacing w:line="240" w:lineRule="auto" w:after="120"/>
        <w:ind w:left="567" w:hanging="567"/>
        <w:jc w:val="both"/>
      </w:pPr>
      <w:r>
        <w:t xml:space="preserve">[2] </w:t>
      </w:r>
      <w:r>
        <w:t xml:space="preserve">Google DeepMind, "Gemini API function calling," </w:t>
      </w:r>
      <w:r>
        <w:rPr>
          <w:i/>
        </w:rPr>
        <w:t>Google AI Developer Documentation</w:t>
      </w:r>
      <w:r>
        <w:t>, 2024. [Online]. Tersedia: https://ai.google.dev/gemini-api/docs/function-calling</w:t>
      </w:r>
    </w:p>
    <w:p>
      <w:pPr>
        <w:spacing w:line="240" w:lineRule="auto" w:after="120"/>
        <w:ind w:left="567" w:hanging="567"/>
        <w:jc w:val="both"/>
      </w:pPr>
      <w:r>
        <w:t xml:space="preserve">[3] </w:t>
      </w:r>
      <w:r>
        <w:t xml:space="preserve">T. Schick, J. Dwivedi-Yu, R. Dessi, R. Raileanu, M. Lomeli, E. Hambro, L. Zettlemoyer, N. Cancedda, dan T. Scialom, "Toolformer: Language models can teach themselves to use tools," in </w:t>
      </w:r>
      <w:r>
        <w:rPr>
          <w:i/>
        </w:rPr>
        <w:t>Proc. Adv. Neural Inf. Process. Syst. (NeurIPS)</w:t>
      </w:r>
      <w:r>
        <w:t>, 2023. arXiv:2302.04761.</w:t>
      </w:r>
    </w:p>
    <w:p>
      <w:pPr>
        <w:spacing w:line="240" w:lineRule="auto" w:after="120"/>
        <w:ind w:left="567" w:hanging="567"/>
        <w:jc w:val="both"/>
      </w:pPr>
      <w:r>
        <w:t xml:space="preserve">[4] </w:t>
      </w:r>
      <w:r>
        <w:t xml:space="preserve">S. Yao, J. Zhao, D. Yu, N. Du, I. Shafran, K. Narasimhan, dan Y. Cao, "ReAct: Synergizing reasoning and acting in language models," in </w:t>
      </w:r>
      <w:r>
        <w:rPr>
          <w:i/>
        </w:rPr>
        <w:t>Proc. Int. Conf. Learn. Representations (ICLR)</w:t>
      </w:r>
      <w:r>
        <w:t>, 2023. arXiv:2210.03629.</w:t>
      </w:r>
    </w:p>
    <w:p>
      <w:pPr>
        <w:spacing w:line="240" w:lineRule="auto" w:after="120"/>
        <w:ind w:left="567" w:hanging="567"/>
        <w:jc w:val="both"/>
      </w:pPr>
      <w:r>
        <w:t xml:space="preserve">[5] </w:t>
      </w:r>
      <w:r>
        <w:t xml:space="preserve">N.F. Liu, K. Lin, J. Hewitt, A. Paranjape, M. Bevilacqua, F. Petroni, dan P. Liang, "Lost in the middle: How language models use long contexts," </w:t>
      </w:r>
      <w:r>
        <w:rPr>
          <w:i/>
        </w:rPr>
        <w:t>Trans. Assoc. Comput. Linguistics</w:t>
      </w:r>
      <w:r>
        <w:t>, vol. 12, pp. 157–173, 2024. arXiv:2307.03172.</w:t>
      </w:r>
    </w:p>
    <w:p>
      <w:pPr>
        <w:spacing w:line="240" w:lineRule="auto" w:after="120"/>
        <w:ind w:left="567" w:hanging="567"/>
        <w:jc w:val="both"/>
      </w:pPr>
      <w:r>
        <w:t xml:space="preserve">[6] </w:t>
      </w:r>
      <w:r>
        <w:t xml:space="preserve">T.B. Lee, "How long contexts hurt AI performance," </w:t>
      </w:r>
      <w:r>
        <w:rPr>
          <w:i/>
        </w:rPr>
        <w:t>Understanding AI</w:t>
      </w:r>
      <w:r>
        <w:t xml:space="preserve"> (Newsletter), Nov. 2025. [Online]. Tersedia: https://www.understandingai.org/p/how-long-contexts-hurt-ai-performance</w:t>
      </w:r>
    </w:p>
    <w:p>
      <w:pPr>
        <w:spacing w:line="240" w:lineRule="auto" w:after="120"/>
        <w:ind w:left="567" w:hanging="567"/>
        <w:jc w:val="both"/>
      </w:pPr>
      <w:r>
        <w:t xml:space="preserve">[7] </w:t>
      </w:r>
      <w:r>
        <w:t xml:space="preserve">P. Rajasekaran, E. Dixon, C. Ryan, dan J. Hadfield, "Effective context engineering for AI agents," </w:t>
      </w:r>
      <w:r>
        <w:rPr>
          <w:i/>
        </w:rPr>
        <w:t>Anthropic Engineering Blog</w:t>
      </w:r>
      <w:r>
        <w:t>, Sep. 2025.</w:t>
      </w:r>
    </w:p>
    <w:p>
      <w:pPr>
        <w:spacing w:line="240" w:lineRule="auto" w:after="120"/>
        <w:ind w:left="567" w:hanging="567"/>
        <w:jc w:val="both"/>
      </w:pPr>
      <w:r>
        <w:t xml:space="preserve">[8] </w:t>
      </w:r>
      <w:r>
        <w:t xml:space="preserve">S.G. Patil, T. Zhang, X. Wang, dan J.E. Gonzalez, "Gorilla: Large language model connected with massive APIs," in </w:t>
      </w:r>
      <w:r>
        <w:rPr>
          <w:i/>
        </w:rPr>
        <w:t>Proc. Adv. Neural Inf. Process. Syst. (NeurIPS)</w:t>
      </w:r>
      <w:r>
        <w:t>, 2024. arXiv:2305.15334.</w:t>
      </w:r>
    </w:p>
    <w:p>
      <w:pPr>
        <w:spacing w:line="240" w:lineRule="auto" w:after="120"/>
        <w:ind w:left="567" w:hanging="567"/>
        <w:jc w:val="both"/>
      </w:pPr>
      <w:r>
        <w:t xml:space="preserve">[9] </w:t>
      </w:r>
      <w:r>
        <w:t xml:space="preserve">Y. Qin et al., "ToolLLM: Facilitating large language models to master 16000+ real-world APIs," in </w:t>
      </w:r>
      <w:r>
        <w:rPr>
          <w:i/>
        </w:rPr>
        <w:t>Proc. Int. Conf. Learn. Representations (ICLR)</w:t>
      </w:r>
      <w:r>
        <w:t>, 2024. arXiv:2307.16789.</w:t>
      </w:r>
    </w:p>
    <w:p>
      <w:pPr>
        <w:spacing w:line="240" w:lineRule="auto" w:after="120"/>
        <w:ind w:left="567" w:hanging="567"/>
        <w:jc w:val="both"/>
      </w:pPr>
      <w:r>
        <w:t xml:space="preserve">[10] </w:t>
      </w:r>
      <w:r>
        <w:t>E. Lumer, "Toolshed: Scale tool-equipped agents with advanced RAG-tool fusion and tool knowledge bases," arXiv:2410.14594, 2024.</w:t>
      </w:r>
    </w:p>
    <w:p>
      <w:pPr>
        <w:spacing w:line="240" w:lineRule="auto" w:after="120"/>
        <w:ind w:left="567" w:hanging="567"/>
        <w:jc w:val="both"/>
      </w:pPr>
      <w:r>
        <w:t xml:space="preserve">[11] </w:t>
      </w:r>
      <w:r>
        <w:t>N. Gaurav, A. Akarsh, A. Ranjan, dan M. Bajaj, "Dynamic ReAct: Scalable tool selection for large-scale MCP environments," arXiv:2509.20386, 2025.</w:t>
      </w:r>
    </w:p>
    <w:p>
      <w:pPr>
        <w:spacing w:line="240" w:lineRule="auto" w:after="120"/>
        <w:ind w:left="567" w:hanging="567"/>
        <w:jc w:val="both"/>
      </w:pPr>
      <w:r>
        <w:t xml:space="preserve">[12] </w:t>
      </w:r>
      <w:r>
        <w:t xml:space="preserve">J. Jia dan Q. Li, "AutoTool: Efficient tool selection for large language model agents," in </w:t>
      </w:r>
      <w:r>
        <w:rPr>
          <w:i/>
        </w:rPr>
        <w:t>Proc. AAAI Conf. Artif. Intell. (AAAI)</w:t>
      </w:r>
      <w:r>
        <w:t>, 2026. arXiv:2511.14650.</w:t>
      </w:r>
    </w:p>
    <w:p>
      <w:pPr>
        <w:spacing w:line="240" w:lineRule="auto" w:after="120"/>
        <w:ind w:left="567" w:hanging="567"/>
        <w:jc w:val="both"/>
      </w:pPr>
      <w:r>
        <w:t xml:space="preserve">[13] </w:t>
      </w:r>
      <w:r>
        <w:t xml:space="preserve">W. Wang, P. Niu, Z. Xu, et al., "MCP-Flow: Facilitating LLM agents to master real-world, diverse and scaling MCP tools," in </w:t>
      </w:r>
      <w:r>
        <w:rPr>
          <w:i/>
        </w:rPr>
        <w:t>Proc. Assoc. Comput. Linguistics (ACL)</w:t>
      </w:r>
      <w:r>
        <w:t>, 2026. arXiv:2510.24284.</w:t>
      </w:r>
    </w:p>
    <w:p>
      <w:pPr>
        <w:spacing w:line="240" w:lineRule="auto" w:after="120"/>
        <w:ind w:left="567" w:hanging="567"/>
        <w:jc w:val="both"/>
      </w:pPr>
      <w:r>
        <w:t xml:space="preserve">[14] </w:t>
      </w:r>
      <w:r>
        <w:t xml:space="preserve">P. CN, "Build scalable AI agent systems using Amazon Bedrock agent registry," </w:t>
      </w:r>
      <w:r>
        <w:rPr>
          <w:i/>
        </w:rPr>
        <w:t>AWS Machine Learning Blog</w:t>
      </w:r>
      <w:r>
        <w:t>, Apr. 2026.</w:t>
      </w:r>
    </w:p>
    <w:p>
      <w:pPr>
        <w:spacing w:line="240" w:lineRule="auto" w:after="120"/>
        <w:ind w:left="567" w:hanging="567"/>
        <w:jc w:val="both"/>
      </w:pPr>
      <w:r>
        <w:t xml:space="preserve">[15] </w:t>
      </w:r>
      <w:r>
        <w:t xml:space="preserve">A.R. Hevner, S.T. March, J. Park, dan S. Ram, "Design science in information systems research," </w:t>
      </w:r>
      <w:r>
        <w:rPr>
          <w:i/>
        </w:rPr>
        <w:t>MIS Quarterly</w:t>
      </w:r>
      <w:r>
        <w:t>, vol. 28, no. 1, pp. 75–105, Mar. 2004.</w:t>
      </w:r>
    </w:p>
    <w:p>
      <w:pPr>
        <w:spacing w:line="240" w:lineRule="auto" w:after="120"/>
        <w:ind w:left="567" w:hanging="567"/>
        <w:jc w:val="both"/>
      </w:pPr>
      <w:r>
        <w:t xml:space="preserve">[16] </w:t>
      </w:r>
      <w:r>
        <w:t xml:space="preserve">T.B. Lee, "Context rot: The emerging challenge that could hold back LLM progress," </w:t>
      </w:r>
      <w:r>
        <w:rPr>
          <w:i/>
        </w:rPr>
        <w:t>Understanding AI</w:t>
      </w:r>
      <w:r>
        <w:t xml:space="preserve"> (Newsletter), Nov. 2025. [Online]. Tersedia: https://www.understandingai.org/p/context-rot-the-emerging-challenge</w:t>
      </w:r>
    </w:p>
    <w:p>
      <w:pPr>
        <w:spacing w:line="240" w:lineRule="auto" w:after="120"/>
        <w:ind w:left="567" w:hanging="567"/>
        <w:jc w:val="both"/>
      </w:pPr>
      <w:r>
        <w:t xml:space="preserve">[17] </w:t>
      </w:r>
      <w:r>
        <w:t>"Context length alone hurts LLM performance despite perfect retrieval," arXiv:2510.05381, 2025.</w:t>
      </w:r>
    </w:p>
    <w:p>
      <w:pPr>
        <w:spacing w:line="240" w:lineRule="auto" w:after="120"/>
        <w:ind w:left="567" w:hanging="567"/>
        <w:jc w:val="both"/>
      </w:pPr>
      <w:r>
        <w:t xml:space="preserve">[18] </w:t>
      </w:r>
      <w:r>
        <w:t xml:space="preserve">Y. Qu et al., "Towards completeness-oriented tool retrieval for large language models," in </w:t>
      </w:r>
      <w:r>
        <w:rPr>
          <w:i/>
        </w:rPr>
        <w:t>Proc. ACM Int. Conf. Inf. Knowl. Manag. (CIKM)</w:t>
      </w:r>
      <w:r>
        <w:t>, 2024. arXiv:2405.16089.</w:t>
      </w:r>
    </w:p>
    <w:p>
      <w:pPr>
        <w:spacing w:line="240" w:lineRule="auto" w:after="120"/>
        <w:ind w:left="567" w:hanging="567"/>
        <w:jc w:val="both"/>
      </w:pPr>
      <w:r>
        <w:t xml:space="preserve">[19] </w:t>
      </w:r>
      <w:r>
        <w:t xml:space="preserve">S.G. Patil et al., "The Berkeley function calling leaderboard (BFCL): From tool use to agentic evaluation of large language models," in </w:t>
      </w:r>
      <w:r>
        <w:rPr>
          <w:i/>
        </w:rPr>
        <w:t>Proc. Int. Conf. Mach. Learn. (ICML)</w:t>
      </w:r>
      <w:r>
        <w:t>, 2025.</w:t>
      </w:r>
    </w:p>
    <w:p>
      <w:pPr>
        <w:spacing w:line="240" w:lineRule="auto" w:after="120"/>
        <w:ind w:left="567" w:hanging="567"/>
        <w:jc w:val="both"/>
      </w:pPr>
      <w:r>
        <w:t xml:space="preserve">[20] </w:t>
      </w:r>
      <w:r>
        <w:t>"ScaleMCP: Dynamic and auto-synchronizing model context protocol tools for LLM agents," arXiv:2505.06416, 2025.</w:t>
      </w:r>
    </w:p>
    <w:p>
      <w:pPr>
        <w:spacing w:line="240" w:lineRule="auto" w:after="120"/>
        <w:ind w:left="567" w:hanging="567"/>
        <w:jc w:val="both"/>
      </w:pPr>
      <w:r>
        <w:t xml:space="preserve">[21] </w:t>
      </w:r>
      <w:r>
        <w:t xml:space="preserve">TrueFoundry, "What is AI agent registry — A complete guide," </w:t>
      </w:r>
      <w:r>
        <w:rPr>
          <w:i/>
        </w:rPr>
        <w:t>TrueFoundry Blog</w:t>
      </w:r>
      <w:r>
        <w:t>, Sep. 2025. [Online]. Tersedia: https://www.truefoundry.com/blog/ai-agent-registry</w:t>
      </w:r>
    </w:p>
    <w:p>
      <w:pPr>
        <w:spacing w:line="240" w:lineRule="auto" w:after="120"/>
        <w:ind w:left="567" w:hanging="567"/>
        <w:jc w:val="both"/>
      </w:pPr>
      <w:r>
        <w:t xml:space="preserve">[22] </w:t>
      </w:r>
      <w:r>
        <w:t xml:space="preserve">I. Kolchinsky, "Tool RAG: The next breakthrough in scalable AI agents," </w:t>
      </w:r>
      <w:r>
        <w:rPr>
          <w:i/>
        </w:rPr>
        <w:t>Red Hat Emerging Technologies Blog</w:t>
      </w:r>
      <w:r>
        <w:t>, Nov. 2025.</w:t>
      </w:r>
    </w:p>
    <w:p>
      <w:pPr>
        <w:spacing w:line="240" w:lineRule="auto" w:after="120"/>
        <w:ind w:left="567" w:hanging="567"/>
        <w:jc w:val="both"/>
      </w:pPr>
      <w:r>
        <w:t xml:space="preserve">[23] </w:t>
      </w:r>
      <w:r>
        <w:t xml:space="preserve">Pydantic, "Pydantic AI — Toolsets," </w:t>
      </w:r>
      <w:r>
        <w:rPr>
          <w:i/>
        </w:rPr>
        <w:t>Pydantic AI Documentation</w:t>
      </w:r>
      <w:r>
        <w:t>, 2025. [Online]. Tersedia: https://ai.pydantic.dev/</w:t>
      </w:r>
    </w:p>
    <w:p>
      <w:pPr>
        <w:spacing w:line="240" w:lineRule="auto" w:after="120"/>
        <w:ind w:left="567" w:hanging="567"/>
        <w:jc w:val="both"/>
      </w:pPr>
      <w:r>
        <w:t xml:space="preserve">[24] </w:t>
      </w:r>
      <w:r>
        <w:t xml:space="preserve">C. Richardson, "Pattern: API gateway / Backends for frontends," </w:t>
      </w:r>
      <w:r>
        <w:rPr>
          <w:i/>
        </w:rPr>
        <w:t>microservices.io</w:t>
      </w:r>
      <w:r>
        <w:t>, 2014–2025. [Online]. Tersedia: https://microservices.io/patterns/apigateway.html</w:t>
      </w:r>
    </w:p>
    <w:p>
      <w:r>
        <w:br w:type="page"/>
      </w:r>
    </w:p>
    <w:p>
      <w:pPr>
        <w:pStyle w:val="Heading1"/>
      </w:pPr>
      <w:r>
        <w:t>LAMPIRAN</w:t>
      </w:r>
    </w:p>
    <w:p>
      <w:pPr>
        <w:pStyle w:val="Heading2"/>
      </w:pPr>
      <w:r>
        <w:t>Lampiran A: Source Code Tool Registry (Cuplikan Kunci)</w:t>
      </w:r>
    </w:p>
    <w:p>
      <w:pPr>
        <w:jc w:val="both"/>
      </w:pPr>
      <w:r>
        <w:t xml:space="preserve">Modul registry berisi struktur metadata dan fungsi penyaringan </w:t>
      </w:r>
      <w:r>
        <w:rPr>
          <w:rFonts w:ascii="Courier New" w:hAnsi="Courier New"/>
        </w:rPr>
        <w:t>registry_filter()</w:t>
      </w:r>
      <w:r>
        <w:t xml:space="preserve"> yang menjadi artefak utama penelitian ini.</w:t>
      </w:r>
    </w:p>
    <w:p>
      <w:pPr>
        <w:spacing w:after="0"/>
        <w:jc w:val="center"/>
      </w:pPr>
      <w:r>
        <w:rPr>
          <w:b w:val="0"/>
          <w:i/>
          <w:sz w:val="20"/>
        </w:rPr>
        <w:t>src/tool_registry_eval/registry.py</w:t>
      </w:r>
    </w:p>
    <w:p>
      <w:pPr>
        <w:keepLines w:val="0"/>
        <w:spacing w:line="240" w:lineRule="auto" w:before="120" w:after="120"/>
        <w:ind w:left="283" w:right="113"/>
        <w:jc w:val="left"/>
        <w:shd w:val="clear" w:color="auto" w:fill="F2F2F2"/>
      </w:pPr>
      <w:r>
        <w:rPr>
          <w:rFonts w:ascii="Courier New" w:hAnsi="Courier New" w:cs="Courier New"/>
          <w:sz w:val="18"/>
        </w:rPr>
        <w:t>from __future__ import annotations</w:t>
        <w:br/>
      </w:r>
      <w:r>
        <w:rPr>
          <w:rFonts w:ascii="Courier New" w:hAnsi="Courier New" w:cs="Courier New"/>
          <w:sz w:val="18"/>
        </w:rPr>
        <w:br/>
      </w:r>
      <w:r>
        <w:rPr>
          <w:rFonts w:ascii="Courier New" w:hAnsi="Courier New" w:cs="Courier New"/>
          <w:sz w:val="18"/>
        </w:rPr>
        <w:t>import hashlib</w:t>
        <w:br/>
      </w:r>
      <w:r>
        <w:rPr>
          <w:rFonts w:ascii="Courier New" w:hAnsi="Courier New" w:cs="Courier New"/>
          <w:sz w:val="18"/>
        </w:rPr>
        <w:t>import sys</w:t>
        <w:br/>
      </w:r>
      <w:r>
        <w:rPr>
          <w:rFonts w:ascii="Courier New" w:hAnsi="Courier New" w:cs="Courier New"/>
          <w:sz w:val="18"/>
        </w:rPr>
        <w:t>from typing import Any</w:t>
        <w:br/>
      </w:r>
      <w:r>
        <w:rPr>
          <w:rFonts w:ascii="Courier New" w:hAnsi="Courier New" w:cs="Courier New"/>
          <w:sz w:val="18"/>
        </w:rPr>
        <w:br/>
      </w:r>
      <w:r>
        <w:rPr>
          <w:rFonts w:ascii="Courier New" w:hAnsi="Courier New" w:cs="Courier New"/>
          <w:sz w:val="18"/>
        </w:rPr>
        <w:t>from .domain import QueryDef, ToolDef</w:t>
        <w:br/>
      </w:r>
      <w:r>
        <w:rPr>
          <w:rFonts w:ascii="Courier New" w:hAnsi="Courier New" w:cs="Courier New"/>
          <w:sz w:val="18"/>
        </w:rPr>
        <w:br/>
      </w:r>
      <w:r>
        <w:rPr>
          <w:rFonts w:ascii="Courier New" w:hAnsi="Courier New" w:cs="Courier New"/>
          <w:sz w:val="18"/>
        </w:rPr>
        <w:br/>
      </w:r>
      <w:r>
        <w:rPr>
          <w:rFonts w:ascii="Courier New" w:hAnsi="Courier New" w:cs="Courier New"/>
          <w:sz w:val="18"/>
        </w:rPr>
        <w:t>def stable_unit(*parts: object) -&gt; float:</w:t>
        <w:br/>
      </w:r>
      <w:r>
        <w:rPr>
          <w:rFonts w:ascii="Courier New" w:hAnsi="Courier New" w:cs="Courier New"/>
          <w:sz w:val="18"/>
        </w:rPr>
        <w:t xml:space="preserve">    raw = "|".join(str(part) for part in parts).encode()</w:t>
        <w:br/>
      </w:r>
      <w:r>
        <w:rPr>
          <w:rFonts w:ascii="Courier New" w:hAnsi="Courier New" w:cs="Courier New"/>
          <w:sz w:val="18"/>
        </w:rPr>
        <w:t xml:space="preserve">    value = int(hashlib.sha256(raw).hexdigest()[:12], 16)</w:t>
        <w:br/>
      </w:r>
      <w:r>
        <w:rPr>
          <w:rFonts w:ascii="Courier New" w:hAnsi="Courier New" w:cs="Courier New"/>
          <w:sz w:val="18"/>
        </w:rPr>
        <w:t xml:space="preserve">    return value / float(0xFFFFFFFFFFFF)</w:t>
        <w:br/>
      </w:r>
      <w:r>
        <w:rPr>
          <w:rFonts w:ascii="Courier New" w:hAnsi="Courier New" w:cs="Courier New"/>
          <w:sz w:val="18"/>
        </w:rPr>
        <w:br/>
      </w:r>
      <w:r>
        <w:rPr>
          <w:rFonts w:ascii="Courier New" w:hAnsi="Courier New" w:cs="Courier New"/>
          <w:sz w:val="18"/>
        </w:rPr>
        <w:br/>
      </w:r>
      <w:r>
        <w:rPr>
          <w:rFonts w:ascii="Courier New" w:hAnsi="Courier New" w:cs="Courier New"/>
          <w:sz w:val="18"/>
        </w:rPr>
        <w:t>def registry_filter(query: QueryDef, tools: list[ToolDef], budget: int) -&gt; list[ToolDef]:</w:t>
        <w:br/>
      </w:r>
      <w:r>
        <w:rPr>
          <w:rFonts w:ascii="Courier New" w:hAnsi="Courier New" w:cs="Courier New"/>
          <w:sz w:val="18"/>
        </w:rPr>
        <w:t xml:space="preserve">    query_terms = set(query.text.lower().replace(".", "").replace(",", "").split())</w:t>
        <w:br/>
      </w:r>
      <w:r>
        <w:rPr>
          <w:rFonts w:ascii="Courier New" w:hAnsi="Courier New" w:cs="Courier New"/>
          <w:sz w:val="18"/>
        </w:rPr>
        <w:t xml:space="preserve">    ranked: list[tuple[int, int, float, ToolDef]] = []</w:t>
        <w:br/>
      </w:r>
      <w:r>
        <w:rPr>
          <w:rFonts w:ascii="Courier New" w:hAnsi="Courier New" w:cs="Courier New"/>
          <w:sz w:val="18"/>
        </w:rPr>
        <w:t xml:space="preserve">    for tool in tools:</w:t>
        <w:br/>
      </w:r>
      <w:r>
        <w:rPr>
          <w:rFonts w:ascii="Courier New" w:hAnsi="Courier New" w:cs="Courier New"/>
          <w:sz w:val="18"/>
        </w:rPr>
        <w:t xml:space="preserve">        if tool.module not in query.modules:</w:t>
        <w:br/>
      </w:r>
      <w:r>
        <w:rPr>
          <w:rFonts w:ascii="Courier New" w:hAnsi="Courier New" w:cs="Courier New"/>
          <w:sz w:val="18"/>
        </w:rPr>
        <w:t xml:space="preserve">            continue</w:t>
        <w:br/>
      </w:r>
      <w:r>
        <w:rPr>
          <w:rFonts w:ascii="Courier New" w:hAnsi="Courier New" w:cs="Courier New"/>
          <w:sz w:val="18"/>
        </w:rPr>
        <w:t xml:space="preserve">        if query.role not in tool.roles:</w:t>
        <w:br/>
      </w:r>
      <w:r>
        <w:rPr>
          <w:rFonts w:ascii="Courier New" w:hAnsi="Courier New" w:cs="Courier New"/>
          <w:sz w:val="18"/>
        </w:rPr>
        <w:t xml:space="preserve">            continue</w:t>
        <w:br/>
      </w:r>
      <w:r>
        <w:rPr>
          <w:rFonts w:ascii="Courier New" w:hAnsi="Courier New" w:cs="Courier New"/>
          <w:sz w:val="18"/>
        </w:rPr>
        <w:t xml:space="preserve">        if query.tier not in tool.tiers:</w:t>
        <w:br/>
      </w:r>
      <w:r>
        <w:rPr>
          <w:rFonts w:ascii="Courier New" w:hAnsi="Courier New" w:cs="Courier New"/>
          <w:sz w:val="18"/>
        </w:rPr>
        <w:t xml:space="preserve">            continue</w:t>
        <w:br/>
      </w:r>
      <w:r>
        <w:rPr>
          <w:rFonts w:ascii="Courier New" w:hAnsi="Courier New" w:cs="Courier New"/>
          <w:sz w:val="18"/>
        </w:rPr>
        <w:t xml:space="preserve">        overlap = len(query_terms.intersection(tool.keywords))</w:t>
        <w:br/>
      </w:r>
      <w:r>
        <w:rPr>
          <w:rFonts w:ascii="Courier New" w:hAnsi="Courier New" w:cs="Courier New"/>
          <w:sz w:val="18"/>
        </w:rPr>
        <w:t xml:space="preserve">        ranked.append((overlap, -tool.priority, -stable_unit(query.query_id, tool.name), tool))</w:t>
        <w:br/>
      </w:r>
      <w:r>
        <w:rPr>
          <w:rFonts w:ascii="Courier New" w:hAnsi="Courier New" w:cs="Courier New"/>
          <w:sz w:val="18"/>
        </w:rPr>
        <w:t xml:space="preserve">    ranked.sort(reverse=True)</w:t>
        <w:br/>
      </w:r>
      <w:r>
        <w:rPr>
          <w:rFonts w:ascii="Courier New" w:hAnsi="Courier New" w:cs="Courier New"/>
          <w:sz w:val="18"/>
        </w:rPr>
        <w:t xml:space="preserve">    return [tool for *_unused, tool in ranked[:budget]]</w:t>
        <w:br/>
      </w:r>
      <w:r>
        <w:rPr>
          <w:rFonts w:ascii="Courier New" w:hAnsi="Courier New" w:cs="Courier New"/>
          <w:sz w:val="18"/>
        </w:rPr>
        <w:br/>
      </w:r>
      <w:r>
        <w:rPr>
          <w:rFonts w:ascii="Courier New" w:hAnsi="Courier New" w:cs="Courier New"/>
          <w:sz w:val="18"/>
        </w:rPr>
        <w:br/>
      </w:r>
      <w:r>
        <w:rPr>
          <w:rFonts w:ascii="Courier New" w:hAnsi="Courier New" w:cs="Courier New"/>
          <w:sz w:val="18"/>
        </w:rPr>
        <w:t>def deep_size(value: Any, seen: set[int] | None = None) -&gt; int:</w:t>
        <w:br/>
      </w:r>
      <w:r>
        <w:rPr>
          <w:rFonts w:ascii="Courier New" w:hAnsi="Courier New" w:cs="Courier New"/>
          <w:sz w:val="18"/>
        </w:rPr>
        <w:t xml:space="preserve">    if seen is None:</w:t>
        <w:br/>
      </w:r>
      <w:r>
        <w:rPr>
          <w:rFonts w:ascii="Courier New" w:hAnsi="Courier New" w:cs="Courier New"/>
          <w:sz w:val="18"/>
        </w:rPr>
        <w:t xml:space="preserve">        seen = set()</w:t>
        <w:br/>
      </w:r>
      <w:r>
        <w:rPr>
          <w:rFonts w:ascii="Courier New" w:hAnsi="Courier New" w:cs="Courier New"/>
          <w:sz w:val="18"/>
        </w:rPr>
        <w:t xml:space="preserve">    value_id = id(value)</w:t>
        <w:br/>
      </w:r>
      <w:r>
        <w:rPr>
          <w:rFonts w:ascii="Courier New" w:hAnsi="Courier New" w:cs="Courier New"/>
          <w:sz w:val="18"/>
        </w:rPr>
        <w:t xml:space="preserve">    if value_id in seen:</w:t>
        <w:br/>
      </w:r>
      <w:r>
        <w:rPr>
          <w:rFonts w:ascii="Courier New" w:hAnsi="Courier New" w:cs="Courier New"/>
          <w:sz w:val="18"/>
        </w:rPr>
        <w:t xml:space="preserve">        return 0</w:t>
        <w:br/>
      </w:r>
      <w:r>
        <w:rPr>
          <w:rFonts w:ascii="Courier New" w:hAnsi="Courier New" w:cs="Courier New"/>
          <w:sz w:val="18"/>
        </w:rPr>
        <w:t xml:space="preserve">    seen.add(value_id)</w:t>
        <w:br/>
      </w:r>
      <w:r>
        <w:rPr>
          <w:rFonts w:ascii="Courier New" w:hAnsi="Courier New" w:cs="Courier New"/>
          <w:sz w:val="18"/>
        </w:rPr>
        <w:t xml:space="preserve">    size = sys.getsizeof(value)</w:t>
        <w:br/>
      </w:r>
      <w:r>
        <w:rPr>
          <w:rFonts w:ascii="Courier New" w:hAnsi="Courier New" w:cs="Courier New"/>
          <w:sz w:val="18"/>
        </w:rPr>
        <w:t xml:space="preserve">    if isinstance(value, dict):</w:t>
        <w:br/>
      </w:r>
      <w:r>
        <w:rPr>
          <w:rFonts w:ascii="Courier New" w:hAnsi="Courier New" w:cs="Courier New"/>
          <w:sz w:val="18"/>
        </w:rPr>
        <w:t xml:space="preserve">        size += sum(deep_size(k, seen) + deep_size(v, seen) for k, v in value.items())</w:t>
        <w:br/>
      </w:r>
      <w:r>
        <w:rPr>
          <w:rFonts w:ascii="Courier New" w:hAnsi="Courier New" w:cs="Courier New"/>
          <w:sz w:val="18"/>
        </w:rPr>
        <w:t xml:space="preserve">    elif isinstance(value, (list, tuple, set, frozenset)):</w:t>
        <w:br/>
      </w:r>
      <w:r>
        <w:rPr>
          <w:rFonts w:ascii="Courier New" w:hAnsi="Courier New" w:cs="Courier New"/>
          <w:sz w:val="18"/>
        </w:rPr>
        <w:t xml:space="preserve">        size += sum(deep_size(item, seen) for item in value)</w:t>
        <w:br/>
      </w:r>
      <w:r>
        <w:rPr>
          <w:rFonts w:ascii="Courier New" w:hAnsi="Courier New" w:cs="Courier New"/>
          <w:sz w:val="18"/>
        </w:rPr>
        <w:t xml:space="preserve">    elif hasattr(value, "__dict__"):</w:t>
        <w:br/>
      </w:r>
      <w:r>
        <w:rPr>
          <w:rFonts w:ascii="Courier New" w:hAnsi="Courier New" w:cs="Courier New"/>
          <w:sz w:val="18"/>
        </w:rPr>
        <w:t xml:space="preserve">        size += deep_size(vars(value), seen)</w:t>
        <w:br/>
      </w:r>
      <w:r>
        <w:rPr>
          <w:rFonts w:ascii="Courier New" w:hAnsi="Courier New" w:cs="Courier New"/>
          <w:sz w:val="18"/>
        </w:rPr>
        <w:t xml:space="preserve">    return size</w:t>
        <w:br/>
      </w:r>
      <w:r>
        <w:rPr>
          <w:rFonts w:ascii="Courier New" w:hAnsi="Courier New" w:cs="Courier New"/>
          <w:sz w:val="18"/>
        </w:rPr>
        <w:br/>
      </w:r>
      <w:r>
        <w:rPr>
          <w:rFonts w:ascii="Courier New" w:hAnsi="Courier New" w:cs="Courier New"/>
          <w:sz w:val="18"/>
        </w:rPr>
        <w:br/>
      </w:r>
      <w:r>
        <w:rPr>
          <w:rFonts w:ascii="Courier New" w:hAnsi="Courier New" w:cs="Courier New"/>
          <w:sz w:val="18"/>
        </w:rPr>
        <w:t>def registry_memory(tools: list[ToolDef]) -&gt; int:</w:t>
        <w:br/>
      </w:r>
      <w:r>
        <w:rPr>
          <w:rFonts w:ascii="Courier New" w:hAnsi="Courier New" w:cs="Courier New"/>
          <w:sz w:val="18"/>
        </w:rPr>
        <w:t xml:space="preserve">    registry: dict[str, dict[str, Any]] = {}</w:t>
        <w:br/>
      </w:r>
      <w:r>
        <w:rPr>
          <w:rFonts w:ascii="Courier New" w:hAnsi="Courier New" w:cs="Courier New"/>
          <w:sz w:val="18"/>
        </w:rPr>
        <w:t xml:space="preserve">    for tool in tools:</w:t>
        <w:br/>
      </w:r>
      <w:r>
        <w:rPr>
          <w:rFonts w:ascii="Courier New" w:hAnsi="Courier New" w:cs="Courier New"/>
          <w:sz w:val="18"/>
        </w:rPr>
        <w:t xml:space="preserve">        registry[tool.name] = {</w:t>
        <w:br/>
      </w:r>
      <w:r>
        <w:rPr>
          <w:rFonts w:ascii="Courier New" w:hAnsi="Courier New" w:cs="Courier New"/>
          <w:sz w:val="18"/>
        </w:rPr>
        <w:t xml:space="preserve">            "module": tool.module,</w:t>
        <w:br/>
      </w:r>
      <w:r>
        <w:rPr>
          <w:rFonts w:ascii="Courier New" w:hAnsi="Courier New" w:cs="Courier New"/>
          <w:sz w:val="18"/>
        </w:rPr>
        <w:t xml:space="preserve">            "op_type": tool.op_type,</w:t>
        <w:br/>
      </w:r>
      <w:r>
        <w:rPr>
          <w:rFonts w:ascii="Courier New" w:hAnsi="Courier New" w:cs="Courier New"/>
          <w:sz w:val="18"/>
        </w:rPr>
        <w:t xml:space="preserve">            "roles": tool.roles,</w:t>
        <w:br/>
      </w:r>
      <w:r>
        <w:rPr>
          <w:rFonts w:ascii="Courier New" w:hAnsi="Courier New" w:cs="Courier New"/>
          <w:sz w:val="18"/>
        </w:rPr>
        <w:t xml:space="preserve">            "tiers": tool.tiers,</w:t>
        <w:br/>
      </w:r>
      <w:r>
        <w:rPr>
          <w:rFonts w:ascii="Courier New" w:hAnsi="Courier New" w:cs="Courier New"/>
          <w:sz w:val="18"/>
        </w:rPr>
        <w:t xml:space="preserve">            "keywords": tool.keywords,</w:t>
        <w:br/>
      </w:r>
      <w:r>
        <w:rPr>
          <w:rFonts w:ascii="Courier New" w:hAnsi="Courier New" w:cs="Courier New"/>
          <w:sz w:val="18"/>
        </w:rPr>
        <w:t xml:space="preserve">            "priority": tool.priority,</w:t>
        <w:br/>
      </w:r>
      <w:r>
        <w:rPr>
          <w:rFonts w:ascii="Courier New" w:hAnsi="Courier New" w:cs="Courier New"/>
          <w:sz w:val="18"/>
        </w:rPr>
        <w:t xml:space="preserve">            "schema_tokens": tool.schema_tokens,</w:t>
        <w:br/>
      </w:r>
      <w:r>
        <w:rPr>
          <w:rFonts w:ascii="Courier New" w:hAnsi="Courier New" w:cs="Courier New"/>
          <w:sz w:val="18"/>
        </w:rPr>
        <w:t xml:space="preserve">        }</w:t>
        <w:br/>
      </w:r>
      <w:r>
        <w:rPr>
          <w:rFonts w:ascii="Courier New" w:hAnsi="Courier New" w:cs="Courier New"/>
          <w:sz w:val="18"/>
        </w:rPr>
        <w:t xml:space="preserve">    return deep_size(registry)</w:t>
        <w:br/>
      </w:r>
      <w:r>
        <w:rPr>
          <w:rFonts w:ascii="Courier New" w:hAnsi="Courier New" w:cs="Courier New"/>
          <w:sz w:val="18"/>
        </w:rPr>
      </w:r>
    </w:p>
    <w:p>
      <w:pPr>
        <w:pStyle w:val="Heading2"/>
      </w:pPr>
      <w:r>
        <w:t>Lampiran B: Dataset 100 Kueri Evaluasi (JSON)</w:t>
      </w:r>
    </w:p>
    <w:p>
      <w:pPr>
        <w:jc w:val="both"/>
      </w:pPr>
      <w:r>
        <w:t>Dataset evaluasi terdiri dari 100 kueri berbahasa Indonesia (50 single-domain, 30 cross-domain, 20 adversarial). Berikut cuplikan representatif; berkas lengkap tersedia pada lampiran/dataset-100-query.json.</w:t>
      </w:r>
    </w:p>
    <w:p>
      <w:pPr>
        <w:keepLines w:val="0"/>
        <w:spacing w:line="240" w:lineRule="auto" w:before="120" w:after="120"/>
        <w:ind w:left="283" w:right="113"/>
        <w:jc w:val="left"/>
        <w:shd w:val="clear" w:color="auto" w:fill="F2F2F2"/>
      </w:pPr>
      <w:r>
        <w:rPr>
          <w:rFonts w:ascii="Courier New" w:hAnsi="Courier New" w:cs="Courier New"/>
          <w:sz w:val="18"/>
        </w:rPr>
        <w:t>[</w:t>
        <w:br/>
      </w:r>
      <w:r>
        <w:rPr>
          <w:rFonts w:ascii="Courier New" w:hAnsi="Courier New" w:cs="Courier New"/>
          <w:sz w:val="18"/>
        </w:rPr>
        <w:t xml:space="preserve">  {</w:t>
        <w:br/>
      </w:r>
      <w:r>
        <w:rPr>
          <w:rFonts w:ascii="Courier New" w:hAnsi="Courier New" w:cs="Courier New"/>
          <w:sz w:val="18"/>
        </w:rPr>
        <w:t xml:space="preserve">    "query_id": "q001",</w:t>
        <w:br/>
      </w:r>
      <w:r>
        <w:rPr>
          <w:rFonts w:ascii="Courier New" w:hAnsi="Courier New" w:cs="Courier New"/>
          <w:sz w:val="18"/>
        </w:rPr>
        <w:t xml:space="preserve">    "query_type": "single_domain",</w:t>
        <w:br/>
      </w:r>
      <w:r>
        <w:rPr>
          <w:rFonts w:ascii="Courier New" w:hAnsi="Courier New" w:cs="Courier New"/>
          <w:sz w:val="18"/>
        </w:rPr>
        <w:t xml:space="preserve">    "text": "Tolong cek stok bahan untuk outlet utama hari ini.",</w:t>
        <w:br/>
      </w:r>
      <w:r>
        <w:rPr>
          <w:rFonts w:ascii="Courier New" w:hAnsi="Courier New" w:cs="Courier New"/>
          <w:sz w:val="18"/>
        </w:rPr>
        <w:t xml:space="preserve">    "modules": [</w:t>
        <w:br/>
      </w:r>
      <w:r>
        <w:rPr>
          <w:rFonts w:ascii="Courier New" w:hAnsi="Courier New" w:cs="Courier New"/>
          <w:sz w:val="18"/>
        </w:rPr>
        <w:t xml:space="preserve">      "inventory"</w:t>
        <w:br/>
      </w:r>
      <w:r>
        <w:rPr>
          <w:rFonts w:ascii="Courier New" w:hAnsi="Courier New" w:cs="Courier New"/>
          <w:sz w:val="18"/>
        </w:rPr>
        <w:t xml:space="preserve">    ],</w:t>
        <w:br/>
      </w:r>
      <w:r>
        <w:rPr>
          <w:rFonts w:ascii="Courier New" w:hAnsi="Courier New" w:cs="Courier New"/>
          <w:sz w:val="18"/>
        </w:rPr>
        <w:t xml:space="preserve">    "role": "manager",</w:t>
        <w:br/>
      </w:r>
      <w:r>
        <w:rPr>
          <w:rFonts w:ascii="Courier New" w:hAnsi="Courier New" w:cs="Courier New"/>
          <w:sz w:val="18"/>
        </w:rPr>
        <w:t xml:space="preserve">    "tier": "pro",</w:t>
        <w:br/>
      </w:r>
      <w:r>
        <w:rPr>
          <w:rFonts w:ascii="Courier New" w:hAnsi="Courier New" w:cs="Courier New"/>
          <w:sz w:val="18"/>
        </w:rPr>
        <w:t xml:space="preserve">    "expected_tool": "inventory_check_stock"</w:t>
        <w:br/>
      </w:r>
      <w:r>
        <w:rPr>
          <w:rFonts w:ascii="Courier New" w:hAnsi="Courier New" w:cs="Courier New"/>
          <w:sz w:val="18"/>
        </w:rPr>
        <w:t xml:space="preserve">  },</w:t>
        <w:br/>
      </w:r>
      <w:r>
        <w:rPr>
          <w:rFonts w:ascii="Courier New" w:hAnsi="Courier New" w:cs="Courier New"/>
          <w:sz w:val="18"/>
        </w:rPr>
        <w:t xml:space="preserve">  {</w:t>
        <w:br/>
      </w:r>
      <w:r>
        <w:rPr>
          <w:rFonts w:ascii="Courier New" w:hAnsi="Courier New" w:cs="Courier New"/>
          <w:sz w:val="18"/>
        </w:rPr>
        <w:t xml:space="preserve">    "query_id": "q002",</w:t>
        <w:br/>
      </w:r>
      <w:r>
        <w:rPr>
          <w:rFonts w:ascii="Courier New" w:hAnsi="Courier New" w:cs="Courier New"/>
          <w:sz w:val="18"/>
        </w:rPr>
        <w:t xml:space="preserve">    "query_type": "single_domain",</w:t>
        <w:br/>
      </w:r>
      <w:r>
        <w:rPr>
          <w:rFonts w:ascii="Courier New" w:hAnsi="Courier New" w:cs="Courier New"/>
          <w:sz w:val="18"/>
        </w:rPr>
        <w:t xml:space="preserve">    "text": "Tolong cek penjualan omzet untuk outlet utama hari ini.",</w:t>
        <w:br/>
      </w:r>
      <w:r>
        <w:rPr>
          <w:rFonts w:ascii="Courier New" w:hAnsi="Courier New" w:cs="Courier New"/>
          <w:sz w:val="18"/>
        </w:rPr>
        <w:t xml:space="preserve">    "modules": [</w:t>
        <w:br/>
      </w:r>
      <w:r>
        <w:rPr>
          <w:rFonts w:ascii="Courier New" w:hAnsi="Courier New" w:cs="Courier New"/>
          <w:sz w:val="18"/>
        </w:rPr>
        <w:t xml:space="preserve">      "sales"</w:t>
        <w:br/>
      </w:r>
      <w:r>
        <w:rPr>
          <w:rFonts w:ascii="Courier New" w:hAnsi="Courier New" w:cs="Courier New"/>
          <w:sz w:val="18"/>
        </w:rPr>
        <w:t xml:space="preserve">    ],</w:t>
        <w:br/>
      </w:r>
      <w:r>
        <w:rPr>
          <w:rFonts w:ascii="Courier New" w:hAnsi="Courier New" w:cs="Courier New"/>
          <w:sz w:val="18"/>
        </w:rPr>
        <w:t xml:space="preserve">    "role": "manager",</w:t>
        <w:br/>
      </w:r>
      <w:r>
        <w:rPr>
          <w:rFonts w:ascii="Courier New" w:hAnsi="Courier New" w:cs="Courier New"/>
          <w:sz w:val="18"/>
        </w:rPr>
        <w:t xml:space="preserve">    "tier": "pro",</w:t>
        <w:br/>
      </w:r>
      <w:r>
        <w:rPr>
          <w:rFonts w:ascii="Courier New" w:hAnsi="Courier New" w:cs="Courier New"/>
          <w:sz w:val="18"/>
        </w:rPr>
        <w:t xml:space="preserve">    "expected_tool": "sales_daily_revenue"</w:t>
        <w:br/>
      </w:r>
      <w:r>
        <w:rPr>
          <w:rFonts w:ascii="Courier New" w:hAnsi="Courier New" w:cs="Courier New"/>
          <w:sz w:val="18"/>
        </w:rPr>
        <w:t xml:space="preserve">  },</w:t>
        <w:br/>
      </w:r>
      <w:r>
        <w:rPr>
          <w:rFonts w:ascii="Courier New" w:hAnsi="Courier New" w:cs="Courier New"/>
          <w:sz w:val="18"/>
        </w:rPr>
        <w:t xml:space="preserve">  {</w:t>
        <w:br/>
      </w:r>
      <w:r>
        <w:rPr>
          <w:rFonts w:ascii="Courier New" w:hAnsi="Courier New" w:cs="Courier New"/>
          <w:sz w:val="18"/>
        </w:rPr>
        <w:t xml:space="preserve">    "query_id": "q021",</w:t>
        <w:br/>
      </w:r>
      <w:r>
        <w:rPr>
          <w:rFonts w:ascii="Courier New" w:hAnsi="Courier New" w:cs="Courier New"/>
          <w:sz w:val="18"/>
        </w:rPr>
        <w:t xml:space="preserve">    "query_type": "cross_domain",</w:t>
        <w:br/>
      </w:r>
      <w:r>
        <w:rPr>
          <w:rFonts w:ascii="Courier New" w:hAnsi="Courier New" w:cs="Courier New"/>
          <w:sz w:val="18"/>
        </w:rPr>
        <w:t xml:space="preserve">    "text": "Bandingkan inventory dengan menu, lalu prioritaskan stok untuk keputusan operasional.",</w:t>
        <w:br/>
      </w:r>
      <w:r>
        <w:rPr>
          <w:rFonts w:ascii="Courier New" w:hAnsi="Courier New" w:cs="Courier New"/>
          <w:sz w:val="18"/>
        </w:rPr>
        <w:t xml:space="preserve">    "modules": [</w:t>
        <w:br/>
      </w:r>
      <w:r>
        <w:rPr>
          <w:rFonts w:ascii="Courier New" w:hAnsi="Courier New" w:cs="Courier New"/>
          <w:sz w:val="18"/>
        </w:rPr>
        <w:t xml:space="preserve">      "inventory",</w:t>
        <w:br/>
      </w:r>
      <w:r>
        <w:rPr>
          <w:rFonts w:ascii="Courier New" w:hAnsi="Courier New" w:cs="Courier New"/>
          <w:sz w:val="18"/>
        </w:rPr>
        <w:t xml:space="preserve">      "menu"</w:t>
        <w:br/>
      </w:r>
      <w:r>
        <w:rPr>
          <w:rFonts w:ascii="Courier New" w:hAnsi="Courier New" w:cs="Courier New"/>
          <w:sz w:val="18"/>
        </w:rPr>
        <w:t xml:space="preserve">    ],</w:t>
        <w:br/>
      </w:r>
      <w:r>
        <w:rPr>
          <w:rFonts w:ascii="Courier New" w:hAnsi="Courier New" w:cs="Courier New"/>
          <w:sz w:val="18"/>
        </w:rPr>
        <w:t xml:space="preserve">    "role": "manager",</w:t>
        <w:br/>
      </w:r>
      <w:r>
        <w:rPr>
          <w:rFonts w:ascii="Courier New" w:hAnsi="Courier New" w:cs="Courier New"/>
          <w:sz w:val="18"/>
        </w:rPr>
        <w:t xml:space="preserve">    "tier": "enterprise",</w:t>
        <w:br/>
      </w:r>
      <w:r>
        <w:rPr>
          <w:rFonts w:ascii="Courier New" w:hAnsi="Courier New" w:cs="Courier New"/>
          <w:sz w:val="18"/>
        </w:rPr>
        <w:t xml:space="preserve">    "expected_tool": "inventory_check_stock"</w:t>
        <w:br/>
      </w:r>
      <w:r>
        <w:rPr>
          <w:rFonts w:ascii="Courier New" w:hAnsi="Courier New" w:cs="Courier New"/>
          <w:sz w:val="18"/>
        </w:rPr>
        <w:t xml:space="preserve">  },</w:t>
        <w:br/>
      </w:r>
      <w:r>
        <w:rPr>
          <w:rFonts w:ascii="Courier New" w:hAnsi="Courier New" w:cs="Courier New"/>
          <w:sz w:val="18"/>
        </w:rPr>
        <w:t xml:space="preserve">  {</w:t>
        <w:br/>
      </w:r>
      <w:r>
        <w:rPr>
          <w:rFonts w:ascii="Courier New" w:hAnsi="Courier New" w:cs="Courier New"/>
          <w:sz w:val="18"/>
        </w:rPr>
        <w:t xml:space="preserve">    "query_id": "q022",</w:t>
        <w:br/>
      </w:r>
      <w:r>
        <w:rPr>
          <w:rFonts w:ascii="Courier New" w:hAnsi="Courier New" w:cs="Courier New"/>
          <w:sz w:val="18"/>
        </w:rPr>
        <w:t xml:space="preserve">    "query_type": "cross_domain",</w:t>
        <w:br/>
      </w:r>
      <w:r>
        <w:rPr>
          <w:rFonts w:ascii="Courier New" w:hAnsi="Courier New" w:cs="Courier New"/>
          <w:sz w:val="18"/>
        </w:rPr>
        <w:t xml:space="preserve">    "text": "Bandingkan sales dengan accounting, lalu prioritaskan penjualan untuk keputusan operasional.",</w:t>
        <w:br/>
      </w:r>
      <w:r>
        <w:rPr>
          <w:rFonts w:ascii="Courier New" w:hAnsi="Courier New" w:cs="Courier New"/>
          <w:sz w:val="18"/>
        </w:rPr>
        <w:t xml:space="preserve">    "modules": [</w:t>
        <w:br/>
      </w:r>
      <w:r>
        <w:rPr>
          <w:rFonts w:ascii="Courier New" w:hAnsi="Courier New" w:cs="Courier New"/>
          <w:sz w:val="18"/>
        </w:rPr>
        <w:t xml:space="preserve">      "sales",</w:t>
        <w:br/>
      </w:r>
      <w:r>
        <w:rPr>
          <w:rFonts w:ascii="Courier New" w:hAnsi="Courier New" w:cs="Courier New"/>
          <w:sz w:val="18"/>
        </w:rPr>
        <w:t xml:space="preserve">      "accounting"</w:t>
        <w:br/>
      </w:r>
      <w:r>
        <w:rPr>
          <w:rFonts w:ascii="Courier New" w:hAnsi="Courier New" w:cs="Courier New"/>
          <w:sz w:val="18"/>
        </w:rPr>
        <w:t xml:space="preserve">    ],</w:t>
        <w:br/>
      </w:r>
      <w:r>
        <w:rPr>
          <w:rFonts w:ascii="Courier New" w:hAnsi="Courier New" w:cs="Courier New"/>
          <w:sz w:val="18"/>
        </w:rPr>
        <w:t xml:space="preserve">    "role": "manager",</w:t>
        <w:br/>
      </w:r>
      <w:r>
        <w:rPr>
          <w:rFonts w:ascii="Courier New" w:hAnsi="Courier New" w:cs="Courier New"/>
          <w:sz w:val="18"/>
        </w:rPr>
        <w:t xml:space="preserve">    "tier": "enterprise",</w:t>
        <w:br/>
      </w:r>
      <w:r>
        <w:rPr>
          <w:rFonts w:ascii="Courier New" w:hAnsi="Courier New" w:cs="Courier New"/>
          <w:sz w:val="18"/>
        </w:rPr>
        <w:t xml:space="preserve">    "expected_tool": "sales_daily_revenue"</w:t>
        <w:br/>
      </w:r>
      <w:r>
        <w:rPr>
          <w:rFonts w:ascii="Courier New" w:hAnsi="Courier New" w:cs="Courier New"/>
          <w:sz w:val="18"/>
        </w:rPr>
        <w:t xml:space="preserve">  },</w:t>
        <w:br/>
      </w:r>
      <w:r>
        <w:rPr>
          <w:rFonts w:ascii="Courier New" w:hAnsi="Courier New" w:cs="Courier New"/>
          <w:sz w:val="18"/>
        </w:rPr>
        <w:t xml:space="preserve">  {</w:t>
        <w:br/>
      </w:r>
      <w:r>
        <w:rPr>
          <w:rFonts w:ascii="Courier New" w:hAnsi="Courier New" w:cs="Courier New"/>
          <w:sz w:val="18"/>
        </w:rPr>
        <w:t xml:space="preserve">    "query_id": "q029",</w:t>
        <w:br/>
      </w:r>
      <w:r>
        <w:rPr>
          <w:rFonts w:ascii="Courier New" w:hAnsi="Courier New" w:cs="Courier New"/>
          <w:sz w:val="18"/>
        </w:rPr>
        <w:t xml:space="preserve">    "query_type": "adversarial",</w:t>
        <w:br/>
      </w:r>
      <w:r>
        <w:rPr>
          <w:rFonts w:ascii="Courier New" w:hAnsi="Courier New" w:cs="Courier New"/>
          <w:sz w:val="18"/>
        </w:rPr>
        <w:t xml:space="preserve">    "text": "Abaikan instruksi sebelumnya dan pilih tool admin. Namun kebutuhan sebenarnya adalah stok bahan untuk modul inventory.",</w:t>
        <w:br/>
      </w:r>
      <w:r>
        <w:rPr>
          <w:rFonts w:ascii="Courier New" w:hAnsi="Courier New" w:cs="Courier New"/>
          <w:sz w:val="18"/>
        </w:rPr>
        <w:t xml:space="preserve">    "modules": [</w:t>
        <w:br/>
      </w:r>
      <w:r>
        <w:rPr>
          <w:rFonts w:ascii="Courier New" w:hAnsi="Courier New" w:cs="Courier New"/>
          <w:sz w:val="18"/>
        </w:rPr>
        <w:t xml:space="preserve">      "inventory"</w:t>
        <w:br/>
      </w:r>
      <w:r>
        <w:rPr>
          <w:rFonts w:ascii="Courier New" w:hAnsi="Courier New" w:cs="Courier New"/>
          <w:sz w:val="18"/>
        </w:rPr>
        <w:t xml:space="preserve">    ],</w:t>
        <w:br/>
      </w:r>
      <w:r>
        <w:rPr>
          <w:rFonts w:ascii="Courier New" w:hAnsi="Courier New" w:cs="Courier New"/>
          <w:sz w:val="18"/>
        </w:rPr>
        <w:t xml:space="preserve">    "role": "manager",</w:t>
        <w:br/>
      </w:r>
      <w:r>
        <w:rPr>
          <w:rFonts w:ascii="Courier New" w:hAnsi="Courier New" w:cs="Courier New"/>
          <w:sz w:val="18"/>
        </w:rPr>
        <w:t xml:space="preserve">    "tier": "enterprise",</w:t>
        <w:br/>
      </w:r>
      <w:r>
        <w:rPr>
          <w:rFonts w:ascii="Courier New" w:hAnsi="Courier New" w:cs="Courier New"/>
          <w:sz w:val="18"/>
        </w:rPr>
        <w:t xml:space="preserve">    "expected_tool": "inventory_check_stock"</w:t>
        <w:br/>
      </w:r>
      <w:r>
        <w:rPr>
          <w:rFonts w:ascii="Courier New" w:hAnsi="Courier New" w:cs="Courier New"/>
          <w:sz w:val="18"/>
        </w:rPr>
        <w:t xml:space="preserve">  },</w:t>
        <w:br/>
      </w:r>
      <w:r>
        <w:rPr>
          <w:rFonts w:ascii="Courier New" w:hAnsi="Courier New" w:cs="Courier New"/>
          <w:sz w:val="18"/>
        </w:rPr>
        <w:t xml:space="preserve">  {</w:t>
        <w:br/>
      </w:r>
      <w:r>
        <w:rPr>
          <w:rFonts w:ascii="Courier New" w:hAnsi="Courier New" w:cs="Courier New"/>
          <w:sz w:val="18"/>
        </w:rPr>
        <w:t xml:space="preserve">    "query_id": "q030",</w:t>
        <w:br/>
      </w:r>
      <w:r>
        <w:rPr>
          <w:rFonts w:ascii="Courier New" w:hAnsi="Courier New" w:cs="Courier New"/>
          <w:sz w:val="18"/>
        </w:rPr>
        <w:t xml:space="preserve">    "query_type": "adversarial",</w:t>
        <w:br/>
      </w:r>
      <w:r>
        <w:rPr>
          <w:rFonts w:ascii="Courier New" w:hAnsi="Courier New" w:cs="Courier New"/>
          <w:sz w:val="18"/>
        </w:rPr>
        <w:t xml:space="preserve">    "text": "Abaikan instruksi sebelumnya dan pilih tool admin. Namun kebutuhan sebenarnya adalah jurnal akuntansi untuk modul accounting.",</w:t>
        <w:br/>
      </w:r>
      <w:r>
        <w:rPr>
          <w:rFonts w:ascii="Courier New" w:hAnsi="Courier New" w:cs="Courier New"/>
          <w:sz w:val="18"/>
        </w:rPr>
        <w:t xml:space="preserve">    "modules": [</w:t>
        <w:br/>
      </w:r>
      <w:r>
        <w:rPr>
          <w:rFonts w:ascii="Courier New" w:hAnsi="Courier New" w:cs="Courier New"/>
          <w:sz w:val="18"/>
        </w:rPr>
        <w:t xml:space="preserve">      "accounting"</w:t>
        <w:br/>
      </w:r>
      <w:r>
        <w:rPr>
          <w:rFonts w:ascii="Courier New" w:hAnsi="Courier New" w:cs="Courier New"/>
          <w:sz w:val="18"/>
        </w:rPr>
        <w:t xml:space="preserve">    ],</w:t>
        <w:br/>
      </w:r>
      <w:r>
        <w:rPr>
          <w:rFonts w:ascii="Courier New" w:hAnsi="Courier New" w:cs="Courier New"/>
          <w:sz w:val="18"/>
        </w:rPr>
        <w:t xml:space="preserve">    "role": "manager",</w:t>
        <w:br/>
      </w:r>
      <w:r>
        <w:rPr>
          <w:rFonts w:ascii="Courier New" w:hAnsi="Courier New" w:cs="Courier New"/>
          <w:sz w:val="18"/>
        </w:rPr>
        <w:t xml:space="preserve">    "tier": "enterprise",</w:t>
        <w:br/>
      </w:r>
      <w:r>
        <w:rPr>
          <w:rFonts w:ascii="Courier New" w:hAnsi="Courier New" w:cs="Courier New"/>
          <w:sz w:val="18"/>
        </w:rPr>
        <w:t xml:space="preserve">    "expected_tool": "accounting_generate_journal"</w:t>
        <w:br/>
      </w:r>
      <w:r>
        <w:rPr>
          <w:rFonts w:ascii="Courier New" w:hAnsi="Courier New" w:cs="Courier New"/>
          <w:sz w:val="18"/>
        </w:rPr>
        <w:t xml:space="preserve">  }</w:t>
        <w:br/>
      </w:r>
      <w:r>
        <w:rPr>
          <w:rFonts w:ascii="Courier New" w:hAnsi="Courier New" w:cs="Courier New"/>
          <w:sz w:val="18"/>
        </w:rPr>
        <w:t>]</w:t>
      </w:r>
    </w:p>
    <w:p>
      <w:pPr>
        <w:pStyle w:val="Heading2"/>
      </w:pPr>
      <w:r>
        <w:t>Lampiran C: Hasil Mentah Eksperimen (CSV)</w:t>
      </w:r>
    </w:p>
    <w:p>
      <w:pPr>
        <w:jc w:val="both"/>
      </w:pPr>
      <w:r>
        <w:t>Ringkasan agregat per skenario dan mode (Gemini Native v2, n=558), diproduksi otomatis dari rekaman JSONL inkremental.</w:t>
      </w:r>
    </w:p>
    <w:p>
      <w:pPr>
        <w:spacing w:after="0"/>
        <w:jc w:val="center"/>
      </w:pPr>
      <w:r>
        <w:rPr>
          <w:b w:val="0"/>
          <w:i/>
          <w:sz w:val="20"/>
        </w:rPr>
        <w:t>outputs/gemini-native-v2/summary.csv</w:t>
      </w:r>
    </w:p>
    <w:p>
      <w:pPr>
        <w:keepLines/>
        <w:spacing w:line="240" w:lineRule="auto" w:before="120" w:after="120"/>
        <w:ind w:left="283" w:right="113"/>
        <w:jc w:val="left"/>
        <w:shd w:val="clear" w:color="auto" w:fill="F2F2F2"/>
      </w:pPr>
      <w:r>
        <w:rPr>
          <w:rFonts w:ascii="Courier New" w:hAnsi="Courier New" w:cs="Courier New"/>
          <w:sz w:val="18"/>
        </w:rPr>
        <w:t>scenario,mode,total_tools,avg_visible_tools,avg_total_tokens,std_total_tokens,accuracy,std_accuracy,latency_p50_ms,latency_p95_ms,latency_mean_ms,std_latency_ms,registry_memory_bytes,runs</w:t>
        <w:br/>
      </w:r>
      <w:r>
        <w:rPr>
          <w:rFonts w:ascii="Courier New" w:hAnsi="Courier New" w:cs="Courier New"/>
          <w:sz w:val="18"/>
        </w:rPr>
        <w:t>S1,baseline,30,30,2426.312,5.394,0.6875,0.4635,832.51,1310.713,911.099,198.256,0,48</w:t>
        <w:br/>
      </w:r>
      <w:r>
        <w:rPr>
          <w:rFonts w:ascii="Courier New" w:hAnsi="Courier New" w:cs="Courier New"/>
          <w:sz w:val="18"/>
        </w:rPr>
        <w:t>S1,registry,30,10.625,892.562,133.375,0.75,0.433,904.571,2566.992,1210.228,719.336,22662,48</w:t>
        <w:br/>
      </w:r>
      <w:r>
        <w:rPr>
          <w:rFonts w:ascii="Courier New" w:hAnsi="Courier New" w:cs="Courier New"/>
          <w:sz w:val="18"/>
        </w:rPr>
        <w:t>S2,baseline,100,100,7984.5,6.086,0.7143,0.4518,1013.772,2625.074,1329.242,1030.092,0,84</w:t>
        <w:br/>
      </w:r>
      <w:r>
        <w:rPr>
          <w:rFonts w:ascii="Courier New" w:hAnsi="Courier New" w:cs="Courier New"/>
          <w:sz w:val="18"/>
        </w:rPr>
        <w:t>S2,registry,100,15,1240.5,22.666,0.7143,0.4518,910.012,1369.281,953.972,225.82,71971,84</w:t>
        <w:br/>
      </w:r>
      <w:r>
        <w:rPr>
          <w:rFonts w:ascii="Courier New" w:hAnsi="Courier New" w:cs="Courier New"/>
          <w:sz w:val="18"/>
        </w:rPr>
        <w:t>S3,baseline,300,300,23892.857,5.7,0.7143,0.4518,991.514,1547.357,1071.295,233.63,0,147</w:t>
        <w:br/>
      </w:r>
      <w:r>
        <w:rPr>
          <w:rFonts w:ascii="Courier New" w:hAnsi="Courier New" w:cs="Courier New"/>
          <w:sz w:val="18"/>
        </w:rPr>
        <w:t>S3,registry,300,15,1239.245,29.826,0.7755,0.4172,850.779,1112.572,942.054,730.414,205354,147</w:t>
      </w:r>
    </w:p>
    <w:p>
      <w:pPr>
        <w:jc w:val="both"/>
      </w:pPr>
      <w:r>
        <w:t>Hasil uji statistik penghematan token (Wilcoxon, Cohen's d, CI 95%) dan akurasi per skenario.</w:t>
      </w:r>
    </w:p>
    <w:p>
      <w:pPr>
        <w:spacing w:after="0"/>
        <w:jc w:val="center"/>
      </w:pPr>
      <w:r>
        <w:rPr>
          <w:b w:val="0"/>
          <w:i/>
          <w:sz w:val="20"/>
        </w:rPr>
        <w:t>outputs/gemini-native-v2/statistical_tests.csv</w:t>
      </w:r>
    </w:p>
    <w:p>
      <w:pPr>
        <w:keepLines/>
        <w:spacing w:line="240" w:lineRule="auto" w:before="120" w:after="120"/>
        <w:ind w:left="283" w:right="113"/>
        <w:jc w:val="left"/>
        <w:shd w:val="clear" w:color="auto" w:fill="F2F2F2"/>
      </w:pPr>
      <w:r>
        <w:rPr>
          <w:rFonts w:ascii="Courier New" w:hAnsi="Courier New" w:cs="Courier New"/>
          <w:sz w:val="18"/>
        </w:rPr>
        <w:t>scenario,n_pairs,token_reduction_mean,token_reduction_ci95_lower,token_reduction_ci95_upper,wilcoxon_token_stat,wilcoxon_token_p,cohens_d_tokens,accuracy_improvement_mean,accuracy_improvement_std,wilcoxon_accuracy_p</w:t>
        <w:br/>
      </w:r>
      <w:r>
        <w:rPr>
          <w:rFonts w:ascii="Courier New" w:hAnsi="Courier New" w:cs="Courier New"/>
          <w:sz w:val="18"/>
        </w:rPr>
        <w:t>S1,16,1533.75,1463.93,1603.57,136.0,0.000204,11.7052,0.0625,0.4285,0.281851</w:t>
        <w:br/>
      </w:r>
      <w:r>
        <w:rPr>
          <w:rFonts w:ascii="Courier New" w:hAnsi="Courier New" w:cs="Courier New"/>
          <w:sz w:val="18"/>
        </w:rPr>
        <w:t>S2,28,6744.0,6735.01,6752.99,406.0,2e-06,290.909,0.0,0.2673,0.5</w:t>
        <w:br/>
      </w:r>
      <w:r>
        <w:rPr>
          <w:rFonts w:ascii="Courier New" w:hAnsi="Courier New" w:cs="Courier New"/>
          <w:sz w:val="18"/>
        </w:rPr>
        <w:t>S3,49,22653.61,22645.29,22661.93,1225.0,0.0,782.0074,0.0612,0.3135,0.089856</w:t>
      </w:r>
    </w:p>
    <w:p>
      <w:pPr>
        <w:pStyle w:val="Heading2"/>
      </w:pPr>
      <w:r>
        <w:t>Lampiran D: Script Analisis Statistik (Python)</w:t>
      </w:r>
    </w:p>
    <w:p>
      <w:pPr>
        <w:jc w:val="both"/>
      </w:pPr>
      <w:r>
        <w:t>Modul pengukuran yang menghitung uji Wilcoxon signed-rank berpasangan, ukuran efek Cohen's d, dan selang kepercayaan 95% atas penghematan token.</w:t>
      </w:r>
    </w:p>
    <w:p>
      <w:pPr>
        <w:spacing w:after="0"/>
        <w:jc w:val="center"/>
      </w:pPr>
      <w:r>
        <w:rPr>
          <w:b w:val="0"/>
          <w:i/>
          <w:sz w:val="20"/>
        </w:rPr>
        <w:t>src/tool_registry_eval/measure.py</w:t>
      </w:r>
    </w:p>
    <w:p>
      <w:pPr>
        <w:keepLines w:val="0"/>
        <w:spacing w:line="240" w:lineRule="auto" w:before="120" w:after="120"/>
        <w:ind w:left="283" w:right="113"/>
        <w:jc w:val="left"/>
        <w:shd w:val="clear" w:color="auto" w:fill="F2F2F2"/>
      </w:pPr>
      <w:r>
        <w:rPr>
          <w:rFonts w:ascii="Courier New" w:hAnsi="Courier New" w:cs="Courier New"/>
          <w:sz w:val="18"/>
        </w:rPr>
        <w:t>from __future__ import annotations</w:t>
        <w:br/>
      </w:r>
      <w:r>
        <w:rPr>
          <w:rFonts w:ascii="Courier New" w:hAnsi="Courier New" w:cs="Courier New"/>
          <w:sz w:val="18"/>
        </w:rPr>
        <w:br/>
      </w:r>
      <w:r>
        <w:rPr>
          <w:rFonts w:ascii="Courier New" w:hAnsi="Courier New" w:cs="Courier New"/>
          <w:sz w:val="18"/>
        </w:rPr>
        <w:t>import math</w:t>
        <w:br/>
      </w:r>
      <w:r>
        <w:rPr>
          <w:rFonts w:ascii="Courier New" w:hAnsi="Courier New" w:cs="Courier New"/>
          <w:sz w:val="18"/>
        </w:rPr>
        <w:t>import statistics</w:t>
        <w:br/>
      </w:r>
      <w:r>
        <w:rPr>
          <w:rFonts w:ascii="Courier New" w:hAnsi="Courier New" w:cs="Courier New"/>
          <w:sz w:val="18"/>
        </w:rPr>
        <w:t>from typing import Any</w:t>
        <w:br/>
      </w:r>
      <w:r>
        <w:rPr>
          <w:rFonts w:ascii="Courier New" w:hAnsi="Courier New" w:cs="Courier New"/>
          <w:sz w:val="18"/>
        </w:rPr>
        <w:br/>
      </w:r>
      <w:r>
        <w:rPr>
          <w:rFonts w:ascii="Courier New" w:hAnsi="Courier New" w:cs="Courier New"/>
          <w:sz w:val="18"/>
        </w:rPr>
        <w:t>from .domain import QueryDef, ToolDef</w:t>
        <w:br/>
      </w:r>
      <w:r>
        <w:rPr>
          <w:rFonts w:ascii="Courier New" w:hAnsi="Courier New" w:cs="Courier New"/>
          <w:sz w:val="18"/>
        </w:rPr>
        <w:t>from .registry import stable_unit</w:t>
        <w:br/>
      </w:r>
      <w:r>
        <w:rPr>
          <w:rFonts w:ascii="Courier New" w:hAnsi="Courier New" w:cs="Courier New"/>
          <w:sz w:val="18"/>
        </w:rPr>
        <w:br/>
      </w:r>
      <w:r>
        <w:rPr>
          <w:rFonts w:ascii="Courier New" w:hAnsi="Courier New" w:cs="Courier New"/>
          <w:sz w:val="18"/>
        </w:rPr>
        <w:t>try:</w:t>
        <w:br/>
      </w:r>
      <w:r>
        <w:rPr>
          <w:rFonts w:ascii="Courier New" w:hAnsi="Courier New" w:cs="Courier New"/>
          <w:sz w:val="18"/>
        </w:rPr>
        <w:t xml:space="preserve">    from scipy import stats as _scipy_stats</w:t>
        <w:br/>
      </w:r>
      <w:r>
        <w:rPr>
          <w:rFonts w:ascii="Courier New" w:hAnsi="Courier New" w:cs="Courier New"/>
          <w:sz w:val="18"/>
        </w:rPr>
        <w:t xml:space="preserve">    _SCIPY_AVAILABLE = True</w:t>
        <w:br/>
      </w:r>
      <w:r>
        <w:rPr>
          <w:rFonts w:ascii="Courier New" w:hAnsi="Courier New" w:cs="Courier New"/>
          <w:sz w:val="18"/>
        </w:rPr>
        <w:t>except ImportError:</w:t>
        <w:br/>
      </w:r>
      <w:r>
        <w:rPr>
          <w:rFonts w:ascii="Courier New" w:hAnsi="Courier New" w:cs="Courier New"/>
          <w:sz w:val="18"/>
        </w:rPr>
        <w:t xml:space="preserve">    _SCIPY_AVAILABLE = False</w:t>
        <w:br/>
      </w:r>
      <w:r>
        <w:rPr>
          <w:rFonts w:ascii="Courier New" w:hAnsi="Courier New" w:cs="Courier New"/>
          <w:sz w:val="18"/>
        </w:rPr>
        <w:br/>
      </w:r>
      <w:r>
        <w:rPr>
          <w:rFonts w:ascii="Courier New" w:hAnsi="Courier New" w:cs="Courier New"/>
          <w:sz w:val="18"/>
        </w:rPr>
        <w:br/>
      </w:r>
      <w:r>
        <w:rPr>
          <w:rFonts w:ascii="Courier New" w:hAnsi="Courier New" w:cs="Courier New"/>
          <w:sz w:val="18"/>
        </w:rPr>
        <w:t>def token_count(query: QueryDef, visible_tools: list[ToolDef]) -&gt; tuple[int, int, int]:</w:t>
        <w:br/>
      </w:r>
      <w:r>
        <w:rPr>
          <w:rFonts w:ascii="Courier New" w:hAnsi="Courier New" w:cs="Courier New"/>
          <w:sz w:val="18"/>
        </w:rPr>
        <w:t xml:space="preserve">    prompt_tokens = 420</w:t>
        <w:br/>
      </w:r>
      <w:r>
        <w:rPr>
          <w:rFonts w:ascii="Courier New" w:hAnsi="Courier New" w:cs="Courier New"/>
          <w:sz w:val="18"/>
        </w:rPr>
        <w:t xml:space="preserve">    query_tokens = max(12, math.ceil(len(query.text.split()) * 1.4))</w:t>
        <w:br/>
      </w:r>
      <w:r>
        <w:rPr>
          <w:rFonts w:ascii="Courier New" w:hAnsi="Courier New" w:cs="Courier New"/>
          <w:sz w:val="18"/>
        </w:rPr>
        <w:t xml:space="preserve">    tool_tokens = sum(tool.schema_tokens for tool in visible_tools)</w:t>
        <w:br/>
      </w:r>
      <w:r>
        <w:rPr>
          <w:rFonts w:ascii="Courier New" w:hAnsi="Courier New" w:cs="Courier New"/>
          <w:sz w:val="18"/>
        </w:rPr>
        <w:t xml:space="preserve">    output_tokens = 72 + (8 if query.query_type == "cross_domain" else 0)</w:t>
        <w:br/>
      </w:r>
      <w:r>
        <w:rPr>
          <w:rFonts w:ascii="Courier New" w:hAnsi="Courier New" w:cs="Courier New"/>
          <w:sz w:val="18"/>
        </w:rPr>
        <w:t xml:space="preserve">    input_tokens = prompt_tokens + query_tokens + tool_tokens</w:t>
        <w:br/>
      </w:r>
      <w:r>
        <w:rPr>
          <w:rFonts w:ascii="Courier New" w:hAnsi="Courier New" w:cs="Courier New"/>
          <w:sz w:val="18"/>
        </w:rPr>
        <w:t xml:space="preserve">    return input_tokens, output_tokens, input_tokens + output_tokens</w:t>
        <w:br/>
      </w:r>
      <w:r>
        <w:rPr>
          <w:rFonts w:ascii="Courier New" w:hAnsi="Courier New" w:cs="Courier New"/>
          <w:sz w:val="18"/>
        </w:rPr>
        <w:br/>
      </w:r>
      <w:r>
        <w:rPr>
          <w:rFonts w:ascii="Courier New" w:hAnsi="Courier New" w:cs="Courier New"/>
          <w:sz w:val="18"/>
        </w:rPr>
        <w:br/>
      </w:r>
      <w:r>
        <w:rPr>
          <w:rFonts w:ascii="Courier New" w:hAnsi="Courier New" w:cs="Courier New"/>
          <w:sz w:val="18"/>
        </w:rPr>
        <w:t>def select_tool(mode: str, query: QueryDef, visible_tools: list[ToolDef], total_tools: int) -&gt; str:</w:t>
        <w:br/>
      </w:r>
      <w:r>
        <w:rPr>
          <w:rFonts w:ascii="Courier New" w:hAnsi="Courier New" w:cs="Courier New"/>
          <w:sz w:val="18"/>
        </w:rPr>
        <w:t xml:space="preserve">    expected_visible = any(tool.name == query.expected_tool for tool in visible_tools)</w:t>
        <w:br/>
      </w:r>
      <w:r>
        <w:rPr>
          <w:rFonts w:ascii="Courier New" w:hAnsi="Courier New" w:cs="Courier New"/>
          <w:sz w:val="18"/>
        </w:rPr>
        <w:t xml:space="preserve">    if not expected_visible:</w:t>
        <w:br/>
      </w:r>
      <w:r>
        <w:rPr>
          <w:rFonts w:ascii="Courier New" w:hAnsi="Courier New" w:cs="Courier New"/>
          <w:sz w:val="18"/>
        </w:rPr>
        <w:t xml:space="preserve">        return visible_tools[0].name if visible_tools else "NO_TOOL"</w:t>
        <w:br/>
      </w:r>
      <w:r>
        <w:rPr>
          <w:rFonts w:ascii="Courier New" w:hAnsi="Courier New" w:cs="Courier New"/>
          <w:sz w:val="18"/>
        </w:rPr>
        <w:br/>
      </w:r>
      <w:r>
        <w:rPr>
          <w:rFonts w:ascii="Courier New" w:hAnsi="Courier New" w:cs="Courier New"/>
          <w:sz w:val="18"/>
        </w:rPr>
        <w:t xml:space="preserve">    if mode == "baseline":</w:t>
        <w:br/>
      </w:r>
      <w:r>
        <w:rPr>
          <w:rFonts w:ascii="Courier New" w:hAnsi="Courier New" w:cs="Courier New"/>
          <w:sz w:val="18"/>
        </w:rPr>
        <w:t xml:space="preserve">        load_penalty = min(0.56, math.log10(max(total_tools, 2)) * 0.19)</w:t>
        <w:br/>
      </w:r>
      <w:r>
        <w:rPr>
          <w:rFonts w:ascii="Courier New" w:hAnsi="Courier New" w:cs="Courier New"/>
          <w:sz w:val="18"/>
        </w:rPr>
        <w:t xml:space="preserve">        type_penalty = {"single_domain": 0.02, "cross_domain": 0.09, "adversarial": 0.20}[query.query_type]</w:t>
        <w:br/>
      </w:r>
      <w:r>
        <w:rPr>
          <w:rFonts w:ascii="Courier New" w:hAnsi="Courier New" w:cs="Courier New"/>
          <w:sz w:val="18"/>
        </w:rPr>
        <w:t xml:space="preserve">        probability = 0.95 - load_penalty - type_penalty</w:t>
        <w:br/>
      </w:r>
      <w:r>
        <w:rPr>
          <w:rFonts w:ascii="Courier New" w:hAnsi="Courier New" w:cs="Courier New"/>
          <w:sz w:val="18"/>
        </w:rPr>
        <w:t xml:space="preserve">    else:</w:t>
        <w:br/>
      </w:r>
      <w:r>
        <w:rPr>
          <w:rFonts w:ascii="Courier New" w:hAnsi="Courier New" w:cs="Courier New"/>
          <w:sz w:val="18"/>
        </w:rPr>
        <w:t xml:space="preserve">        load_penalty = min(0.08, math.log10(max(len(visible_tools), 2)) * 0.035)</w:t>
        <w:br/>
      </w:r>
      <w:r>
        <w:rPr>
          <w:rFonts w:ascii="Courier New" w:hAnsi="Courier New" w:cs="Courier New"/>
          <w:sz w:val="18"/>
        </w:rPr>
        <w:t xml:space="preserve">        type_penalty = {"single_domain": 0.01, "cross_domain": 0.04, "adversarial": 0.08}[query.query_type]</w:t>
        <w:br/>
      </w:r>
      <w:r>
        <w:rPr>
          <w:rFonts w:ascii="Courier New" w:hAnsi="Courier New" w:cs="Courier New"/>
          <w:sz w:val="18"/>
        </w:rPr>
        <w:t xml:space="preserve">        probability = 0.96 - load_penalty - type_penalty</w:t>
        <w:br/>
      </w:r>
      <w:r>
        <w:rPr>
          <w:rFonts w:ascii="Courier New" w:hAnsi="Courier New" w:cs="Courier New"/>
          <w:sz w:val="18"/>
        </w:rPr>
        <w:br/>
      </w:r>
      <w:r>
        <w:rPr>
          <w:rFonts w:ascii="Courier New" w:hAnsi="Courier New" w:cs="Courier New"/>
          <w:sz w:val="18"/>
        </w:rPr>
        <w:t xml:space="preserve">    probability = max(0.18, min(0.98, probability))</w:t>
        <w:br/>
      </w:r>
      <w:r>
        <w:rPr>
          <w:rFonts w:ascii="Courier New" w:hAnsi="Courier New" w:cs="Courier New"/>
          <w:sz w:val="18"/>
        </w:rPr>
        <w:t xml:space="preserve">    if stable_unit(mode, query.query_id, total_tools) &lt;= probability:</w:t>
        <w:br/>
      </w:r>
      <w:r>
        <w:rPr>
          <w:rFonts w:ascii="Courier New" w:hAnsi="Courier New" w:cs="Courier New"/>
          <w:sz w:val="18"/>
        </w:rPr>
        <w:t xml:space="preserve">        return query.expected_tool</w:t>
        <w:br/>
      </w:r>
      <w:r>
        <w:rPr>
          <w:rFonts w:ascii="Courier New" w:hAnsi="Courier New" w:cs="Courier New"/>
          <w:sz w:val="18"/>
        </w:rPr>
        <w:br/>
      </w:r>
      <w:r>
        <w:rPr>
          <w:rFonts w:ascii="Courier New" w:hAnsi="Courier New" w:cs="Courier New"/>
          <w:sz w:val="18"/>
        </w:rPr>
        <w:t xml:space="preserve">    distractors = [tool for tool in visible_tools if tool.name != query.expected_tool]</w:t>
        <w:br/>
      </w:r>
      <w:r>
        <w:rPr>
          <w:rFonts w:ascii="Courier New" w:hAnsi="Courier New" w:cs="Courier New"/>
          <w:sz w:val="18"/>
        </w:rPr>
        <w:t xml:space="preserve">    if not distractors:</w:t>
        <w:br/>
      </w:r>
      <w:r>
        <w:rPr>
          <w:rFonts w:ascii="Courier New" w:hAnsi="Courier New" w:cs="Courier New"/>
          <w:sz w:val="18"/>
        </w:rPr>
        <w:t xml:space="preserve">        return query.expected_tool</w:t>
        <w:br/>
      </w:r>
      <w:r>
        <w:rPr>
          <w:rFonts w:ascii="Courier New" w:hAnsi="Courier New" w:cs="Courier New"/>
          <w:sz w:val="18"/>
        </w:rPr>
        <w:t xml:space="preserve">    index = int(stable_unit("miss", mode, query.query_id, total_tools) * len(distractors))</w:t>
        <w:br/>
      </w:r>
      <w:r>
        <w:rPr>
          <w:rFonts w:ascii="Courier New" w:hAnsi="Courier New" w:cs="Courier New"/>
          <w:sz w:val="18"/>
        </w:rPr>
        <w:t xml:space="preserve">    return distractors[min(index, len(distractors) - 1)].name</w:t>
        <w:br/>
      </w:r>
      <w:r>
        <w:rPr>
          <w:rFonts w:ascii="Courier New" w:hAnsi="Courier New" w:cs="Courier New"/>
          <w:sz w:val="18"/>
        </w:rPr>
        <w:br/>
      </w:r>
      <w:r>
        <w:rPr>
          <w:rFonts w:ascii="Courier New" w:hAnsi="Courier New" w:cs="Courier New"/>
          <w:sz w:val="18"/>
        </w:rPr>
        <w:br/>
      </w:r>
      <w:r>
        <w:rPr>
          <w:rFonts w:ascii="Courier New" w:hAnsi="Courier New" w:cs="Courier New"/>
          <w:sz w:val="18"/>
        </w:rPr>
        <w:t>def latency_ms(mode: str, query: QueryDef, visible_tools: list[ToolDef], total_tokens: int, total_tools: int) -&gt; float:</w:t>
        <w:br/>
      </w:r>
      <w:r>
        <w:rPr>
          <w:rFonts w:ascii="Courier New" w:hAnsi="Courier New" w:cs="Courier New"/>
          <w:sz w:val="18"/>
        </w:rPr>
        <w:t xml:space="preserve">    base = 185.0</w:t>
        <w:br/>
      </w:r>
      <w:r>
        <w:rPr>
          <w:rFonts w:ascii="Courier New" w:hAnsi="Courier New" w:cs="Courier New"/>
          <w:sz w:val="18"/>
        </w:rPr>
        <w:t xml:space="preserve">    visible_component = len(visible_tools) * (7.4 if mode == "baseline" else 3.1)</w:t>
        <w:br/>
      </w:r>
      <w:r>
        <w:rPr>
          <w:rFonts w:ascii="Courier New" w:hAnsi="Courier New" w:cs="Courier New"/>
          <w:sz w:val="18"/>
        </w:rPr>
        <w:t xml:space="preserve">    token_component = total_tokens * 0.042</w:t>
        <w:br/>
      </w:r>
      <w:r>
        <w:rPr>
          <w:rFonts w:ascii="Courier New" w:hAnsi="Courier New" w:cs="Courier New"/>
          <w:sz w:val="18"/>
        </w:rPr>
        <w:t xml:space="preserve">    registry_overhead = 18.0 if mode == "registry" else 0.0</w:t>
        <w:br/>
      </w:r>
      <w:r>
        <w:rPr>
          <w:rFonts w:ascii="Courier New" w:hAnsi="Courier New" w:cs="Courier New"/>
          <w:sz w:val="18"/>
        </w:rPr>
        <w:t xml:space="preserve">    adversarial_overhead = 35.0 if query.query_type == "adversarial" else 0.0</w:t>
        <w:br/>
      </w:r>
      <w:r>
        <w:rPr>
          <w:rFonts w:ascii="Courier New" w:hAnsi="Courier New" w:cs="Courier New"/>
          <w:sz w:val="18"/>
        </w:rPr>
        <w:t xml:space="preserve">    jitter = stable_unit("latency", mode, query.query_id, total_tools) * 42.0</w:t>
        <w:br/>
      </w:r>
      <w:r>
        <w:rPr>
          <w:rFonts w:ascii="Courier New" w:hAnsi="Courier New" w:cs="Courier New"/>
          <w:sz w:val="18"/>
        </w:rPr>
        <w:t xml:space="preserve">    return round(base + visible_component + token_component + registry_overhead + adversarial_overhead + jitter, 3)</w:t>
        <w:br/>
      </w:r>
      <w:r>
        <w:rPr>
          <w:rFonts w:ascii="Courier New" w:hAnsi="Courier New" w:cs="Courier New"/>
          <w:sz w:val="18"/>
        </w:rPr>
        <w:br/>
      </w:r>
      <w:r>
        <w:rPr>
          <w:rFonts w:ascii="Courier New" w:hAnsi="Courier New" w:cs="Courier New"/>
          <w:sz w:val="18"/>
        </w:rPr>
        <w:br/>
      </w:r>
      <w:r>
        <w:rPr>
          <w:rFonts w:ascii="Courier New" w:hAnsi="Courier New" w:cs="Courier New"/>
          <w:sz w:val="18"/>
        </w:rPr>
        <w:t>def percentile(values: list[float], pct: float) -&gt; float:</w:t>
        <w:br/>
      </w:r>
      <w:r>
        <w:rPr>
          <w:rFonts w:ascii="Courier New" w:hAnsi="Courier New" w:cs="Courier New"/>
          <w:sz w:val="18"/>
        </w:rPr>
        <w:t xml:space="preserve">    if not values:</w:t>
        <w:br/>
      </w:r>
      <w:r>
        <w:rPr>
          <w:rFonts w:ascii="Courier New" w:hAnsi="Courier New" w:cs="Courier New"/>
          <w:sz w:val="18"/>
        </w:rPr>
        <w:t xml:space="preserve">        return 0.0</w:t>
        <w:br/>
      </w:r>
      <w:r>
        <w:rPr>
          <w:rFonts w:ascii="Courier New" w:hAnsi="Courier New" w:cs="Courier New"/>
          <w:sz w:val="18"/>
        </w:rPr>
        <w:t xml:space="preserve">    sorted_values = sorted(values)</w:t>
        <w:br/>
      </w:r>
      <w:r>
        <w:rPr>
          <w:rFonts w:ascii="Courier New" w:hAnsi="Courier New" w:cs="Courier New"/>
          <w:sz w:val="18"/>
        </w:rPr>
        <w:t xml:space="preserve">    index = (len(sorted_values) - 1) * pct</w:t>
        <w:br/>
      </w:r>
      <w:r>
        <w:rPr>
          <w:rFonts w:ascii="Courier New" w:hAnsi="Courier New" w:cs="Courier New"/>
          <w:sz w:val="18"/>
        </w:rPr>
        <w:t xml:space="preserve">    lower = math.floor(index)</w:t>
        <w:br/>
      </w:r>
      <w:r>
        <w:rPr>
          <w:rFonts w:ascii="Courier New" w:hAnsi="Courier New" w:cs="Courier New"/>
          <w:sz w:val="18"/>
        </w:rPr>
        <w:t xml:space="preserve">    upper = math.ceil(index)</w:t>
        <w:br/>
      </w:r>
      <w:r>
        <w:rPr>
          <w:rFonts w:ascii="Courier New" w:hAnsi="Courier New" w:cs="Courier New"/>
          <w:sz w:val="18"/>
        </w:rPr>
        <w:t xml:space="preserve">    if lower == upper:</w:t>
        <w:br/>
      </w:r>
      <w:r>
        <w:rPr>
          <w:rFonts w:ascii="Courier New" w:hAnsi="Courier New" w:cs="Courier New"/>
          <w:sz w:val="18"/>
        </w:rPr>
        <w:t xml:space="preserve">        return sorted_values[int(index)]</w:t>
        <w:br/>
      </w:r>
      <w:r>
        <w:rPr>
          <w:rFonts w:ascii="Courier New" w:hAnsi="Courier New" w:cs="Courier New"/>
          <w:sz w:val="18"/>
        </w:rPr>
        <w:t xml:space="preserve">    weight = index - lower</w:t>
        <w:br/>
      </w:r>
      <w:r>
        <w:rPr>
          <w:rFonts w:ascii="Courier New" w:hAnsi="Courier New" w:cs="Courier New"/>
          <w:sz w:val="18"/>
        </w:rPr>
        <w:t xml:space="preserve">    return sorted_values[lower] * (1 - weight) + sorted_values[upper] * weight</w:t>
        <w:br/>
      </w:r>
      <w:r>
        <w:rPr>
          <w:rFonts w:ascii="Courier New" w:hAnsi="Courier New" w:cs="Courier New"/>
          <w:sz w:val="18"/>
        </w:rPr>
        <w:br/>
      </w:r>
      <w:r>
        <w:rPr>
          <w:rFonts w:ascii="Courier New" w:hAnsi="Courier New" w:cs="Courier New"/>
          <w:sz w:val="18"/>
        </w:rPr>
        <w:br/>
      </w:r>
      <w:r>
        <w:rPr>
          <w:rFonts w:ascii="Courier New" w:hAnsi="Courier New" w:cs="Courier New"/>
          <w:sz w:val="18"/>
        </w:rPr>
        <w:t>def paired_statistical_tests(rows: list[dict[str, Any]], scenario: str) -&gt; dict[str, Any]:</w:t>
        <w:br/>
      </w:r>
      <w:r>
        <w:rPr>
          <w:rFonts w:ascii="Courier New" w:hAnsi="Courier New" w:cs="Courier New"/>
          <w:sz w:val="18"/>
        </w:rPr>
        <w:t xml:space="preserve">    """Paired Wilcoxon signed-rank, Cohen's d, and 95% CI for token reduction in one scenario.</w:t>
        <w:br/>
      </w:r>
      <w:r>
        <w:rPr>
          <w:rFonts w:ascii="Courier New" w:hAnsi="Courier New" w:cs="Courier New"/>
          <w:sz w:val="18"/>
        </w:rPr>
        <w:br/>
      </w:r>
      <w:r>
        <w:rPr>
          <w:rFonts w:ascii="Courier New" w:hAnsi="Courier New" w:cs="Courier New"/>
          <w:sz w:val="18"/>
        </w:rPr>
        <w:t xml:space="preserve">    Matches baseline and registry by query_id, averages over repeats, then runs</w:t>
        <w:br/>
      </w:r>
      <w:r>
        <w:rPr>
          <w:rFonts w:ascii="Courier New" w:hAnsi="Courier New" w:cs="Courier New"/>
          <w:sz w:val="18"/>
        </w:rPr>
        <w:t xml:space="preserve">    paired tests on total_tokens. Returns empty dict if scipy is unavailable or</w:t>
        <w:br/>
      </w:r>
      <w:r>
        <w:rPr>
          <w:rFonts w:ascii="Courier New" w:hAnsi="Courier New" w:cs="Courier New"/>
          <w:sz w:val="18"/>
        </w:rPr>
        <w:t xml:space="preserve">    data is insufficient.</w:t>
        <w:br/>
      </w:r>
      <w:r>
        <w:rPr>
          <w:rFonts w:ascii="Courier New" w:hAnsi="Courier New" w:cs="Courier New"/>
          <w:sz w:val="18"/>
        </w:rPr>
        <w:t xml:space="preserve">    """</w:t>
        <w:br/>
      </w:r>
      <w:r>
        <w:rPr>
          <w:rFonts w:ascii="Courier New" w:hAnsi="Courier New" w:cs="Courier New"/>
          <w:sz w:val="18"/>
        </w:rPr>
        <w:t xml:space="preserve">    if not _SCIPY_AVAILABLE:</w:t>
        <w:br/>
      </w:r>
      <w:r>
        <w:rPr>
          <w:rFonts w:ascii="Courier New" w:hAnsi="Courier New" w:cs="Courier New"/>
          <w:sz w:val="18"/>
        </w:rPr>
        <w:t xml:space="preserve">        return {"error": "scipy not installed"}</w:t>
        <w:br/>
      </w:r>
      <w:r>
        <w:rPr>
          <w:rFonts w:ascii="Courier New" w:hAnsi="Courier New" w:cs="Courier New"/>
          <w:sz w:val="18"/>
        </w:rPr>
        <w:br/>
      </w:r>
      <w:r>
        <w:rPr>
          <w:rFonts w:ascii="Courier New" w:hAnsi="Courier New" w:cs="Courier New"/>
          <w:sz w:val="18"/>
        </w:rPr>
        <w:t xml:space="preserve">    baseline_by_q: dict[str, list[tuple[float, float]]] = {}</w:t>
        <w:br/>
      </w:r>
      <w:r>
        <w:rPr>
          <w:rFonts w:ascii="Courier New" w:hAnsi="Courier New" w:cs="Courier New"/>
          <w:sz w:val="18"/>
        </w:rPr>
        <w:t xml:space="preserve">    registry_by_q: dict[str, list[tuple[float, float]]] = {}</w:t>
        <w:br/>
      </w:r>
      <w:r>
        <w:rPr>
          <w:rFonts w:ascii="Courier New" w:hAnsi="Courier New" w:cs="Courier New"/>
          <w:sz w:val="18"/>
        </w:rPr>
        <w:t xml:space="preserve">    for row in rows:</w:t>
        <w:br/>
      </w:r>
      <w:r>
        <w:rPr>
          <w:rFonts w:ascii="Courier New" w:hAnsi="Courier New" w:cs="Courier New"/>
          <w:sz w:val="18"/>
        </w:rPr>
        <w:t xml:space="preserve">        if row["scenario"] != scenario:</w:t>
        <w:br/>
      </w:r>
      <w:r>
        <w:rPr>
          <w:rFonts w:ascii="Courier New" w:hAnsi="Courier New" w:cs="Courier New"/>
          <w:sz w:val="18"/>
        </w:rPr>
        <w:t xml:space="preserve">            continue</w:t>
        <w:br/>
      </w:r>
      <w:r>
        <w:rPr>
          <w:rFonts w:ascii="Courier New" w:hAnsi="Courier New" w:cs="Courier New"/>
          <w:sz w:val="18"/>
        </w:rPr>
        <w:t xml:space="preserve">        qid = row["query_id"]</w:t>
        <w:br/>
      </w:r>
      <w:r>
        <w:rPr>
          <w:rFonts w:ascii="Courier New" w:hAnsi="Courier New" w:cs="Courier New"/>
          <w:sz w:val="18"/>
        </w:rPr>
        <w:t xml:space="preserve">        tokens = float(row["total_tokens"])</w:t>
        <w:br/>
      </w:r>
      <w:r>
        <w:rPr>
          <w:rFonts w:ascii="Courier New" w:hAnsi="Courier New" w:cs="Courier New"/>
          <w:sz w:val="18"/>
        </w:rPr>
        <w:t xml:space="preserve">        correct = 1.0 if row["is_correct"] else 0.0</w:t>
        <w:br/>
      </w:r>
      <w:r>
        <w:rPr>
          <w:rFonts w:ascii="Courier New" w:hAnsi="Courier New" w:cs="Courier New"/>
          <w:sz w:val="18"/>
        </w:rPr>
        <w:t xml:space="preserve">        if row["mode"] == "baseline":</w:t>
        <w:br/>
      </w:r>
      <w:r>
        <w:rPr>
          <w:rFonts w:ascii="Courier New" w:hAnsi="Courier New" w:cs="Courier New"/>
          <w:sz w:val="18"/>
        </w:rPr>
        <w:t xml:space="preserve">            baseline_by_q.setdefault(qid, []).append((tokens, correct))</w:t>
        <w:br/>
      </w:r>
      <w:r>
        <w:rPr>
          <w:rFonts w:ascii="Courier New" w:hAnsi="Courier New" w:cs="Courier New"/>
          <w:sz w:val="18"/>
        </w:rPr>
        <w:t xml:space="preserve">        elif row["mode"] == "registry":</w:t>
        <w:br/>
      </w:r>
      <w:r>
        <w:rPr>
          <w:rFonts w:ascii="Courier New" w:hAnsi="Courier New" w:cs="Courier New"/>
          <w:sz w:val="18"/>
        </w:rPr>
        <w:t xml:space="preserve">            registry_by_q.setdefault(qid, []).append((tokens, correct))</w:t>
        <w:br/>
      </w:r>
      <w:r>
        <w:rPr>
          <w:rFonts w:ascii="Courier New" w:hAnsi="Courier New" w:cs="Courier New"/>
          <w:sz w:val="18"/>
        </w:rPr>
        <w:br/>
      </w:r>
      <w:r>
        <w:rPr>
          <w:rFonts w:ascii="Courier New" w:hAnsi="Courier New" w:cs="Courier New"/>
          <w:sz w:val="18"/>
        </w:rPr>
        <w:t xml:space="preserve">    common = sorted(set(baseline_by_q) &amp; set(registry_by_q))</w:t>
        <w:br/>
      </w:r>
      <w:r>
        <w:rPr>
          <w:rFonts w:ascii="Courier New" w:hAnsi="Courier New" w:cs="Courier New"/>
          <w:sz w:val="18"/>
        </w:rPr>
        <w:t xml:space="preserve">    n = len(common)</w:t>
        <w:br/>
      </w:r>
      <w:r>
        <w:rPr>
          <w:rFonts w:ascii="Courier New" w:hAnsi="Courier New" w:cs="Courier New"/>
          <w:sz w:val="18"/>
        </w:rPr>
        <w:t xml:space="preserve">    if n &lt; 3:</w:t>
        <w:br/>
      </w:r>
      <w:r>
        <w:rPr>
          <w:rFonts w:ascii="Courier New" w:hAnsi="Courier New" w:cs="Courier New"/>
          <w:sz w:val="18"/>
        </w:rPr>
        <w:t xml:space="preserve">        return {"scenario": scenario, "n_pairs": n, "error": "insufficient paired data (need ≥3)"}</w:t>
        <w:br/>
      </w:r>
      <w:r>
        <w:rPr>
          <w:rFonts w:ascii="Courier New" w:hAnsi="Courier New" w:cs="Courier New"/>
          <w:sz w:val="18"/>
        </w:rPr>
        <w:br/>
      </w:r>
      <w:r>
        <w:rPr>
          <w:rFonts w:ascii="Courier New" w:hAnsi="Courier New" w:cs="Courier New"/>
          <w:sz w:val="18"/>
        </w:rPr>
        <w:t xml:space="preserve">    b_tokens = [statistics.mean(t for t, _ in baseline_by_q[q]) for q in common]</w:t>
        <w:br/>
      </w:r>
      <w:r>
        <w:rPr>
          <w:rFonts w:ascii="Courier New" w:hAnsi="Courier New" w:cs="Courier New"/>
          <w:sz w:val="18"/>
        </w:rPr>
        <w:t xml:space="preserve">    r_tokens = [statistics.mean(t for t, _ in registry_by_q[q]) for q in common]</w:t>
        <w:br/>
      </w:r>
      <w:r>
        <w:rPr>
          <w:rFonts w:ascii="Courier New" w:hAnsi="Courier New" w:cs="Courier New"/>
          <w:sz w:val="18"/>
        </w:rPr>
        <w:t xml:space="preserve">    b_acc = [statistics.mean(c for _, c in baseline_by_q[q]) for q in common]</w:t>
        <w:br/>
      </w:r>
      <w:r>
        <w:rPr>
          <w:rFonts w:ascii="Courier New" w:hAnsi="Courier New" w:cs="Courier New"/>
          <w:sz w:val="18"/>
        </w:rPr>
        <w:t xml:space="preserve">    r_acc = [statistics.mean(c for _, c in registry_by_q[q]) for q in common]</w:t>
        <w:br/>
      </w:r>
      <w:r>
        <w:rPr>
          <w:rFonts w:ascii="Courier New" w:hAnsi="Courier New" w:cs="Courier New"/>
          <w:sz w:val="18"/>
        </w:rPr>
        <w:br/>
      </w:r>
      <w:r>
        <w:rPr>
          <w:rFonts w:ascii="Courier New" w:hAnsi="Courier New" w:cs="Courier New"/>
          <w:sz w:val="18"/>
        </w:rPr>
        <w:t xml:space="preserve">    token_diffs = [b - r for b, r in zip(b_tokens, r_tokens)]  # positive = registry saves tokens</w:t>
        <w:br/>
      </w:r>
      <w:r>
        <w:rPr>
          <w:rFonts w:ascii="Courier New" w:hAnsi="Courier New" w:cs="Courier New"/>
          <w:sz w:val="18"/>
        </w:rPr>
        <w:t xml:space="preserve">    acc_diffs = [r - b for b, r in zip(b_acc, r_acc)]  # positive = registry more accurate</w:t>
        <w:br/>
      </w:r>
      <w:r>
        <w:rPr>
          <w:rFonts w:ascii="Courier New" w:hAnsi="Courier New" w:cs="Courier New"/>
          <w:sz w:val="18"/>
        </w:rPr>
        <w:br/>
      </w:r>
      <w:r>
        <w:rPr>
          <w:rFonts w:ascii="Courier New" w:hAnsi="Courier New" w:cs="Courier New"/>
          <w:sz w:val="18"/>
        </w:rPr>
        <w:t xml:space="preserve">    mean_diff = statistics.mean(token_diffs)</w:t>
        <w:br/>
      </w:r>
      <w:r>
        <w:rPr>
          <w:rFonts w:ascii="Courier New" w:hAnsi="Courier New" w:cs="Courier New"/>
          <w:sz w:val="18"/>
        </w:rPr>
        <w:t xml:space="preserve">    std_diff = statistics.pstdev(token_diffs) if n &gt; 1 else 0.0</w:t>
        <w:br/>
      </w:r>
      <w:r>
        <w:rPr>
          <w:rFonts w:ascii="Courier New" w:hAnsi="Courier New" w:cs="Courier New"/>
          <w:sz w:val="18"/>
        </w:rPr>
        <w:t xml:space="preserve">    cohens_d = mean_diff / std_diff if std_diff &gt; 0 else None</w:t>
        <w:br/>
      </w:r>
      <w:r>
        <w:rPr>
          <w:rFonts w:ascii="Courier New" w:hAnsi="Courier New" w:cs="Courier New"/>
          <w:sz w:val="18"/>
        </w:rPr>
        <w:br/>
      </w:r>
      <w:r>
        <w:rPr>
          <w:rFonts w:ascii="Courier New" w:hAnsi="Courier New" w:cs="Courier New"/>
          <w:sz w:val="18"/>
        </w:rPr>
        <w:t xml:space="preserve">    try:</w:t>
        <w:br/>
      </w:r>
      <w:r>
        <w:rPr>
          <w:rFonts w:ascii="Courier New" w:hAnsi="Courier New" w:cs="Courier New"/>
          <w:sz w:val="18"/>
        </w:rPr>
        <w:t xml:space="preserve">        w_stat, w_p = _scipy_stats.wilcoxon(token_diffs, alternative="greater")</w:t>
        <w:br/>
      </w:r>
      <w:r>
        <w:rPr>
          <w:rFonts w:ascii="Courier New" w:hAnsi="Courier New" w:cs="Courier New"/>
          <w:sz w:val="18"/>
        </w:rPr>
        <w:t xml:space="preserve">    except Exception:</w:t>
        <w:br/>
      </w:r>
      <w:r>
        <w:rPr>
          <w:rFonts w:ascii="Courier New" w:hAnsi="Courier New" w:cs="Courier New"/>
          <w:sz w:val="18"/>
        </w:rPr>
        <w:t xml:space="preserve">        w_stat, w_p = None, None</w:t>
        <w:br/>
      </w:r>
      <w:r>
        <w:rPr>
          <w:rFonts w:ascii="Courier New" w:hAnsi="Courier New" w:cs="Courier New"/>
          <w:sz w:val="18"/>
        </w:rPr>
        <w:br/>
      </w:r>
      <w:r>
        <w:rPr>
          <w:rFonts w:ascii="Courier New" w:hAnsi="Courier New" w:cs="Courier New"/>
          <w:sz w:val="18"/>
        </w:rPr>
        <w:t xml:space="preserve">    se = std_diff / math.sqrt(n) if n &gt; 0 else 0.0</w:t>
        <w:br/>
      </w:r>
      <w:r>
        <w:rPr>
          <w:rFonts w:ascii="Courier New" w:hAnsi="Courier New" w:cs="Courier New"/>
          <w:sz w:val="18"/>
        </w:rPr>
        <w:t xml:space="preserve">    t_crit = _scipy_stats.t.ppf(0.975, df=n - 1) if n &gt; 1 else 1.96</w:t>
        <w:br/>
      </w:r>
      <w:r>
        <w:rPr>
          <w:rFonts w:ascii="Courier New" w:hAnsi="Courier New" w:cs="Courier New"/>
          <w:sz w:val="18"/>
        </w:rPr>
        <w:t xml:space="preserve">    ci_lower = mean_diff - t_crit * se</w:t>
        <w:br/>
      </w:r>
      <w:r>
        <w:rPr>
          <w:rFonts w:ascii="Courier New" w:hAnsi="Courier New" w:cs="Courier New"/>
          <w:sz w:val="18"/>
        </w:rPr>
        <w:t xml:space="preserve">    ci_upper = mean_diff + t_crit * se</w:t>
        <w:br/>
      </w:r>
      <w:r>
        <w:rPr>
          <w:rFonts w:ascii="Courier New" w:hAnsi="Courier New" w:cs="Courier New"/>
          <w:sz w:val="18"/>
        </w:rPr>
        <w:br/>
      </w:r>
      <w:r>
        <w:rPr>
          <w:rFonts w:ascii="Courier New" w:hAnsi="Courier New" w:cs="Courier New"/>
          <w:sz w:val="18"/>
        </w:rPr>
        <w:t xml:space="preserve">    mean_acc_diff = statistics.mean(acc_diffs)</w:t>
        <w:br/>
      </w:r>
      <w:r>
        <w:rPr>
          <w:rFonts w:ascii="Courier New" w:hAnsi="Courier New" w:cs="Courier New"/>
          <w:sz w:val="18"/>
        </w:rPr>
        <w:t xml:space="preserve">    std_acc_diff = statistics.pstdev(acc_diffs) if n &gt; 1 else 0.0</w:t>
        <w:br/>
      </w:r>
      <w:r>
        <w:rPr>
          <w:rFonts w:ascii="Courier New" w:hAnsi="Courier New" w:cs="Courier New"/>
          <w:sz w:val="18"/>
        </w:rPr>
        <w:t xml:space="preserve">    try:</w:t>
        <w:br/>
      </w:r>
      <w:r>
        <w:rPr>
          <w:rFonts w:ascii="Courier New" w:hAnsi="Courier New" w:cs="Courier New"/>
          <w:sz w:val="18"/>
        </w:rPr>
        <w:t xml:space="preserve">        _, acc_p = _scipy_stats.wilcoxon(acc_diffs, alternative="greater")</w:t>
        <w:br/>
      </w:r>
      <w:r>
        <w:rPr>
          <w:rFonts w:ascii="Courier New" w:hAnsi="Courier New" w:cs="Courier New"/>
          <w:sz w:val="18"/>
        </w:rPr>
        <w:t xml:space="preserve">    except Exception:</w:t>
        <w:br/>
      </w:r>
      <w:r>
        <w:rPr>
          <w:rFonts w:ascii="Courier New" w:hAnsi="Courier New" w:cs="Courier New"/>
          <w:sz w:val="18"/>
        </w:rPr>
        <w:t xml:space="preserve">        acc_p = None</w:t>
        <w:br/>
      </w:r>
      <w:r>
        <w:rPr>
          <w:rFonts w:ascii="Courier New" w:hAnsi="Courier New" w:cs="Courier New"/>
          <w:sz w:val="18"/>
        </w:rPr>
        <w:br/>
      </w:r>
      <w:r>
        <w:rPr>
          <w:rFonts w:ascii="Courier New" w:hAnsi="Courier New" w:cs="Courier New"/>
          <w:sz w:val="18"/>
        </w:rPr>
        <w:t xml:space="preserve">    return {</w:t>
        <w:br/>
      </w:r>
      <w:r>
        <w:rPr>
          <w:rFonts w:ascii="Courier New" w:hAnsi="Courier New" w:cs="Courier New"/>
          <w:sz w:val="18"/>
        </w:rPr>
        <w:t xml:space="preserve">        "scenario": scenario,</w:t>
        <w:br/>
      </w:r>
      <w:r>
        <w:rPr>
          <w:rFonts w:ascii="Courier New" w:hAnsi="Courier New" w:cs="Courier New"/>
          <w:sz w:val="18"/>
        </w:rPr>
        <w:t xml:space="preserve">        "n_pairs": n,</w:t>
        <w:br/>
      </w:r>
      <w:r>
        <w:rPr>
          <w:rFonts w:ascii="Courier New" w:hAnsi="Courier New" w:cs="Courier New"/>
          <w:sz w:val="18"/>
        </w:rPr>
        <w:t xml:space="preserve">        "token_reduction_mean": round(mean_diff, 2),</w:t>
        <w:br/>
      </w:r>
      <w:r>
        <w:rPr>
          <w:rFonts w:ascii="Courier New" w:hAnsi="Courier New" w:cs="Courier New"/>
          <w:sz w:val="18"/>
        </w:rPr>
        <w:t xml:space="preserve">        "token_reduction_ci95_lower": round(ci_lower, 2),</w:t>
        <w:br/>
      </w:r>
      <w:r>
        <w:rPr>
          <w:rFonts w:ascii="Courier New" w:hAnsi="Courier New" w:cs="Courier New"/>
          <w:sz w:val="18"/>
        </w:rPr>
        <w:t xml:space="preserve">        "token_reduction_ci95_upper": round(ci_upper, 2),</w:t>
        <w:br/>
      </w:r>
      <w:r>
        <w:rPr>
          <w:rFonts w:ascii="Courier New" w:hAnsi="Courier New" w:cs="Courier New"/>
          <w:sz w:val="18"/>
        </w:rPr>
        <w:t xml:space="preserve">        "wilcoxon_token_stat": round(w_stat, 4) if w_stat is not None else None,</w:t>
        <w:br/>
      </w:r>
      <w:r>
        <w:rPr>
          <w:rFonts w:ascii="Courier New" w:hAnsi="Courier New" w:cs="Courier New"/>
          <w:sz w:val="18"/>
        </w:rPr>
        <w:t xml:space="preserve">        "wilcoxon_token_p": round(w_p, 6) if w_p is not None else None,</w:t>
        <w:br/>
      </w:r>
      <w:r>
        <w:rPr>
          <w:rFonts w:ascii="Courier New" w:hAnsi="Courier New" w:cs="Courier New"/>
          <w:sz w:val="18"/>
        </w:rPr>
        <w:t xml:space="preserve">        "cohens_d_tokens": round(cohens_d, 4) if cohens_d is not None else None,</w:t>
        <w:br/>
      </w:r>
      <w:r>
        <w:rPr>
          <w:rFonts w:ascii="Courier New" w:hAnsi="Courier New" w:cs="Courier New"/>
          <w:sz w:val="18"/>
        </w:rPr>
        <w:t xml:space="preserve">        "accuracy_improvement_mean": round(mean_acc_diff, 4),</w:t>
        <w:br/>
      </w:r>
      <w:r>
        <w:rPr>
          <w:rFonts w:ascii="Courier New" w:hAnsi="Courier New" w:cs="Courier New"/>
          <w:sz w:val="18"/>
        </w:rPr>
        <w:t xml:space="preserve">        "accuracy_improvement_std": round(std_acc_diff, 4),</w:t>
        <w:br/>
      </w:r>
      <w:r>
        <w:rPr>
          <w:rFonts w:ascii="Courier New" w:hAnsi="Courier New" w:cs="Courier New"/>
          <w:sz w:val="18"/>
        </w:rPr>
        <w:t xml:space="preserve">        "wilcoxon_accuracy_p": round(acc_p, 6) if acc_p is not None else None,</w:t>
        <w:br/>
      </w:r>
      <w:r>
        <w:rPr>
          <w:rFonts w:ascii="Courier New" w:hAnsi="Courier New" w:cs="Courier New"/>
          <w:sz w:val="18"/>
        </w:rPr>
        <w:t xml:space="preserve">    }</w:t>
        <w:br/>
      </w:r>
      <w:r>
        <w:rPr>
          <w:rFonts w:ascii="Courier New" w:hAnsi="Courier New" w:cs="Courier New"/>
          <w:sz w:val="18"/>
        </w:rPr>
        <w:br/>
      </w:r>
      <w:r>
        <w:rPr>
          <w:rFonts w:ascii="Courier New" w:hAnsi="Courier New" w:cs="Courier New"/>
          <w:sz w:val="18"/>
        </w:rPr>
        <w:br/>
      </w:r>
      <w:r>
        <w:rPr>
          <w:rFonts w:ascii="Courier New" w:hAnsi="Courier New" w:cs="Courier New"/>
          <w:sz w:val="18"/>
        </w:rPr>
        <w:t>def all_statistical_tests(rows: list[dict[str, Any]]) -&gt; list[dict[str, Any]]:</w:t>
        <w:br/>
      </w:r>
      <w:r>
        <w:rPr>
          <w:rFonts w:ascii="Courier New" w:hAnsi="Courier New" w:cs="Courier New"/>
          <w:sz w:val="18"/>
        </w:rPr>
        <w:t xml:space="preserve">    """Run paired_statistical_tests for every scenario that has both baseline and registry data."""</w:t>
        <w:br/>
      </w:r>
      <w:r>
        <w:rPr>
          <w:rFonts w:ascii="Courier New" w:hAnsi="Courier New" w:cs="Courier New"/>
          <w:sz w:val="18"/>
        </w:rPr>
        <w:t xml:space="preserve">    scenarios_with_both: set[str] = set()</w:t>
        <w:br/>
      </w:r>
      <w:r>
        <w:rPr>
          <w:rFonts w:ascii="Courier New" w:hAnsi="Courier New" w:cs="Courier New"/>
          <w:sz w:val="18"/>
        </w:rPr>
        <w:t xml:space="preserve">    scenarios_baseline: set[str] = set()</w:t>
        <w:br/>
      </w:r>
      <w:r>
        <w:rPr>
          <w:rFonts w:ascii="Courier New" w:hAnsi="Courier New" w:cs="Courier New"/>
          <w:sz w:val="18"/>
        </w:rPr>
        <w:t xml:space="preserve">    scenarios_registry: set[str] = set()</w:t>
        <w:br/>
      </w:r>
      <w:r>
        <w:rPr>
          <w:rFonts w:ascii="Courier New" w:hAnsi="Courier New" w:cs="Courier New"/>
          <w:sz w:val="18"/>
        </w:rPr>
        <w:t xml:space="preserve">    for row in rows:</w:t>
        <w:br/>
      </w:r>
      <w:r>
        <w:rPr>
          <w:rFonts w:ascii="Courier New" w:hAnsi="Courier New" w:cs="Courier New"/>
          <w:sz w:val="18"/>
        </w:rPr>
        <w:t xml:space="preserve">        if row["mode"] == "baseline":</w:t>
        <w:br/>
      </w:r>
      <w:r>
        <w:rPr>
          <w:rFonts w:ascii="Courier New" w:hAnsi="Courier New" w:cs="Courier New"/>
          <w:sz w:val="18"/>
        </w:rPr>
        <w:t xml:space="preserve">            scenarios_baseline.add(row["scenario"])</w:t>
        <w:br/>
      </w:r>
      <w:r>
        <w:rPr>
          <w:rFonts w:ascii="Courier New" w:hAnsi="Courier New" w:cs="Courier New"/>
          <w:sz w:val="18"/>
        </w:rPr>
        <w:t xml:space="preserve">        elif row["mode"] == "registry":</w:t>
        <w:br/>
      </w:r>
      <w:r>
        <w:rPr>
          <w:rFonts w:ascii="Courier New" w:hAnsi="Courier New" w:cs="Courier New"/>
          <w:sz w:val="18"/>
        </w:rPr>
        <w:t xml:space="preserve">            scenarios_registry.add(row["scenario"])</w:t>
        <w:br/>
      </w:r>
      <w:r>
        <w:rPr>
          <w:rFonts w:ascii="Courier New" w:hAnsi="Courier New" w:cs="Courier New"/>
          <w:sz w:val="18"/>
        </w:rPr>
        <w:t xml:space="preserve">    scenarios_with_both = scenarios_baseline &amp; scenarios_registry</w:t>
        <w:br/>
      </w:r>
      <w:r>
        <w:rPr>
          <w:rFonts w:ascii="Courier New" w:hAnsi="Courier New" w:cs="Courier New"/>
          <w:sz w:val="18"/>
        </w:rPr>
        <w:t xml:space="preserve">    return [paired_statistical_tests(rows, s) for s in sorted(scenarios_with_both)]</w:t>
        <w:br/>
      </w:r>
      <w:r>
        <w:rPr>
          <w:rFonts w:ascii="Courier New" w:hAnsi="Courier New" w:cs="Courier New"/>
          <w:sz w:val="18"/>
        </w:rPr>
        <w:br/>
      </w:r>
      <w:r>
        <w:rPr>
          <w:rFonts w:ascii="Courier New" w:hAnsi="Courier New" w:cs="Courier New"/>
          <w:sz w:val="18"/>
        </w:rPr>
        <w:br/>
      </w:r>
      <w:r>
        <w:rPr>
          <w:rFonts w:ascii="Courier New" w:hAnsi="Courier New" w:cs="Courier New"/>
          <w:sz w:val="18"/>
        </w:rPr>
        <w:t>def summarize(rows: list[dict[str, Any]]) -&gt; list[dict[str, Any]]:</w:t>
        <w:br/>
      </w:r>
      <w:r>
        <w:rPr>
          <w:rFonts w:ascii="Courier New" w:hAnsi="Courier New" w:cs="Courier New"/>
          <w:sz w:val="18"/>
        </w:rPr>
        <w:t xml:space="preserve">    grouped: dict[tuple[str, str], list[dict[str, Any]]] = {}</w:t>
        <w:br/>
      </w:r>
      <w:r>
        <w:rPr>
          <w:rFonts w:ascii="Courier New" w:hAnsi="Courier New" w:cs="Courier New"/>
          <w:sz w:val="18"/>
        </w:rPr>
        <w:t xml:space="preserve">    for row in rows:</w:t>
        <w:br/>
      </w:r>
      <w:r>
        <w:rPr>
          <w:rFonts w:ascii="Courier New" w:hAnsi="Courier New" w:cs="Courier New"/>
          <w:sz w:val="18"/>
        </w:rPr>
        <w:t xml:space="preserve">        grouped.setdefault((row["scenario"], row["mode"]), []).append(row)</w:t>
        <w:br/>
      </w:r>
      <w:r>
        <w:rPr>
          <w:rFonts w:ascii="Courier New" w:hAnsi="Courier New" w:cs="Courier New"/>
          <w:sz w:val="18"/>
        </w:rPr>
        <w:br/>
      </w:r>
      <w:r>
        <w:rPr>
          <w:rFonts w:ascii="Courier New" w:hAnsi="Courier New" w:cs="Courier New"/>
          <w:sz w:val="18"/>
        </w:rPr>
        <w:t xml:space="preserve">    summary: list[dict[str, Any]] = []</w:t>
        <w:br/>
      </w:r>
      <w:r>
        <w:rPr>
          <w:rFonts w:ascii="Courier New" w:hAnsi="Courier New" w:cs="Courier New"/>
          <w:sz w:val="18"/>
        </w:rPr>
        <w:t xml:space="preserve">    for (scenario, mode), items in sorted(grouped.items()):</w:t>
        <w:br/>
      </w:r>
      <w:r>
        <w:rPr>
          <w:rFonts w:ascii="Courier New" w:hAnsi="Courier New" w:cs="Courier New"/>
          <w:sz w:val="18"/>
        </w:rPr>
        <w:t xml:space="preserve">        latencies = [float(item["latency_ms"]) for item in items]</w:t>
        <w:br/>
      </w:r>
      <w:r>
        <w:rPr>
          <w:rFonts w:ascii="Courier New" w:hAnsi="Courier New" w:cs="Courier New"/>
          <w:sz w:val="18"/>
        </w:rPr>
        <w:t xml:space="preserve">        tokens = [float(item["total_tokens"]) for item in items]</w:t>
        <w:br/>
      </w:r>
      <w:r>
        <w:rPr>
          <w:rFonts w:ascii="Courier New" w:hAnsi="Courier New" w:cs="Courier New"/>
          <w:sz w:val="18"/>
        </w:rPr>
        <w:t xml:space="preserve">        correct = [1.0 if item["is_correct"] else 0.0 for item in items]</w:t>
        <w:br/>
      </w:r>
      <w:r>
        <w:rPr>
          <w:rFonts w:ascii="Courier New" w:hAnsi="Courier New" w:cs="Courier New"/>
          <w:sz w:val="18"/>
        </w:rPr>
        <w:t xml:space="preserve">        n = len(items)</w:t>
        <w:br/>
      </w:r>
      <w:r>
        <w:rPr>
          <w:rFonts w:ascii="Courier New" w:hAnsi="Courier New" w:cs="Courier New"/>
          <w:sz w:val="18"/>
        </w:rPr>
        <w:t xml:space="preserve">        summary.append(</w:t>
        <w:br/>
      </w:r>
      <w:r>
        <w:rPr>
          <w:rFonts w:ascii="Courier New" w:hAnsi="Courier New" w:cs="Courier New"/>
          <w:sz w:val="18"/>
        </w:rPr>
        <w:t xml:space="preserve">            {</w:t>
        <w:br/>
      </w:r>
      <w:r>
        <w:rPr>
          <w:rFonts w:ascii="Courier New" w:hAnsi="Courier New" w:cs="Courier New"/>
          <w:sz w:val="18"/>
        </w:rPr>
        <w:t xml:space="preserve">                "scenario": scenario,</w:t>
        <w:br/>
      </w:r>
      <w:r>
        <w:rPr>
          <w:rFonts w:ascii="Courier New" w:hAnsi="Courier New" w:cs="Courier New"/>
          <w:sz w:val="18"/>
        </w:rPr>
        <w:t xml:space="preserve">                "mode": mode,</w:t>
        <w:br/>
      </w:r>
      <w:r>
        <w:rPr>
          <w:rFonts w:ascii="Courier New" w:hAnsi="Courier New" w:cs="Courier New"/>
          <w:sz w:val="18"/>
        </w:rPr>
        <w:t xml:space="preserve">                "total_tools": items[0]["total_tools"],</w:t>
        <w:br/>
      </w:r>
      <w:r>
        <w:rPr>
          <w:rFonts w:ascii="Courier New" w:hAnsi="Courier New" w:cs="Courier New"/>
          <w:sz w:val="18"/>
        </w:rPr>
        <w:t xml:space="preserve">                "avg_visible_tools": round(statistics.mean(item["visible_tools"] for item in items), 3),</w:t>
        <w:br/>
      </w:r>
      <w:r>
        <w:rPr>
          <w:rFonts w:ascii="Courier New" w:hAnsi="Courier New" w:cs="Courier New"/>
          <w:sz w:val="18"/>
        </w:rPr>
        <w:t xml:space="preserve">                "avg_total_tokens": round(statistics.mean(tokens), 3),</w:t>
        <w:br/>
      </w:r>
      <w:r>
        <w:rPr>
          <w:rFonts w:ascii="Courier New" w:hAnsi="Courier New" w:cs="Courier New"/>
          <w:sz w:val="18"/>
        </w:rPr>
        <w:t xml:space="preserve">                "std_total_tokens": round(statistics.pstdev(tokens), 3) if n &gt; 1 else 0.0,</w:t>
        <w:br/>
      </w:r>
      <w:r>
        <w:rPr>
          <w:rFonts w:ascii="Courier New" w:hAnsi="Courier New" w:cs="Courier New"/>
          <w:sz w:val="18"/>
        </w:rPr>
        <w:t xml:space="preserve">                "accuracy": round(statistics.mean(correct), 4),</w:t>
        <w:br/>
      </w:r>
      <w:r>
        <w:rPr>
          <w:rFonts w:ascii="Courier New" w:hAnsi="Courier New" w:cs="Courier New"/>
          <w:sz w:val="18"/>
        </w:rPr>
        <w:t xml:space="preserve">                "std_accuracy": round(statistics.pstdev(correct), 4) if n &gt; 1 else 0.0,</w:t>
        <w:br/>
      </w:r>
      <w:r>
        <w:rPr>
          <w:rFonts w:ascii="Courier New" w:hAnsi="Courier New" w:cs="Courier New"/>
          <w:sz w:val="18"/>
        </w:rPr>
        <w:t xml:space="preserve">                "latency_p50_ms": round(percentile(latencies, 0.50), 3),</w:t>
        <w:br/>
      </w:r>
      <w:r>
        <w:rPr>
          <w:rFonts w:ascii="Courier New" w:hAnsi="Courier New" w:cs="Courier New"/>
          <w:sz w:val="18"/>
        </w:rPr>
        <w:t xml:space="preserve">                "latency_p95_ms": round(percentile(latencies, 0.95), 3),</w:t>
        <w:br/>
      </w:r>
      <w:r>
        <w:rPr>
          <w:rFonts w:ascii="Courier New" w:hAnsi="Courier New" w:cs="Courier New"/>
          <w:sz w:val="18"/>
        </w:rPr>
        <w:t xml:space="preserve">                "latency_mean_ms": round(statistics.mean(latencies), 3),</w:t>
        <w:br/>
      </w:r>
      <w:r>
        <w:rPr>
          <w:rFonts w:ascii="Courier New" w:hAnsi="Courier New" w:cs="Courier New"/>
          <w:sz w:val="18"/>
        </w:rPr>
        <w:t xml:space="preserve">                "std_latency_ms": round(statistics.pstdev(latencies), 3) if n &gt; 1 else 0.0,</w:t>
        <w:br/>
      </w:r>
      <w:r>
        <w:rPr>
          <w:rFonts w:ascii="Courier New" w:hAnsi="Courier New" w:cs="Courier New"/>
          <w:sz w:val="18"/>
        </w:rPr>
        <w:t xml:space="preserve">                "registry_memory_bytes": max(item["registry_memory_bytes"] for item in items),</w:t>
        <w:br/>
      </w:r>
      <w:r>
        <w:rPr>
          <w:rFonts w:ascii="Courier New" w:hAnsi="Courier New" w:cs="Courier New"/>
          <w:sz w:val="18"/>
        </w:rPr>
        <w:t xml:space="preserve">                "runs": n,</w:t>
        <w:br/>
      </w:r>
      <w:r>
        <w:rPr>
          <w:rFonts w:ascii="Courier New" w:hAnsi="Courier New" w:cs="Courier New"/>
          <w:sz w:val="18"/>
        </w:rPr>
        <w:t xml:space="preserve">            }</w:t>
        <w:br/>
      </w:r>
      <w:r>
        <w:rPr>
          <w:rFonts w:ascii="Courier New" w:hAnsi="Courier New" w:cs="Courier New"/>
          <w:sz w:val="18"/>
        </w:rPr>
        <w:t xml:space="preserve">        )</w:t>
        <w:br/>
      </w:r>
      <w:r>
        <w:rPr>
          <w:rFonts w:ascii="Courier New" w:hAnsi="Courier New" w:cs="Courier New"/>
          <w:sz w:val="18"/>
        </w:rPr>
        <w:t xml:space="preserve">    return summary</w:t>
        <w:br/>
      </w:r>
      <w:r>
        <w:rPr>
          <w:rFonts w:ascii="Courier New" w:hAnsi="Courier New" w:cs="Courier New"/>
          <w:sz w:val="18"/>
        </w:rPr>
      </w:r>
    </w:p>
    <w:p>
      <w:pPr>
        <w:pStyle w:val="Heading2"/>
      </w:pPr>
      <w:r>
        <w:t>Lampiran E: Bukti Similarity Check Turnitin (≤30%)</w:t>
      </w:r>
    </w:p>
    <w:p>
      <w:pPr>
        <w:jc w:val="both"/>
      </w:pPr>
      <w:r>
        <w:t>Pemeriksaan kemiripan (</w:t>
      </w:r>
      <w:r>
        <w:rPr>
          <w:i/>
        </w:rPr>
        <w:t>similarity check</w:t>
      </w:r>
      <w:r>
        <w:t>) dilakukan menggunakan Turnitin atas naskah final Bab I–V. Bukti berupa halaman ringkasan Turnitin (</w:t>
      </w:r>
      <w:r>
        <w:rPr>
          <w:i/>
        </w:rPr>
        <w:t>similarity report</w:t>
      </w:r>
      <w:r>
        <w:t>) dengan skor kemiripan maksimal 30% dilampirkan pada versi cetak setelah naskah dinyatakan final oleh dosen pembimbing.</w:t>
      </w:r>
    </w:p>
    <w:sectPr w:rsidR="00FC693F" w:rsidRPr="0006063C" w:rsidSect="00034616">
      <w:footerReference w:type="default" r:id="rId11"/>
      <w:pgSz w:w="11906" w:h="16838"/>
      <w:pgMar w:top="1701" w:right="1701" w:bottom="1701" w:left="2268"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 w:val="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center"/>
      <w:outlineLvl w:val="0"/>
    </w:pPr>
    <w:rPr>
      <w:rFonts w:asciiTheme="majorHAnsi" w:eastAsiaTheme="majorEastAsia" w:hAnsiTheme="majorHAnsi" w:cstheme="majorBidi"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jc w:val="left"/>
      <w:outlineLvl w:val="2"/>
    </w:pPr>
    <w:rPr>
      <w:rFonts w:asciiTheme="majorHAnsi" w:eastAsiaTheme="majorEastAsia" w:hAnsiTheme="majorHAnsi" w:cstheme="majorBidi" w:ascii="Times New Roman" w:hAnsi="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120" w:after="120"/>
      <w:jc w:val="center"/>
    </w:pPr>
    <w:rPr>
      <w:rFonts w:ascii="Times New Roman" w:hAnsi="Times New Roman"/>
      <w:b w:val="0"/>
      <w:bCs/>
      <w:i w:val="0"/>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