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BAB III IMPLEMENTASI METODE USULAN</w:t>
      </w:r>
    </w:p>
    <w:p>
      <w:pPr>
        <w:ind w:firstLine="720"/>
        <w:jc w:val="both"/>
      </w:pPr>
      <w:r>
        <w:t xml:space="preserve">Bab ini menguraikan rancangan dan implementasi artefak Tool Registry beserta kerangka evaluasinya, mengikuti tahap </w:t>
      </w:r>
      <w:r>
        <w:rPr>
          <w:i/>
        </w:rPr>
        <w:t>design and development</w:t>
      </w:r>
      <w:r>
        <w:t xml:space="preserve"> pada kerangka </w:t>
      </w:r>
      <w:r>
        <w:rPr>
          <w:i/>
        </w:rPr>
        <w:t>Design Science Research</w:t>
      </w:r>
      <w:r>
        <w:t xml:space="preserve"> [15]. Pembahasan dimulai dari analisis sistem eksisting zerlo.id sebagai sumber masalah, dilanjutkan dengan perancangan struktur metadata dan </w:t>
      </w:r>
      <w:r>
        <w:rPr>
          <w:i/>
        </w:rPr>
        <w:t>pipeline</w:t>
      </w:r>
      <w:r>
        <w:t xml:space="preserve"> penyaringan, perancangan kerangka evaluasi, lalu penelusuran kode (</w:t>
      </w:r>
      <w:r>
        <w:rPr>
          <w:i/>
        </w:rPr>
        <w:t>code walkthrough</w:t>
      </w:r>
      <w:r>
        <w:t xml:space="preserve">) atas implementasi Tool Registry dan </w:t>
      </w:r>
      <w:r>
        <w:rPr>
          <w:i/>
        </w:rPr>
        <w:t>eval runner</w:t>
      </w:r>
      <w:r>
        <w:t>, dan ditutup dengan konfigurasi eksperimen yang dikendalikan.</w:t>
      </w:r>
    </w:p>
    <w:p>
      <w:pPr>
        <w:pStyle w:val="Heading2"/>
      </w:pPr>
      <w:r>
        <w:t>3.1 Analisis Sistem Eksisting</w:t>
      </w:r>
    </w:p>
    <w:p>
      <w:pPr>
        <w:ind w:firstLine="720"/>
        <w:jc w:val="both"/>
      </w:pPr>
      <w:r>
        <w:t xml:space="preserve">Platform zerlo.id pada tahap </w:t>
      </w:r>
      <w:r>
        <w:rPr>
          <w:i/>
        </w:rPr>
        <w:t>beta testing</w:t>
      </w:r>
      <w:r>
        <w:t xml:space="preserve"> mengoperasikan 38 modul bisnis dengan 1.176 </w:t>
      </w:r>
      <w:r>
        <w:rPr>
          <w:i/>
        </w:rPr>
        <w:t>endpoint</w:t>
      </w:r>
      <w:r>
        <w:t xml:space="preserve">, 11 AI Agent aktif, dan lebih dari 60 </w:t>
      </w:r>
      <w:r>
        <w:rPr>
          <w:i/>
        </w:rPr>
        <w:t>tools</w:t>
      </w:r>
      <w:r>
        <w:t xml:space="preserve"> produksi. Setiap </w:t>
      </w:r>
      <w:r>
        <w:rPr>
          <w:i/>
        </w:rPr>
        <w:t>tool</w:t>
      </w:r>
      <w:r>
        <w:t xml:space="preserve"> didaftarkan ke agen secara statis melalui dekorator </w:t>
      </w:r>
      <w:r>
        <w:rPr>
          <w:i/>
        </w:rPr>
        <w:t>native</w:t>
      </w:r>
      <w:r>
        <w:t xml:space="preserve"> Pydantic AI, sebagaimana pola </w:t>
      </w:r>
      <w:r>
        <w:rPr>
          <w:rFonts w:ascii="Courier New" w:hAnsi="Courier New"/>
        </w:rPr>
        <w:t>@agent.tool</w:t>
      </w:r>
      <w:r>
        <w:t xml:space="preserve"> yang mendaftarkan seluruh fungsi ke dalam satu himpunan </w:t>
      </w:r>
      <w:r>
        <w:rPr>
          <w:i/>
        </w:rPr>
        <w:t>tool</w:t>
      </w:r>
      <w:r>
        <w:t xml:space="preserve"> tunggal. Pada pola tersebut, seluruh definisi </w:t>
      </w:r>
      <w:r>
        <w:rPr>
          <w:i/>
        </w:rPr>
        <w:t>tool</w:t>
      </w:r>
      <w:r>
        <w:t xml:space="preserve"> — nama, deskripsi, dan skema parameter — diserialisasi menjadi </w:t>
      </w:r>
      <w:r>
        <w:rPr>
          <w:i/>
        </w:rPr>
        <w:t>FunctionDeclaration</w:t>
      </w:r>
      <w:r>
        <w:t xml:space="preserve"> dan diteruskan ke LLM pada setiap panggilan, tanpa memandang relevansinya terhadap permintaan pengguna.</w:t>
      </w:r>
    </w:p>
    <w:p>
      <w:pPr>
        <w:ind w:firstLine="720"/>
        <w:jc w:val="both"/>
      </w:pPr>
      <w:r>
        <w:t xml:space="preserve">Pendekatan statis ini menimbulkan </w:t>
      </w:r>
      <w:r>
        <w:rPr>
          <w:i/>
        </w:rPr>
        <w:t>bottleneck</w:t>
      </w:r>
      <w:r>
        <w:t xml:space="preserve"> yang bersifat O(N) terhadap ukuran katalog: jumlah token input tumbuh proporsional terhadap jumlah </w:t>
      </w:r>
      <w:r>
        <w:rPr>
          <w:i/>
        </w:rPr>
        <w:t>tool</w:t>
      </w:r>
      <w:r>
        <w:t xml:space="preserve"> yang terdaftar. Pengukuran awal pada penelitian ini menunjukkan bahwa katalog 300 </w:t>
      </w:r>
      <w:r>
        <w:rPr>
          <w:i/>
        </w:rPr>
        <w:t>tool</w:t>
      </w:r>
      <w:r>
        <w:t xml:space="preserve"> (skenario S3) mengonsumsi rata-rata 23.893 token per kueri hanya untuk mendefinisikan </w:t>
      </w:r>
      <w:r>
        <w:rPr>
          <w:i/>
        </w:rPr>
        <w:t>tool</w:t>
      </w:r>
      <w:r>
        <w:t xml:space="preserve"> yang tersedia, bahkan sebelum pertanyaan pengguna diproses. Konsumsi token sebesar ini berdampak langsung pada biaya inferensi, latensi respons, dan — sebagaimana dibuktikan oleh fenomena </w:t>
      </w:r>
      <w:r>
        <w:rPr>
          <w:i/>
        </w:rPr>
        <w:t>context rot</w:t>
      </w:r>
      <w:r>
        <w:t xml:space="preserve"> yang diuraikan pada Bab II — penurunan akurasi pemilihan </w:t>
      </w:r>
      <w:r>
        <w:rPr>
          <w:i/>
        </w:rPr>
        <w:t>tool</w:t>
      </w:r>
      <w:r>
        <w:t xml:space="preserve"> akibat sebagian definisi berada di posisi tengah konteks yang rawan diabaikan.</w:t>
      </w:r>
    </w:p>
    <w:p>
      <w:pPr>
        <w:ind w:firstLine="720"/>
        <w:jc w:val="both"/>
      </w:pPr>
      <w:r>
        <w:t xml:space="preserve">Kerangka Pydantic AI [23] menyediakan abstraksi </w:t>
      </w:r>
      <w:r>
        <w:rPr>
          <w:rFonts w:ascii="Courier New" w:hAnsi="Courier New"/>
        </w:rPr>
        <w:t>FilteredToolset</w:t>
      </w:r>
      <w:r>
        <w:t xml:space="preserve"> yang memungkinkan penyaringan </w:t>
      </w:r>
      <w:r>
        <w:rPr>
          <w:i/>
        </w:rPr>
        <w:t>tool</w:t>
      </w:r>
      <w:r>
        <w:t xml:space="preserve"> berdasarkan sebuah predikat tunggal. Namun antarmuka tersebut tidak dirancang untuk penyaringan multi-kriteria yang dibutuhkan platform ERP multi-modul, yakni penyaringan simultan berdasarkan modul, peran (</w:t>
      </w:r>
      <w:r>
        <w:rPr>
          <w:i/>
        </w:rPr>
        <w:t>role</w:t>
      </w:r>
      <w:r>
        <w:t>), tingkat langganan (</w:t>
      </w:r>
      <w:r>
        <w:rPr>
          <w:i/>
        </w:rPr>
        <w:t>subscription tier</w:t>
      </w:r>
      <w:r>
        <w:t>), dan anggaran token (</w:t>
      </w:r>
      <w:r>
        <w:rPr>
          <w:i/>
        </w:rPr>
        <w:t>token budget</w:t>
      </w:r>
      <w:r>
        <w:t>). Kesenjangan antara kemampuan predikat tunggal dan kebutuhan penyaringan multi-kriteria inilah yang menjadi motivasi perancangan artefak Tool Registry pada penelitian ini.</w:t>
      </w:r>
    </w:p>
    <w:p>
      <w:pPr>
        <w:pStyle w:val="Heading2"/>
      </w:pPr>
      <w:r>
        <w:t>3.2 Perancangan Tool Registry</w:t>
      </w:r>
    </w:p>
    <w:p>
      <w:pPr>
        <w:ind w:firstLine="720"/>
        <w:jc w:val="both"/>
      </w:pPr>
      <w:r>
        <w:t xml:space="preserve">Artefak utama yang dirancang adalah lapisan penyaringan deterministik berbasis metadata terstruktur yang ditempatkan di antara katalog </w:t>
      </w:r>
      <w:r>
        <w:rPr>
          <w:i/>
        </w:rPr>
        <w:t>tool</w:t>
      </w:r>
      <w:r>
        <w:t xml:space="preserve"> dan LLM. Rancangan ini mengadaptasi prinsip </w:t>
      </w:r>
      <w:r>
        <w:rPr>
          <w:i/>
        </w:rPr>
        <w:t>smallest possible set of high-signal tokens</w:t>
      </w:r>
      <w:r>
        <w:t xml:space="preserve"> dari rekayasa konteks Anthropic [7], yakni meneruskan hanya himpunan </w:t>
      </w:r>
      <w:r>
        <w:rPr>
          <w:i/>
        </w:rPr>
        <w:t>tool</w:t>
      </w:r>
      <w:r>
        <w:t xml:space="preserve"> paling relevan dan sekecil mungkin kepada model.</w:t>
      </w:r>
    </w:p>
    <w:p>
      <w:pPr>
        <w:ind w:firstLine="720"/>
        <w:jc w:val="both"/>
      </w:pPr>
      <w:r>
        <w:t xml:space="preserve">Setiap </w:t>
      </w:r>
      <w:r>
        <w:rPr>
          <w:i/>
        </w:rPr>
        <w:t>tool</w:t>
      </w:r>
      <w:r>
        <w:t xml:space="preserve"> direpresentasikan oleh skema metadata terstruktur yang menyimpan atribut penyaringan. Atribut-atribut tersebut dirangkum pada Tabel 3.1.</w:t>
      </w:r>
    </w:p>
    <w:p>
      <w:pPr>
        <w:pStyle w:val="Caption"/>
        <w:keepNext/>
        <w:jc w:val="center"/>
      </w:pPr>
      <w:r>
        <w:t>Tabel 3.</w:t>
      </w:r>
      <w:fldSimple w:instr=" SEQ Tabel \r 1 \* ARABIC ">
        <w:r>
          <w:t>1</w:t>
        </w:r>
      </w:fldSimple>
      <w:r>
        <w:t xml:space="preserve"> Atribut Metadata Tool</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2646"/>
        <w:gridCol w:w="2646"/>
        <w:gridCol w:w="2646"/>
      </w:tblGrid>
      <w:tr>
        <w:trPr>
          <w:cantSplit/>
          <w:tblHeader/>
        </w:trPr>
        <w:tc>
          <w:tcPr>
            <w:tcW w:type="dxa" w:w="2646"/>
            <w:tcBorders>
              <w:top w:val="none"/>
              <w:bottom w:val="single" w:sz="8" w:space="0" w:color="000000"/>
              <w:left w:val="none"/>
              <w:right w:val="none"/>
            </w:tcBorders>
          </w:tcPr>
          <w:p>
            <w:pPr>
              <w:spacing w:line="240" w:lineRule="auto" w:after="0"/>
            </w:pPr>
            <w:r>
              <w:rPr>
                <w:b/>
                <w:sz w:val="20"/>
              </w:rPr>
            </w:r>
            <w:r>
              <w:rPr>
                <w:b/>
                <w:sz w:val="20"/>
              </w:rPr>
              <w:t>Atribut</w:t>
            </w:r>
          </w:p>
        </w:tc>
        <w:tc>
          <w:tcPr>
            <w:tcW w:type="dxa" w:w="2646"/>
            <w:tcBorders>
              <w:top w:val="none"/>
              <w:bottom w:val="single" w:sz="8" w:space="0" w:color="000000"/>
              <w:left w:val="none"/>
              <w:right w:val="none"/>
            </w:tcBorders>
          </w:tcPr>
          <w:p>
            <w:pPr>
              <w:spacing w:line="240" w:lineRule="auto" w:after="0"/>
            </w:pPr>
            <w:r>
              <w:rPr>
                <w:b/>
                <w:sz w:val="20"/>
              </w:rPr>
            </w:r>
            <w:r>
              <w:rPr>
                <w:b/>
                <w:sz w:val="20"/>
              </w:rPr>
              <w:t>Tipe</w:t>
            </w:r>
          </w:p>
        </w:tc>
        <w:tc>
          <w:tcPr>
            <w:tcW w:type="dxa" w:w="2646"/>
            <w:tcBorders>
              <w:top w:val="none"/>
              <w:bottom w:val="single" w:sz="8" w:space="0" w:color="000000"/>
              <w:left w:val="none"/>
              <w:right w:val="none"/>
            </w:tcBorders>
          </w:tcPr>
          <w:p>
            <w:pPr>
              <w:spacing w:line="240" w:lineRule="auto" w:after="0"/>
            </w:pPr>
            <w:r>
              <w:rPr>
                <w:b/>
                <w:sz w:val="20"/>
              </w:rPr>
            </w:r>
            <w:r>
              <w:rPr>
                <w:b/>
                <w:sz w:val="20"/>
              </w:rPr>
              <w:t>Fungsi dalam Penyaringan</w:t>
            </w:r>
          </w:p>
        </w:tc>
      </w:tr>
      <w:tr>
        <w:trPr>
          <w:cantSplit/>
        </w:trPr>
        <w:tc>
          <w:tcPr>
            <w:tcW w:type="dxa" w:w="2646"/>
          </w:tcPr>
          <w:p>
            <w:pPr>
              <w:spacing w:line="240" w:lineRule="auto" w:after="0"/>
            </w:pPr>
            <w:r>
              <w:rPr>
                <w:sz w:val="20"/>
              </w:rPr>
            </w:r>
            <w:r>
              <w:rPr>
                <w:rFonts w:ascii="Courier New" w:hAnsi="Courier New"/>
                <w:sz w:val="20"/>
              </w:rPr>
              <w:t>name</w:t>
            </w:r>
          </w:p>
        </w:tc>
        <w:tc>
          <w:tcPr>
            <w:tcW w:type="dxa" w:w="2646"/>
          </w:tcPr>
          <w:p>
            <w:pPr>
              <w:spacing w:line="240" w:lineRule="auto" w:after="0"/>
            </w:pPr>
            <w:r>
              <w:rPr>
                <w:sz w:val="20"/>
              </w:rPr>
            </w:r>
            <w:r>
              <w:rPr>
                <w:i/>
                <w:sz w:val="20"/>
              </w:rPr>
              <w:t>string</w:t>
            </w:r>
          </w:p>
        </w:tc>
        <w:tc>
          <w:tcPr>
            <w:tcW w:type="dxa" w:w="2646"/>
          </w:tcPr>
          <w:p>
            <w:pPr>
              <w:spacing w:line="240" w:lineRule="auto" w:after="0"/>
            </w:pPr>
            <w:r>
              <w:rPr>
                <w:sz w:val="20"/>
              </w:rPr>
            </w:r>
            <w:r>
              <w:rPr>
                <w:sz w:val="20"/>
              </w:rPr>
              <w:t xml:space="preserve">Pengenal unik </w:t>
            </w:r>
            <w:r>
              <w:rPr>
                <w:i/>
                <w:sz w:val="20"/>
              </w:rPr>
              <w:t>tool</w:t>
            </w:r>
            <w:r>
              <w:rPr>
                <w:sz w:val="20"/>
              </w:rPr>
              <w:t xml:space="preserve"> yang dipanggil LLM</w:t>
            </w:r>
          </w:p>
        </w:tc>
      </w:tr>
      <w:tr>
        <w:trPr>
          <w:cantSplit/>
        </w:trPr>
        <w:tc>
          <w:tcPr>
            <w:tcW w:type="dxa" w:w="2646"/>
          </w:tcPr>
          <w:p>
            <w:pPr>
              <w:spacing w:line="240" w:lineRule="auto" w:after="0"/>
            </w:pPr>
            <w:r>
              <w:rPr>
                <w:sz w:val="20"/>
              </w:rPr>
            </w:r>
            <w:r>
              <w:rPr>
                <w:rFonts w:ascii="Courier New" w:hAnsi="Courier New"/>
                <w:sz w:val="20"/>
              </w:rPr>
              <w:t>module</w:t>
            </w:r>
          </w:p>
        </w:tc>
        <w:tc>
          <w:tcPr>
            <w:tcW w:type="dxa" w:w="2646"/>
          </w:tcPr>
          <w:p>
            <w:pPr>
              <w:spacing w:line="240" w:lineRule="auto" w:after="0"/>
            </w:pPr>
            <w:r>
              <w:rPr>
                <w:sz w:val="20"/>
              </w:rPr>
            </w:r>
            <w:r>
              <w:rPr>
                <w:i/>
                <w:sz w:val="20"/>
              </w:rPr>
              <w:t>string</w:t>
            </w:r>
          </w:p>
        </w:tc>
        <w:tc>
          <w:tcPr>
            <w:tcW w:type="dxa" w:w="2646"/>
          </w:tcPr>
          <w:p>
            <w:pPr>
              <w:spacing w:line="240" w:lineRule="auto" w:after="0"/>
            </w:pPr>
            <w:r>
              <w:rPr>
                <w:sz w:val="20"/>
              </w:rPr>
            </w:r>
            <w:r>
              <w:rPr>
                <w:sz w:val="20"/>
              </w:rPr>
              <w:t xml:space="preserve">Modul pemilik </w:t>
            </w:r>
            <w:r>
              <w:rPr>
                <w:i/>
                <w:sz w:val="20"/>
              </w:rPr>
              <w:t>tool</w:t>
            </w:r>
            <w:r>
              <w:rPr>
                <w:sz w:val="20"/>
              </w:rPr>
              <w:t>; difilter terhadap modul kueri</w:t>
            </w:r>
          </w:p>
        </w:tc>
      </w:tr>
      <w:tr>
        <w:trPr>
          <w:cantSplit/>
        </w:trPr>
        <w:tc>
          <w:tcPr>
            <w:tcW w:type="dxa" w:w="2646"/>
          </w:tcPr>
          <w:p>
            <w:pPr>
              <w:spacing w:line="240" w:lineRule="auto" w:after="0"/>
            </w:pPr>
            <w:r>
              <w:rPr>
                <w:sz w:val="20"/>
              </w:rPr>
            </w:r>
            <w:r>
              <w:rPr>
                <w:rFonts w:ascii="Courier New" w:hAnsi="Courier New"/>
                <w:sz w:val="20"/>
              </w:rPr>
              <w:t>op_type</w:t>
            </w:r>
          </w:p>
        </w:tc>
        <w:tc>
          <w:tcPr>
            <w:tcW w:type="dxa" w:w="2646"/>
          </w:tcPr>
          <w:p>
            <w:pPr>
              <w:spacing w:line="240" w:lineRule="auto" w:after="0"/>
            </w:pPr>
            <w:r>
              <w:rPr>
                <w:sz w:val="20"/>
              </w:rPr>
            </w:r>
            <w:r>
              <w:rPr>
                <w:i/>
                <w:sz w:val="20"/>
              </w:rPr>
              <w:t>string</w:t>
            </w:r>
          </w:p>
        </w:tc>
        <w:tc>
          <w:tcPr>
            <w:tcW w:type="dxa" w:w="2646"/>
          </w:tcPr>
          <w:p>
            <w:pPr>
              <w:spacing w:line="240" w:lineRule="auto" w:after="0"/>
            </w:pPr>
            <w:r>
              <w:rPr>
                <w:sz w:val="20"/>
              </w:rPr>
            </w:r>
            <w:r>
              <w:rPr>
                <w:sz w:val="20"/>
              </w:rPr>
              <w:t>Tipe operasi (</w:t>
            </w:r>
            <w:r>
              <w:rPr>
                <w:i/>
                <w:sz w:val="20"/>
              </w:rPr>
              <w:t>read</w:t>
            </w:r>
            <w:r>
              <w:rPr>
                <w:sz w:val="20"/>
              </w:rPr>
              <w:t xml:space="preserve">, </w:t>
            </w:r>
            <w:r>
              <w:rPr>
                <w:i/>
                <w:sz w:val="20"/>
              </w:rPr>
              <w:t>analytical</w:t>
            </w:r>
            <w:r>
              <w:rPr>
                <w:sz w:val="20"/>
              </w:rPr>
              <w:t xml:space="preserve">, </w:t>
            </w:r>
            <w:r>
              <w:rPr>
                <w:i/>
                <w:sz w:val="20"/>
              </w:rPr>
              <w:t>write</w:t>
            </w:r>
            <w:r>
              <w:rPr>
                <w:sz w:val="20"/>
              </w:rPr>
              <w:t xml:space="preserve">, </w:t>
            </w:r>
            <w:r>
              <w:rPr>
                <w:i/>
                <w:sz w:val="20"/>
              </w:rPr>
              <w:t>admin</w:t>
            </w:r>
            <w:r>
              <w:rPr>
                <w:sz w:val="20"/>
              </w:rPr>
              <w:t>)</w:t>
            </w:r>
          </w:p>
        </w:tc>
      </w:tr>
      <w:tr>
        <w:trPr>
          <w:cantSplit/>
        </w:trPr>
        <w:tc>
          <w:tcPr>
            <w:tcW w:type="dxa" w:w="2646"/>
          </w:tcPr>
          <w:p>
            <w:pPr>
              <w:spacing w:line="240" w:lineRule="auto" w:after="0"/>
            </w:pPr>
            <w:r>
              <w:rPr>
                <w:sz w:val="20"/>
              </w:rPr>
            </w:r>
            <w:r>
              <w:rPr>
                <w:rFonts w:ascii="Courier New" w:hAnsi="Courier New"/>
                <w:sz w:val="20"/>
              </w:rPr>
              <w:t>roles</w:t>
            </w:r>
          </w:p>
        </w:tc>
        <w:tc>
          <w:tcPr>
            <w:tcW w:type="dxa" w:w="2646"/>
          </w:tcPr>
          <w:p>
            <w:pPr>
              <w:spacing w:line="240" w:lineRule="auto" w:after="0"/>
            </w:pPr>
            <w:r>
              <w:rPr>
                <w:sz w:val="20"/>
              </w:rPr>
            </w:r>
            <w:r>
              <w:rPr>
                <w:i/>
                <w:sz w:val="20"/>
              </w:rPr>
              <w:t>list</w:t>
            </w:r>
          </w:p>
        </w:tc>
        <w:tc>
          <w:tcPr>
            <w:tcW w:type="dxa" w:w="2646"/>
          </w:tcPr>
          <w:p>
            <w:pPr>
              <w:spacing w:line="240" w:lineRule="auto" w:after="0"/>
            </w:pPr>
            <w:r>
              <w:rPr>
                <w:sz w:val="20"/>
              </w:rPr>
            </w:r>
            <w:r>
              <w:rPr>
                <w:sz w:val="20"/>
              </w:rPr>
              <w:t>Peran yang diizinkan; difilter terhadap peran kueri</w:t>
            </w:r>
          </w:p>
        </w:tc>
      </w:tr>
      <w:tr>
        <w:trPr>
          <w:cantSplit/>
        </w:trPr>
        <w:tc>
          <w:tcPr>
            <w:tcW w:type="dxa" w:w="2646"/>
          </w:tcPr>
          <w:p>
            <w:pPr>
              <w:spacing w:line="240" w:lineRule="auto" w:after="0"/>
            </w:pPr>
            <w:r>
              <w:rPr>
                <w:sz w:val="20"/>
              </w:rPr>
            </w:r>
            <w:r>
              <w:rPr>
                <w:rFonts w:ascii="Courier New" w:hAnsi="Courier New"/>
                <w:sz w:val="20"/>
              </w:rPr>
              <w:t>tiers</w:t>
            </w:r>
          </w:p>
        </w:tc>
        <w:tc>
          <w:tcPr>
            <w:tcW w:type="dxa" w:w="2646"/>
          </w:tcPr>
          <w:p>
            <w:pPr>
              <w:spacing w:line="240" w:lineRule="auto" w:after="0"/>
            </w:pPr>
            <w:r>
              <w:rPr>
                <w:sz w:val="20"/>
              </w:rPr>
            </w:r>
            <w:r>
              <w:rPr>
                <w:i/>
                <w:sz w:val="20"/>
              </w:rPr>
              <w:t>list</w:t>
            </w:r>
          </w:p>
        </w:tc>
        <w:tc>
          <w:tcPr>
            <w:tcW w:type="dxa" w:w="2646"/>
          </w:tcPr>
          <w:p>
            <w:pPr>
              <w:spacing w:line="240" w:lineRule="auto" w:after="0"/>
            </w:pPr>
            <w:r>
              <w:rPr>
                <w:sz w:val="20"/>
              </w:rPr>
            </w:r>
            <w:r>
              <w:rPr>
                <w:sz w:val="20"/>
              </w:rPr>
              <w:t>Tingkat langganan yang diizinkan; difilter terhadap tier kueri</w:t>
            </w:r>
          </w:p>
        </w:tc>
      </w:tr>
      <w:tr>
        <w:trPr>
          <w:cantSplit/>
        </w:trPr>
        <w:tc>
          <w:tcPr>
            <w:tcW w:type="dxa" w:w="2646"/>
          </w:tcPr>
          <w:p>
            <w:pPr>
              <w:spacing w:line="240" w:lineRule="auto" w:after="0"/>
            </w:pPr>
            <w:r>
              <w:rPr>
                <w:sz w:val="20"/>
              </w:rPr>
            </w:r>
            <w:r>
              <w:rPr>
                <w:rFonts w:ascii="Courier New" w:hAnsi="Courier New"/>
                <w:sz w:val="20"/>
              </w:rPr>
              <w:t>keywords</w:t>
            </w:r>
          </w:p>
        </w:tc>
        <w:tc>
          <w:tcPr>
            <w:tcW w:type="dxa" w:w="2646"/>
          </w:tcPr>
          <w:p>
            <w:pPr>
              <w:spacing w:line="240" w:lineRule="auto" w:after="0"/>
            </w:pPr>
            <w:r>
              <w:rPr>
                <w:sz w:val="20"/>
              </w:rPr>
            </w:r>
            <w:r>
              <w:rPr>
                <w:i/>
                <w:sz w:val="20"/>
              </w:rPr>
              <w:t>list</w:t>
            </w:r>
          </w:p>
        </w:tc>
        <w:tc>
          <w:tcPr>
            <w:tcW w:type="dxa" w:w="2646"/>
          </w:tcPr>
          <w:p>
            <w:pPr>
              <w:spacing w:line="240" w:lineRule="auto" w:after="0"/>
            </w:pPr>
            <w:r>
              <w:rPr>
                <w:sz w:val="20"/>
              </w:rPr>
            </w:r>
            <w:r>
              <w:rPr>
                <w:sz w:val="20"/>
              </w:rPr>
              <w:t>Kata kunci untuk skoring relevansi terhadap teks kueri</w:t>
            </w:r>
          </w:p>
        </w:tc>
      </w:tr>
      <w:tr>
        <w:trPr>
          <w:cantSplit/>
        </w:trPr>
        <w:tc>
          <w:tcPr>
            <w:tcW w:type="dxa" w:w="2646"/>
          </w:tcPr>
          <w:p>
            <w:pPr>
              <w:spacing w:line="240" w:lineRule="auto" w:after="0"/>
            </w:pPr>
            <w:r>
              <w:rPr>
                <w:sz w:val="20"/>
              </w:rPr>
            </w:r>
            <w:r>
              <w:rPr>
                <w:rFonts w:ascii="Courier New" w:hAnsi="Courier New"/>
                <w:sz w:val="20"/>
              </w:rPr>
              <w:t>priority</w:t>
            </w:r>
          </w:p>
        </w:tc>
        <w:tc>
          <w:tcPr>
            <w:tcW w:type="dxa" w:w="2646"/>
          </w:tcPr>
          <w:p>
            <w:pPr>
              <w:spacing w:line="240" w:lineRule="auto" w:after="0"/>
            </w:pPr>
            <w:r>
              <w:rPr>
                <w:sz w:val="20"/>
              </w:rPr>
            </w:r>
            <w:r>
              <w:rPr>
                <w:i/>
                <w:sz w:val="20"/>
              </w:rPr>
              <w:t>int</w:t>
            </w:r>
          </w:p>
        </w:tc>
        <w:tc>
          <w:tcPr>
            <w:tcW w:type="dxa" w:w="2646"/>
          </w:tcPr>
          <w:p>
            <w:pPr>
              <w:spacing w:line="240" w:lineRule="auto" w:after="0"/>
            </w:pPr>
            <w:r>
              <w:rPr>
                <w:sz w:val="20"/>
              </w:rPr>
            </w:r>
            <w:r>
              <w:rPr>
                <w:sz w:val="20"/>
              </w:rPr>
              <w:t>Bobot prioritas untuk pengurutan saat skor kata kunci seri</w:t>
            </w:r>
          </w:p>
        </w:tc>
      </w:tr>
      <w:tr>
        <w:trPr>
          <w:cantSplit/>
        </w:trPr>
        <w:tc>
          <w:tcPr>
            <w:tcW w:type="dxa" w:w="2646"/>
          </w:tcPr>
          <w:p>
            <w:pPr>
              <w:spacing w:line="240" w:lineRule="auto" w:after="0"/>
            </w:pPr>
            <w:r>
              <w:rPr>
                <w:sz w:val="20"/>
              </w:rPr>
            </w:r>
            <w:r>
              <w:rPr>
                <w:rFonts w:ascii="Courier New" w:hAnsi="Courier New"/>
                <w:sz w:val="20"/>
              </w:rPr>
              <w:t>schema_tokens</w:t>
            </w:r>
          </w:p>
        </w:tc>
        <w:tc>
          <w:tcPr>
            <w:tcW w:type="dxa" w:w="2646"/>
          </w:tcPr>
          <w:p>
            <w:pPr>
              <w:spacing w:line="240" w:lineRule="auto" w:after="0"/>
            </w:pPr>
            <w:r>
              <w:rPr>
                <w:sz w:val="20"/>
              </w:rPr>
            </w:r>
            <w:r>
              <w:rPr>
                <w:i/>
                <w:sz w:val="20"/>
              </w:rPr>
              <w:t>int</w:t>
            </w:r>
          </w:p>
        </w:tc>
        <w:tc>
          <w:tcPr>
            <w:tcW w:type="dxa" w:w="2646"/>
          </w:tcPr>
          <w:p>
            <w:pPr>
              <w:spacing w:line="240" w:lineRule="auto" w:after="0"/>
            </w:pPr>
            <w:r>
              <w:rPr>
                <w:sz w:val="20"/>
              </w:rPr>
            </w:r>
            <w:r>
              <w:rPr>
                <w:sz w:val="20"/>
              </w:rPr>
              <w:t xml:space="preserve">Estimasi biaya token skema </w:t>
            </w:r>
            <w:r>
              <w:rPr>
                <w:i/>
                <w:sz w:val="20"/>
              </w:rPr>
              <w:t>tool</w:t>
            </w:r>
            <w:r>
              <w:rPr>
                <w:sz w:val="20"/>
              </w:rPr>
              <w:t xml:space="preserve"> untuk perhitungan anggaran</w:t>
            </w:r>
          </w:p>
        </w:tc>
      </w:tr>
      <w:tr>
        <w:trPr>
          <w:cantSplit/>
        </w:trPr>
        <w:tc>
          <w:tcPr>
            <w:tcW w:type="dxa" w:w="2646"/>
          </w:tcPr>
          <w:p>
            <w:pPr>
              <w:spacing w:line="240" w:lineRule="auto" w:after="0"/>
            </w:pPr>
            <w:r>
              <w:rPr>
                <w:sz w:val="20"/>
              </w:rPr>
            </w:r>
            <w:r>
              <w:rPr>
                <w:rFonts w:ascii="Courier New" w:hAnsi="Courier New"/>
                <w:sz w:val="20"/>
              </w:rPr>
              <w:t>intent</w:t>
            </w:r>
          </w:p>
        </w:tc>
        <w:tc>
          <w:tcPr>
            <w:tcW w:type="dxa" w:w="2646"/>
          </w:tcPr>
          <w:p>
            <w:pPr>
              <w:spacing w:line="240" w:lineRule="auto" w:after="0"/>
            </w:pPr>
            <w:r>
              <w:rPr>
                <w:sz w:val="20"/>
              </w:rPr>
            </w:r>
            <w:r>
              <w:rPr>
                <w:i/>
                <w:sz w:val="20"/>
              </w:rPr>
              <w:t>string</w:t>
            </w:r>
          </w:p>
        </w:tc>
        <w:tc>
          <w:tcPr>
            <w:tcW w:type="dxa" w:w="2646"/>
          </w:tcPr>
          <w:p>
            <w:pPr>
              <w:spacing w:line="240" w:lineRule="auto" w:after="0"/>
            </w:pPr>
            <w:r>
              <w:rPr>
                <w:sz w:val="20"/>
              </w:rPr>
            </w:r>
            <w:r>
              <w:rPr>
                <w:sz w:val="20"/>
              </w:rPr>
              <w:t xml:space="preserve">Deskripsi </w:t>
            </w:r>
            <w:r>
              <w:rPr>
                <w:i/>
                <w:sz w:val="20"/>
              </w:rPr>
              <w:t>docstring</w:t>
            </w:r>
            <w:r>
              <w:rPr>
                <w:sz w:val="20"/>
              </w:rPr>
              <w:t xml:space="preserve"> singkat: fungsi dan kapan </w:t>
            </w:r>
            <w:r>
              <w:rPr>
                <w:i/>
                <w:sz w:val="20"/>
              </w:rPr>
              <w:t>tool</w:t>
            </w:r>
            <w:r>
              <w:rPr>
                <w:sz w:val="20"/>
              </w:rPr>
              <w:t xml:space="preserve"> dipakai</w:t>
            </w:r>
          </w:p>
        </w:tc>
      </w:tr>
    </w:tbl>
    <w:p>
      <w:pPr>
        <w:ind w:firstLine="720"/>
        <w:jc w:val="both"/>
      </w:pPr>
      <w:r>
        <w:t xml:space="preserve">Proses penyaringan dirancang sebagai </w:t>
      </w:r>
      <w:r>
        <w:rPr>
          <w:i/>
        </w:rPr>
        <w:t>pipeline</w:t>
      </w:r>
      <w:r>
        <w:t xml:space="preserve"> lima tahap berurutan. Tiga tahap pertama bersifat </w:t>
      </w:r>
      <w:r>
        <w:rPr>
          <w:i/>
        </w:rPr>
        <w:t>hard filter</w:t>
      </w:r>
      <w:r>
        <w:t xml:space="preserve"> yang menggugurkan </w:t>
      </w:r>
      <w:r>
        <w:rPr>
          <w:i/>
        </w:rPr>
        <w:t>tool</w:t>
      </w:r>
      <w:r>
        <w:t xml:space="preserve"> tidak memenuhi syarat (modul, peran, dan tier), sedangkan dua tahap terakhir melakukan skoring relevansi dan pembatasan jumlah keluaran. Arsitektur lengkap </w:t>
      </w:r>
      <w:r>
        <w:rPr>
          <w:i/>
        </w:rPr>
        <w:t>pipeline</w:t>
      </w:r>
      <w:r>
        <w:t xml:space="preserve"> tersebut, mulai dari permintaan pengguna hingga keluaran </w:t>
      </w:r>
      <w:r>
        <w:rPr>
          <w:i/>
        </w:rPr>
        <w:t>tool</w:t>
      </w:r>
      <w:r>
        <w:t xml:space="preserve"> yang dipanggil LLM, diilustrasikan pada Gambar 3.1.</w:t>
      </w:r>
    </w:p>
    <w:p>
      <w:pPr>
        <w:keepNext/>
        <w:spacing w:before="120"/>
        <w:jc w:val="center"/>
      </w:pPr>
      <w:r>
        <w:drawing>
          <wp:inline xmlns:a="http://schemas.openxmlformats.org/drawingml/2006/main" xmlns:pic="http://schemas.openxmlformats.org/drawingml/2006/picture">
            <wp:extent cx="4320000" cy="2335886"/>
            <wp:docPr id="1" name="Picture 1"/>
            <wp:cNvGraphicFramePr>
              <a:graphicFrameLocks noChangeAspect="1"/>
            </wp:cNvGraphicFramePr>
            <a:graphic>
              <a:graphicData uri="http://schemas.openxmlformats.org/drawingml/2006/picture">
                <pic:pic>
                  <pic:nvPicPr>
                    <pic:cNvPr id="0" name="arsitektur-tool-registry.png"/>
                    <pic:cNvPicPr/>
                  </pic:nvPicPr>
                  <pic:blipFill>
                    <a:blip r:embed="rId10"/>
                    <a:stretch>
                      <a:fillRect/>
                    </a:stretch>
                  </pic:blipFill>
                  <pic:spPr>
                    <a:xfrm>
                      <a:off x="0" y="0"/>
                      <a:ext cx="4320000" cy="2335886"/>
                    </a:xfrm>
                    <a:prstGeom prst="rect"/>
                  </pic:spPr>
                </pic:pic>
              </a:graphicData>
            </a:graphic>
          </wp:inline>
        </w:drawing>
      </w:r>
    </w:p>
    <w:p>
      <w:pPr>
        <w:pStyle w:val="Caption"/>
        <w:jc w:val="center"/>
      </w:pPr>
      <w:r>
        <w:t>Gambar 3.</w:t>
      </w:r>
      <w:fldSimple w:instr=" SEQ Gambar \r 1 \* ARABIC ">
        <w:r>
          <w:t>1</w:t>
        </w:r>
      </w:fldSimple>
      <w:r>
        <w:t xml:space="preserve"> Arsitektur Pipeline Penyaringan Tool Registry.</w:t>
      </w:r>
    </w:p>
    <w:p>
      <w:pPr>
        <w:ind w:firstLine="720"/>
        <w:jc w:val="both"/>
      </w:pPr>
      <w:r>
        <w:t xml:space="preserve">Sebagaimana ditunjukkan pada Gambar 3.1, katalog </w:t>
      </w:r>
      <w:r>
        <w:rPr>
          <w:rFonts w:ascii="Courier New" w:hAnsi="Courier New"/>
        </w:rPr>
        <w:t>ToolMeta</w:t>
      </w:r>
      <w:r>
        <w:t xml:space="preserve"> disaring secara berurutan terhadap konteks kueri, lalu sisa kandidat diurutkan berdasarkan tumpang-tindih kata kunci, prioritas, dan </w:t>
      </w:r>
      <w:r>
        <w:rPr>
          <w:i/>
        </w:rPr>
        <w:t>hash</w:t>
      </w:r>
      <w:r>
        <w:t xml:space="preserve"> stabil sebagai pemecah seri yang deterministik. Hasil akhir dibatasi oleh </w:t>
      </w:r>
      <w:r>
        <w:rPr>
          <w:i/>
        </w:rPr>
        <w:t>budget cap</w:t>
      </w:r>
      <w:r>
        <w:t xml:space="preserve"> sebesar 15 </w:t>
      </w:r>
      <w:r>
        <w:rPr>
          <w:i/>
        </w:rPr>
        <w:t>tool</w:t>
      </w:r>
      <w:r>
        <w:t xml:space="preserve"> sebelum diserialisasi menjadi </w:t>
      </w:r>
      <w:r>
        <w:rPr>
          <w:i/>
        </w:rPr>
        <w:t>FunctionDeclaration</w:t>
      </w:r>
      <w:r>
        <w:t xml:space="preserve">. Dengan demikian, jumlah </w:t>
      </w:r>
      <w:r>
        <w:rPr>
          <w:i/>
        </w:rPr>
        <w:t>tool</w:t>
      </w:r>
      <w:r>
        <w:t xml:space="preserve"> yang terlihat oleh LLM bersifat konstan (O(1) terhadap anggaran) meskipun ukuran katalog bertambah — properti yang menjadi dasar pengujian skalabilitas </w:t>
      </w:r>
      <w:r>
        <w:rPr>
          <w:i/>
        </w:rPr>
        <w:t>sub-linear</w:t>
      </w:r>
      <w:r>
        <w:t xml:space="preserve"> pada Bab IV.</w:t>
      </w:r>
    </w:p>
    <w:p>
      <w:pPr>
        <w:pStyle w:val="Heading2"/>
      </w:pPr>
      <w:r>
        <w:t>3.3 Perancangan Eval Framework</w:t>
      </w:r>
    </w:p>
    <w:p>
      <w:pPr>
        <w:ind w:firstLine="720"/>
        <w:jc w:val="both"/>
      </w:pPr>
      <w:r>
        <w:t xml:space="preserve">Untuk mengukur dampak Tool Registry secara kuantitatif, dirancang kerangka evaluasi yang membandingkan dua mode pada katalog identik: mode </w:t>
      </w:r>
      <w:r>
        <w:rPr>
          <w:i/>
        </w:rPr>
        <w:t>baseline</w:t>
      </w:r>
      <w:r>
        <w:t xml:space="preserve"> yang meneruskan seluruh </w:t>
      </w:r>
      <w:r>
        <w:rPr>
          <w:i/>
        </w:rPr>
        <w:t>tool</w:t>
      </w:r>
      <w:r>
        <w:t xml:space="preserve"> katalog ke LLM, dan mode </w:t>
      </w:r>
      <w:r>
        <w:rPr>
          <w:i/>
        </w:rPr>
        <w:t>registry</w:t>
      </w:r>
      <w:r>
        <w:t xml:space="preserve"> yang menerapkan </w:t>
      </w:r>
      <w:r>
        <w:rPr>
          <w:i/>
        </w:rPr>
        <w:t>pipeline</w:t>
      </w:r>
      <w:r>
        <w:t xml:space="preserve"> penyaringan terlebih dahulu. Perbandingan berpasangan ini memastikan bahwa selisih metrik yang teramati murni disebabkan oleh perlakuan penyaringan, bukan oleh perbedaan kueri atau katalog.</w:t>
      </w:r>
    </w:p>
    <w:p>
      <w:pPr>
        <w:ind w:firstLine="720"/>
        <w:jc w:val="both"/>
      </w:pPr>
      <w:r>
        <w:t>Evaluasi dijalankan pada empat skenario katalog dengan ukuran bertingkat untuk menguji perilaku penskalaan. Definisi tiap skenario dirangkum pada Tabel 3.2.</w:t>
      </w:r>
    </w:p>
    <w:p>
      <w:pPr>
        <w:pStyle w:val="Caption"/>
        <w:keepNext/>
        <w:jc w:val="center"/>
      </w:pPr>
      <w:r>
        <w:t>Tabel 3.</w:t>
      </w:r>
      <w:fldSimple w:instr=" SEQ Tabel \* ARABIC ">
        <w:r>
          <w:t>1</w:t>
        </w:r>
      </w:fldSimple>
      <w:r>
        <w:t xml:space="preserve"> Definisi Skenario Eksperimen</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1587"/>
        <w:gridCol w:w="1587"/>
        <w:gridCol w:w="1587"/>
        <w:gridCol w:w="1587"/>
        <w:gridCol w:w="1587"/>
      </w:tblGrid>
      <w:tr>
        <w:trPr>
          <w:cantSplit/>
          <w:tblHeader/>
        </w:trPr>
        <w:tc>
          <w:tcPr>
            <w:tcW w:type="dxa" w:w="1587"/>
            <w:tcBorders>
              <w:top w:val="none"/>
              <w:bottom w:val="single" w:sz="8" w:space="0" w:color="000000"/>
              <w:left w:val="none"/>
              <w:right w:val="none"/>
            </w:tcBorders>
          </w:tcPr>
          <w:p>
            <w:pPr>
              <w:spacing w:line="240" w:lineRule="auto" w:after="0"/>
            </w:pPr>
            <w:r>
              <w:rPr>
                <w:b/>
                <w:sz w:val="20"/>
              </w:rPr>
            </w:r>
            <w:r>
              <w:rPr>
                <w:b/>
                <w:sz w:val="20"/>
              </w:rPr>
              <w:t>Skenario</w:t>
            </w:r>
          </w:p>
        </w:tc>
        <w:tc>
          <w:tcPr>
            <w:tcW w:type="dxa" w:w="1587"/>
            <w:tcBorders>
              <w:top w:val="none"/>
              <w:bottom w:val="single" w:sz="8" w:space="0" w:color="000000"/>
              <w:left w:val="none"/>
              <w:right w:val="none"/>
            </w:tcBorders>
          </w:tcPr>
          <w:p>
            <w:pPr>
              <w:spacing w:line="240" w:lineRule="auto" w:after="0"/>
            </w:pPr>
            <w:r>
              <w:rPr>
                <w:b/>
                <w:sz w:val="20"/>
              </w:rPr>
            </w:r>
            <w:r>
              <w:rPr>
                <w:b/>
                <w:sz w:val="20"/>
              </w:rPr>
              <w:t>Jumlah Modul</w:t>
            </w:r>
          </w:p>
        </w:tc>
        <w:tc>
          <w:tcPr>
            <w:tcW w:type="dxa" w:w="1587"/>
            <w:tcBorders>
              <w:top w:val="none"/>
              <w:bottom w:val="single" w:sz="8" w:space="0" w:color="000000"/>
              <w:left w:val="none"/>
              <w:right w:val="none"/>
            </w:tcBorders>
          </w:tcPr>
          <w:p>
            <w:pPr>
              <w:spacing w:line="240" w:lineRule="auto" w:after="0"/>
            </w:pPr>
            <w:r>
              <w:rPr>
                <w:b/>
                <w:sz w:val="20"/>
              </w:rPr>
            </w:r>
            <w:r>
              <w:rPr>
                <w:b/>
                <w:sz w:val="20"/>
              </w:rPr>
              <w:t>Tool per Modul</w:t>
            </w:r>
          </w:p>
        </w:tc>
        <w:tc>
          <w:tcPr>
            <w:tcW w:type="dxa" w:w="1587"/>
            <w:tcBorders>
              <w:top w:val="none"/>
              <w:bottom w:val="single" w:sz="8" w:space="0" w:color="000000"/>
              <w:left w:val="none"/>
              <w:right w:val="none"/>
            </w:tcBorders>
          </w:tcPr>
          <w:p>
            <w:pPr>
              <w:spacing w:line="240" w:lineRule="auto" w:after="0"/>
            </w:pPr>
            <w:r>
              <w:rPr>
                <w:b/>
                <w:sz w:val="20"/>
              </w:rPr>
            </w:r>
            <w:r>
              <w:rPr>
                <w:b/>
                <w:sz w:val="20"/>
              </w:rPr>
              <w:t>Total Tool</w:t>
            </w:r>
          </w:p>
        </w:tc>
        <w:tc>
          <w:tcPr>
            <w:tcW w:type="dxa" w:w="1587"/>
            <w:tcBorders>
              <w:top w:val="none"/>
              <w:bottom w:val="single" w:sz="8" w:space="0" w:color="000000"/>
              <w:left w:val="none"/>
              <w:right w:val="none"/>
            </w:tcBorders>
          </w:tcPr>
          <w:p>
            <w:pPr>
              <w:spacing w:line="240" w:lineRule="auto" w:after="0"/>
            </w:pPr>
            <w:r>
              <w:rPr>
                <w:b/>
                <w:sz w:val="20"/>
              </w:rPr>
            </w:r>
            <w:r>
              <w:rPr>
                <w:b/>
                <w:sz w:val="20"/>
              </w:rPr>
              <w:t>Status Eksekusi</w:t>
            </w:r>
          </w:p>
        </w:tc>
      </w:tr>
      <w:tr>
        <w:trPr>
          <w:cantSplit/>
        </w:trPr>
        <w:tc>
          <w:tcPr>
            <w:tcW w:type="dxa" w:w="1587"/>
          </w:tcPr>
          <w:p>
            <w:pPr>
              <w:spacing w:line="240" w:lineRule="auto" w:after="0"/>
            </w:pPr>
            <w:r>
              <w:rPr>
                <w:sz w:val="20"/>
              </w:rPr>
            </w:r>
            <w:r>
              <w:rPr>
                <w:sz w:val="20"/>
              </w:rPr>
              <w:t>S1</w:t>
            </w:r>
          </w:p>
        </w:tc>
        <w:tc>
          <w:tcPr>
            <w:tcW w:type="dxa" w:w="1587"/>
          </w:tcPr>
          <w:p>
            <w:pPr>
              <w:spacing w:line="240" w:lineRule="auto" w:after="0"/>
            </w:pPr>
            <w:r>
              <w:rPr>
                <w:sz w:val="20"/>
              </w:rPr>
            </w:r>
            <w:r>
              <w:rPr>
                <w:sz w:val="20"/>
              </w:rPr>
              <w:t>3</w:t>
            </w:r>
          </w:p>
        </w:tc>
        <w:tc>
          <w:tcPr>
            <w:tcW w:type="dxa" w:w="1587"/>
          </w:tcPr>
          <w:p>
            <w:pPr>
              <w:spacing w:line="240" w:lineRule="auto" w:after="0"/>
            </w:pPr>
            <w:r>
              <w:rPr>
                <w:sz w:val="20"/>
              </w:rPr>
            </w:r>
            <w:r>
              <w:rPr>
                <w:sz w:val="20"/>
              </w:rPr>
              <w:t>10</w:t>
            </w:r>
          </w:p>
        </w:tc>
        <w:tc>
          <w:tcPr>
            <w:tcW w:type="dxa" w:w="1587"/>
          </w:tcPr>
          <w:p>
            <w:pPr>
              <w:spacing w:line="240" w:lineRule="auto" w:after="0"/>
            </w:pPr>
            <w:r>
              <w:rPr>
                <w:sz w:val="20"/>
              </w:rPr>
            </w:r>
            <w:r>
              <w:rPr>
                <w:sz w:val="20"/>
              </w:rPr>
              <w:t>30</w:t>
            </w:r>
          </w:p>
        </w:tc>
        <w:tc>
          <w:tcPr>
            <w:tcW w:type="dxa" w:w="1587"/>
          </w:tcPr>
          <w:p>
            <w:pPr>
              <w:spacing w:line="240" w:lineRule="auto" w:after="0"/>
            </w:pPr>
            <w:r>
              <w:rPr>
                <w:sz w:val="20"/>
              </w:rPr>
            </w:r>
            <w:r>
              <w:rPr>
                <w:i/>
                <w:sz w:val="20"/>
              </w:rPr>
              <w:t>Live</w:t>
            </w:r>
            <w:r>
              <w:rPr>
                <w:sz w:val="20"/>
              </w:rPr>
              <w:t xml:space="preserve"> (Gemini)</w:t>
            </w:r>
          </w:p>
        </w:tc>
      </w:tr>
      <w:tr>
        <w:trPr>
          <w:cantSplit/>
        </w:trPr>
        <w:tc>
          <w:tcPr>
            <w:tcW w:type="dxa" w:w="1587"/>
          </w:tcPr>
          <w:p>
            <w:pPr>
              <w:spacing w:line="240" w:lineRule="auto" w:after="0"/>
            </w:pPr>
            <w:r>
              <w:rPr>
                <w:sz w:val="20"/>
              </w:rPr>
            </w:r>
            <w:r>
              <w:rPr>
                <w:sz w:val="20"/>
              </w:rPr>
              <w:t>S2</w:t>
            </w:r>
          </w:p>
        </w:tc>
        <w:tc>
          <w:tcPr>
            <w:tcW w:type="dxa" w:w="1587"/>
          </w:tcPr>
          <w:p>
            <w:pPr>
              <w:spacing w:line="240" w:lineRule="auto" w:after="0"/>
            </w:pPr>
            <w:r>
              <w:rPr>
                <w:sz w:val="20"/>
              </w:rPr>
            </w:r>
            <w:r>
              <w:rPr>
                <w:sz w:val="20"/>
              </w:rPr>
              <w:t>5</w:t>
            </w:r>
          </w:p>
        </w:tc>
        <w:tc>
          <w:tcPr>
            <w:tcW w:type="dxa" w:w="1587"/>
          </w:tcPr>
          <w:p>
            <w:pPr>
              <w:spacing w:line="240" w:lineRule="auto" w:after="0"/>
            </w:pPr>
            <w:r>
              <w:rPr>
                <w:sz w:val="20"/>
              </w:rPr>
            </w:r>
            <w:r>
              <w:rPr>
                <w:sz w:val="20"/>
              </w:rPr>
              <w:t>20</w:t>
            </w:r>
          </w:p>
        </w:tc>
        <w:tc>
          <w:tcPr>
            <w:tcW w:type="dxa" w:w="1587"/>
          </w:tcPr>
          <w:p>
            <w:pPr>
              <w:spacing w:line="240" w:lineRule="auto" w:after="0"/>
            </w:pPr>
            <w:r>
              <w:rPr>
                <w:sz w:val="20"/>
              </w:rPr>
            </w:r>
            <w:r>
              <w:rPr>
                <w:sz w:val="20"/>
              </w:rPr>
              <w:t>100</w:t>
            </w:r>
          </w:p>
        </w:tc>
        <w:tc>
          <w:tcPr>
            <w:tcW w:type="dxa" w:w="1587"/>
          </w:tcPr>
          <w:p>
            <w:pPr>
              <w:spacing w:line="240" w:lineRule="auto" w:after="0"/>
            </w:pPr>
            <w:r>
              <w:rPr>
                <w:sz w:val="20"/>
              </w:rPr>
            </w:r>
            <w:r>
              <w:rPr>
                <w:i/>
                <w:sz w:val="20"/>
              </w:rPr>
              <w:t>Live</w:t>
            </w:r>
            <w:r>
              <w:rPr>
                <w:sz w:val="20"/>
              </w:rPr>
              <w:t xml:space="preserve"> (Gemini)</w:t>
            </w:r>
          </w:p>
        </w:tc>
      </w:tr>
      <w:tr>
        <w:trPr>
          <w:cantSplit/>
        </w:trPr>
        <w:tc>
          <w:tcPr>
            <w:tcW w:type="dxa" w:w="1587"/>
          </w:tcPr>
          <w:p>
            <w:pPr>
              <w:spacing w:line="240" w:lineRule="auto" w:after="0"/>
            </w:pPr>
            <w:r>
              <w:rPr>
                <w:sz w:val="20"/>
              </w:rPr>
            </w:r>
            <w:r>
              <w:rPr>
                <w:sz w:val="20"/>
              </w:rPr>
              <w:t>S3</w:t>
            </w:r>
          </w:p>
        </w:tc>
        <w:tc>
          <w:tcPr>
            <w:tcW w:type="dxa" w:w="1587"/>
          </w:tcPr>
          <w:p>
            <w:pPr>
              <w:spacing w:line="240" w:lineRule="auto" w:after="0"/>
            </w:pPr>
            <w:r>
              <w:rPr>
                <w:sz w:val="20"/>
              </w:rPr>
            </w:r>
            <w:r>
              <w:rPr>
                <w:sz w:val="20"/>
              </w:rPr>
              <w:t>10</w:t>
            </w:r>
          </w:p>
        </w:tc>
        <w:tc>
          <w:tcPr>
            <w:tcW w:type="dxa" w:w="1587"/>
          </w:tcPr>
          <w:p>
            <w:pPr>
              <w:spacing w:line="240" w:lineRule="auto" w:after="0"/>
            </w:pPr>
            <w:r>
              <w:rPr>
                <w:sz w:val="20"/>
              </w:rPr>
            </w:r>
            <w:r>
              <w:rPr>
                <w:sz w:val="20"/>
              </w:rPr>
              <w:t>30</w:t>
            </w:r>
          </w:p>
        </w:tc>
        <w:tc>
          <w:tcPr>
            <w:tcW w:type="dxa" w:w="1587"/>
          </w:tcPr>
          <w:p>
            <w:pPr>
              <w:spacing w:line="240" w:lineRule="auto" w:after="0"/>
            </w:pPr>
            <w:r>
              <w:rPr>
                <w:sz w:val="20"/>
              </w:rPr>
            </w:r>
            <w:r>
              <w:rPr>
                <w:sz w:val="20"/>
              </w:rPr>
              <w:t>300</w:t>
            </w:r>
          </w:p>
        </w:tc>
        <w:tc>
          <w:tcPr>
            <w:tcW w:type="dxa" w:w="1587"/>
          </w:tcPr>
          <w:p>
            <w:pPr>
              <w:spacing w:line="240" w:lineRule="auto" w:after="0"/>
            </w:pPr>
            <w:r>
              <w:rPr>
                <w:sz w:val="20"/>
              </w:rPr>
            </w:r>
            <w:r>
              <w:rPr>
                <w:i/>
                <w:sz w:val="20"/>
              </w:rPr>
              <w:t>Live</w:t>
            </w:r>
            <w:r>
              <w:rPr>
                <w:sz w:val="20"/>
              </w:rPr>
              <w:t xml:space="preserve"> (Gemini)</w:t>
            </w:r>
          </w:p>
        </w:tc>
      </w:tr>
      <w:tr>
        <w:trPr>
          <w:cantSplit/>
        </w:trPr>
        <w:tc>
          <w:tcPr>
            <w:tcW w:type="dxa" w:w="1587"/>
          </w:tcPr>
          <w:p>
            <w:pPr>
              <w:spacing w:line="240" w:lineRule="auto" w:after="0"/>
            </w:pPr>
            <w:r>
              <w:rPr>
                <w:sz w:val="20"/>
              </w:rPr>
            </w:r>
            <w:r>
              <w:rPr>
                <w:sz w:val="20"/>
              </w:rPr>
              <w:t>S4</w:t>
            </w:r>
          </w:p>
        </w:tc>
        <w:tc>
          <w:tcPr>
            <w:tcW w:type="dxa" w:w="1587"/>
          </w:tcPr>
          <w:p>
            <w:pPr>
              <w:spacing w:line="240" w:lineRule="auto" w:after="0"/>
            </w:pPr>
            <w:r>
              <w:rPr>
                <w:sz w:val="20"/>
              </w:rPr>
            </w:r>
            <w:r>
              <w:rPr>
                <w:sz w:val="20"/>
              </w:rPr>
              <w:t>20</w:t>
            </w:r>
          </w:p>
        </w:tc>
        <w:tc>
          <w:tcPr>
            <w:tcW w:type="dxa" w:w="1587"/>
          </w:tcPr>
          <w:p>
            <w:pPr>
              <w:spacing w:line="240" w:lineRule="auto" w:after="0"/>
            </w:pPr>
            <w:r>
              <w:rPr>
                <w:sz w:val="20"/>
              </w:rPr>
            </w:r>
            <w:r>
              <w:rPr>
                <w:sz w:val="20"/>
              </w:rPr>
              <w:t>50</w:t>
            </w:r>
          </w:p>
        </w:tc>
        <w:tc>
          <w:tcPr>
            <w:tcW w:type="dxa" w:w="1587"/>
          </w:tcPr>
          <w:p>
            <w:pPr>
              <w:spacing w:line="240" w:lineRule="auto" w:after="0"/>
            </w:pPr>
            <w:r>
              <w:rPr>
                <w:sz w:val="20"/>
              </w:rPr>
            </w:r>
            <w:r>
              <w:rPr>
                <w:sz w:val="20"/>
              </w:rPr>
              <w:t>1.000</w:t>
            </w:r>
          </w:p>
        </w:tc>
        <w:tc>
          <w:tcPr>
            <w:tcW w:type="dxa" w:w="1587"/>
          </w:tcPr>
          <w:p>
            <w:pPr>
              <w:spacing w:line="240" w:lineRule="auto" w:after="0"/>
            </w:pPr>
            <w:r>
              <w:rPr>
                <w:sz w:val="20"/>
              </w:rPr>
            </w:r>
            <w:r>
              <w:rPr>
                <w:sz w:val="20"/>
              </w:rPr>
              <w:t>Simulasi deterministik</w:t>
            </w:r>
          </w:p>
        </w:tc>
      </w:tr>
    </w:tbl>
    <w:p>
      <w:pPr>
        <w:ind w:firstLine="720"/>
        <w:jc w:val="both"/>
      </w:pPr>
      <w:r>
        <w:t xml:space="preserve">Skenario S1–S3 dijalankan secara </w:t>
      </w:r>
      <w:r>
        <w:rPr>
          <w:i/>
        </w:rPr>
        <w:t>live</w:t>
      </w:r>
      <w:r>
        <w:t xml:space="preserve"> terhadap LLM, sedangkan S4 (1.000 </w:t>
      </w:r>
      <w:r>
        <w:rPr>
          <w:i/>
        </w:rPr>
        <w:t>tool</w:t>
      </w:r>
      <w:r>
        <w:t>) hanya disimulasikan secara deterministik untuk mengilustrasikan tren penskalaan tanpa membebani kuota inferensi. Dataset evaluasi terdiri dari 100 kueri berbahasa Indonesia yang dirancang menyerupai permintaan operasional restoran nyata, dengan komposisi sebagaimana disajikan pada Tabel 3.3.</w:t>
      </w:r>
    </w:p>
    <w:p>
      <w:pPr>
        <w:pStyle w:val="Caption"/>
        <w:keepNext/>
        <w:jc w:val="center"/>
      </w:pPr>
      <w:r>
        <w:t>Tabel 3.</w:t>
      </w:r>
      <w:fldSimple w:instr=" SEQ Tabel \* ARABIC ">
        <w:r>
          <w:t>1</w:t>
        </w:r>
      </w:fldSimple>
      <w:r>
        <w:t xml:space="preserve"> Komposisi Dataset 100 Kueri</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2646"/>
        <w:gridCol w:w="2646"/>
        <w:gridCol w:w="2646"/>
      </w:tblGrid>
      <w:tr>
        <w:trPr>
          <w:cantSplit/>
          <w:tblHeader/>
        </w:trPr>
        <w:tc>
          <w:tcPr>
            <w:tcW w:type="dxa" w:w="2646"/>
            <w:tcBorders>
              <w:top w:val="none"/>
              <w:bottom w:val="single" w:sz="8" w:space="0" w:color="000000"/>
              <w:left w:val="none"/>
              <w:right w:val="none"/>
            </w:tcBorders>
          </w:tcPr>
          <w:p>
            <w:pPr>
              <w:spacing w:line="240" w:lineRule="auto" w:after="0"/>
            </w:pPr>
            <w:r>
              <w:rPr>
                <w:b/>
                <w:sz w:val="20"/>
              </w:rPr>
            </w:r>
            <w:r>
              <w:rPr>
                <w:b/>
                <w:sz w:val="20"/>
              </w:rPr>
              <w:t>Kategori Kueri</w:t>
            </w:r>
          </w:p>
        </w:tc>
        <w:tc>
          <w:tcPr>
            <w:tcW w:type="dxa" w:w="2646"/>
            <w:tcBorders>
              <w:top w:val="none"/>
              <w:bottom w:val="single" w:sz="8" w:space="0" w:color="000000"/>
              <w:left w:val="none"/>
              <w:right w:val="none"/>
            </w:tcBorders>
          </w:tcPr>
          <w:p>
            <w:pPr>
              <w:spacing w:line="240" w:lineRule="auto" w:after="0"/>
            </w:pPr>
            <w:r>
              <w:rPr>
                <w:b/>
                <w:sz w:val="20"/>
              </w:rPr>
            </w:r>
            <w:r>
              <w:rPr>
                <w:b/>
                <w:sz w:val="20"/>
              </w:rPr>
              <w:t>Jumlah</w:t>
            </w:r>
          </w:p>
        </w:tc>
        <w:tc>
          <w:tcPr>
            <w:tcW w:type="dxa" w:w="2646"/>
            <w:tcBorders>
              <w:top w:val="none"/>
              <w:bottom w:val="single" w:sz="8" w:space="0" w:color="000000"/>
              <w:left w:val="none"/>
              <w:right w:val="none"/>
            </w:tcBorders>
          </w:tcPr>
          <w:p>
            <w:pPr>
              <w:spacing w:line="240" w:lineRule="auto" w:after="0"/>
            </w:pPr>
            <w:r>
              <w:rPr>
                <w:b/>
                <w:sz w:val="20"/>
              </w:rPr>
            </w:r>
            <w:r>
              <w:rPr>
                <w:b/>
                <w:sz w:val="20"/>
              </w:rPr>
              <w:t>Tujuan Pengujian</w:t>
            </w:r>
          </w:p>
        </w:tc>
      </w:tr>
      <w:tr>
        <w:trPr>
          <w:cantSplit/>
        </w:trPr>
        <w:tc>
          <w:tcPr>
            <w:tcW w:type="dxa" w:w="2646"/>
          </w:tcPr>
          <w:p>
            <w:pPr>
              <w:spacing w:line="240" w:lineRule="auto" w:after="0"/>
            </w:pPr>
            <w:r>
              <w:rPr>
                <w:sz w:val="20"/>
              </w:rPr>
            </w:r>
            <w:r>
              <w:rPr>
                <w:i/>
                <w:sz w:val="20"/>
              </w:rPr>
              <w:t>Single-domain</w:t>
            </w:r>
          </w:p>
        </w:tc>
        <w:tc>
          <w:tcPr>
            <w:tcW w:type="dxa" w:w="2646"/>
          </w:tcPr>
          <w:p>
            <w:pPr>
              <w:spacing w:line="240" w:lineRule="auto" w:after="0"/>
            </w:pPr>
            <w:r>
              <w:rPr>
                <w:sz w:val="20"/>
              </w:rPr>
            </w:r>
            <w:r>
              <w:rPr>
                <w:sz w:val="20"/>
              </w:rPr>
              <w:t>50</w:t>
            </w:r>
          </w:p>
        </w:tc>
        <w:tc>
          <w:tcPr>
            <w:tcW w:type="dxa" w:w="2646"/>
          </w:tcPr>
          <w:p>
            <w:pPr>
              <w:spacing w:line="240" w:lineRule="auto" w:after="0"/>
            </w:pPr>
            <w:r>
              <w:rPr>
                <w:sz w:val="20"/>
              </w:rPr>
            </w:r>
            <w:r>
              <w:rPr>
                <w:sz w:val="20"/>
              </w:rPr>
              <w:t xml:space="preserve">Pemilihan </w:t>
            </w:r>
            <w:r>
              <w:rPr>
                <w:i/>
                <w:sz w:val="20"/>
              </w:rPr>
              <w:t>tool</w:t>
            </w:r>
            <w:r>
              <w:rPr>
                <w:sz w:val="20"/>
              </w:rPr>
              <w:t xml:space="preserve"> pada satu modul tunggal</w:t>
            </w:r>
          </w:p>
        </w:tc>
      </w:tr>
      <w:tr>
        <w:trPr>
          <w:cantSplit/>
        </w:trPr>
        <w:tc>
          <w:tcPr>
            <w:tcW w:type="dxa" w:w="2646"/>
          </w:tcPr>
          <w:p>
            <w:pPr>
              <w:spacing w:line="240" w:lineRule="auto" w:after="0"/>
            </w:pPr>
            <w:r>
              <w:rPr>
                <w:sz w:val="20"/>
              </w:rPr>
            </w:r>
            <w:r>
              <w:rPr>
                <w:i/>
                <w:sz w:val="20"/>
              </w:rPr>
              <w:t>Cross-domain</w:t>
            </w:r>
          </w:p>
        </w:tc>
        <w:tc>
          <w:tcPr>
            <w:tcW w:type="dxa" w:w="2646"/>
          </w:tcPr>
          <w:p>
            <w:pPr>
              <w:spacing w:line="240" w:lineRule="auto" w:after="0"/>
            </w:pPr>
            <w:r>
              <w:rPr>
                <w:sz w:val="20"/>
              </w:rPr>
            </w:r>
            <w:r>
              <w:rPr>
                <w:sz w:val="20"/>
              </w:rPr>
              <w:t>30</w:t>
            </w:r>
          </w:p>
        </w:tc>
        <w:tc>
          <w:tcPr>
            <w:tcW w:type="dxa" w:w="2646"/>
          </w:tcPr>
          <w:p>
            <w:pPr>
              <w:spacing w:line="240" w:lineRule="auto" w:after="0"/>
            </w:pPr>
            <w:r>
              <w:rPr>
                <w:sz w:val="20"/>
              </w:rPr>
            </w:r>
            <w:r>
              <w:rPr>
                <w:sz w:val="20"/>
              </w:rPr>
              <w:t>Disambiguasi antar-dua modul terkait</w:t>
            </w:r>
          </w:p>
        </w:tc>
      </w:tr>
      <w:tr>
        <w:trPr>
          <w:cantSplit/>
        </w:trPr>
        <w:tc>
          <w:tcPr>
            <w:tcW w:type="dxa" w:w="2646"/>
          </w:tcPr>
          <w:p>
            <w:pPr>
              <w:spacing w:line="240" w:lineRule="auto" w:after="0"/>
            </w:pPr>
            <w:r>
              <w:rPr>
                <w:sz w:val="20"/>
              </w:rPr>
            </w:r>
            <w:r>
              <w:rPr>
                <w:i/>
                <w:sz w:val="20"/>
              </w:rPr>
              <w:t>Adversarial</w:t>
            </w:r>
          </w:p>
        </w:tc>
        <w:tc>
          <w:tcPr>
            <w:tcW w:type="dxa" w:w="2646"/>
          </w:tcPr>
          <w:p>
            <w:pPr>
              <w:spacing w:line="240" w:lineRule="auto" w:after="0"/>
            </w:pPr>
            <w:r>
              <w:rPr>
                <w:sz w:val="20"/>
              </w:rPr>
            </w:r>
            <w:r>
              <w:rPr>
                <w:sz w:val="20"/>
              </w:rPr>
              <w:t>20</w:t>
            </w:r>
          </w:p>
        </w:tc>
        <w:tc>
          <w:tcPr>
            <w:tcW w:type="dxa" w:w="2646"/>
          </w:tcPr>
          <w:p>
            <w:pPr>
              <w:spacing w:line="240" w:lineRule="auto" w:after="0"/>
            </w:pPr>
            <w:r>
              <w:rPr>
                <w:sz w:val="20"/>
              </w:rPr>
            </w:r>
            <w:r>
              <w:rPr>
                <w:sz w:val="20"/>
              </w:rPr>
              <w:t xml:space="preserve">Ketahanan terhadap </w:t>
            </w:r>
            <w:r>
              <w:rPr>
                <w:i/>
                <w:sz w:val="20"/>
              </w:rPr>
              <w:t>prompt injection</w:t>
            </w:r>
            <w:r>
              <w:rPr>
                <w:sz w:val="20"/>
              </w:rPr>
              <w:t xml:space="preserve"> dan instruksi menyesatkan</w:t>
            </w:r>
          </w:p>
        </w:tc>
      </w:tr>
      <w:tr>
        <w:trPr>
          <w:cantSplit/>
        </w:trPr>
        <w:tc>
          <w:tcPr>
            <w:tcW w:type="dxa" w:w="2646"/>
          </w:tcPr>
          <w:p>
            <w:pPr>
              <w:spacing w:line="240" w:lineRule="auto" w:after="0"/>
            </w:pPr>
            <w:r>
              <w:rPr>
                <w:sz w:val="20"/>
              </w:rPr>
            </w:r>
            <w:r>
              <w:rPr>
                <w:b/>
                <w:sz w:val="20"/>
              </w:rPr>
              <w:t>Total</w:t>
            </w:r>
          </w:p>
        </w:tc>
        <w:tc>
          <w:tcPr>
            <w:tcW w:type="dxa" w:w="2646"/>
          </w:tcPr>
          <w:p>
            <w:pPr>
              <w:spacing w:line="240" w:lineRule="auto" w:after="0"/>
            </w:pPr>
            <w:r>
              <w:rPr>
                <w:sz w:val="20"/>
              </w:rPr>
            </w:r>
            <w:r>
              <w:rPr>
                <w:b/>
                <w:sz w:val="20"/>
              </w:rPr>
              <w:t>100</w:t>
            </w:r>
          </w:p>
        </w:tc>
        <w:tc>
          <w:tcPr>
            <w:tcW w:type="dxa" w:w="2646"/>
          </w:tcPr>
          <w:p>
            <w:pPr>
              <w:spacing w:line="240" w:lineRule="auto" w:after="0"/>
            </w:pPr>
            <w:r>
              <w:rPr>
                <w:sz w:val="20"/>
              </w:rPr>
            </w:r>
            <w:r>
              <w:rPr>
                <w:sz w:val="20"/>
              </w:rPr>
              <w:t>—</w:t>
            </w:r>
          </w:p>
        </w:tc>
      </w:tr>
    </w:tbl>
    <w:p>
      <w:pPr>
        <w:ind w:firstLine="720"/>
        <w:jc w:val="both"/>
      </w:pPr>
      <w:r>
        <w:t xml:space="preserve">Setiap kueri dilengkapi metadata konteks (modul, peran, tier) serta </w:t>
      </w:r>
      <w:r>
        <w:rPr>
          <w:rFonts w:ascii="Courier New" w:hAnsi="Courier New"/>
        </w:rPr>
        <w:t>expected_tool</w:t>
      </w:r>
      <w:r>
        <w:t xml:space="preserve"> sebagai </w:t>
      </w:r>
      <w:r>
        <w:rPr>
          <w:i/>
        </w:rPr>
        <w:t>ground truth</w:t>
      </w:r>
      <w:r>
        <w:t xml:space="preserve"> untuk penilaian akurasi. Pada </w:t>
      </w:r>
      <w:r>
        <w:rPr>
          <w:i/>
        </w:rPr>
        <w:t>backend</w:t>
      </w:r>
      <w:r>
        <w:t xml:space="preserve"> LLM, setiap kueri diulang sebanyak tiga kali (</w:t>
      </w:r>
      <w:r>
        <w:rPr>
          <w:i/>
        </w:rPr>
        <w:t>repeat runs</w:t>
      </w:r>
      <w:r>
        <w:t>) per skenario guna menangkap variabilitas keluaran model. Alur kerja kerangka evaluasi secara keseluruhan — dari pembangkitan dataset, percabangan mode, pemanggilan LLM, hingga pencatatan metrik dan uji statistik — diilustrasikan pada Gambar 3.2.</w:t>
      </w:r>
    </w:p>
    <w:p>
      <w:pPr>
        <w:keepNext/>
        <w:spacing w:before="120"/>
        <w:jc w:val="center"/>
      </w:pPr>
      <w:r>
        <w:drawing>
          <wp:inline xmlns:a="http://schemas.openxmlformats.org/drawingml/2006/main" xmlns:pic="http://schemas.openxmlformats.org/drawingml/2006/picture">
            <wp:extent cx="3966768" cy="6479999"/>
            <wp:docPr id="2" name="Picture 2"/>
            <wp:cNvGraphicFramePr>
              <a:graphicFrameLocks noChangeAspect="1"/>
            </wp:cNvGraphicFramePr>
            <a:graphic>
              <a:graphicData uri="http://schemas.openxmlformats.org/drawingml/2006/picture">
                <pic:pic>
                  <pic:nvPicPr>
                    <pic:cNvPr id="0" name="alur-eval-runner.png"/>
                    <pic:cNvPicPr/>
                  </pic:nvPicPr>
                  <pic:blipFill>
                    <a:blip r:embed="rId11"/>
                    <a:stretch>
                      <a:fillRect/>
                    </a:stretch>
                  </pic:blipFill>
                  <pic:spPr>
                    <a:xfrm>
                      <a:off x="0" y="0"/>
                      <a:ext cx="3966768" cy="6479999"/>
                    </a:xfrm>
                    <a:prstGeom prst="rect"/>
                  </pic:spPr>
                </pic:pic>
              </a:graphicData>
            </a:graphic>
          </wp:inline>
        </w:drawing>
      </w:r>
    </w:p>
    <w:p>
      <w:pPr>
        <w:pStyle w:val="Caption"/>
        <w:jc w:val="center"/>
      </w:pPr>
      <w:r>
        <w:t>Gambar 3.</w:t>
      </w:r>
      <w:fldSimple w:instr=" SEQ Gambar \* ARABIC ">
        <w:r>
          <w:t>1</w:t>
        </w:r>
      </w:fldSimple>
      <w:r>
        <w:t xml:space="preserve"> Alur Kerja Kerangka Evaluasi Baseline dan Registry.</w:t>
      </w:r>
    </w:p>
    <w:p>
      <w:pPr>
        <w:ind w:firstLine="720"/>
        <w:jc w:val="both"/>
      </w:pPr>
      <w:r>
        <w:t xml:space="preserve">Empat metrik dicatat pada setiap pemanggilan: jumlah token (input dan output), latensi respons, </w:t>
      </w:r>
      <w:r>
        <w:rPr>
          <w:i/>
        </w:rPr>
        <w:t>tool</w:t>
      </w:r>
      <w:r>
        <w:t xml:space="preserve"> yang terpilih beserta status kebenarannya terhadap </w:t>
      </w:r>
      <w:r>
        <w:rPr>
          <w:rFonts w:ascii="Courier New" w:hAnsi="Courier New"/>
        </w:rPr>
        <w:t>expected_tool</w:t>
      </w:r>
      <w:r>
        <w:t xml:space="preserve">, dan jumlah </w:t>
      </w:r>
      <w:r>
        <w:rPr>
          <w:i/>
        </w:rPr>
        <w:t>tool</w:t>
      </w:r>
      <w:r>
        <w:t xml:space="preserve"> yang terlihat oleh model. Seluruh metrik disimpan dalam format JSONL inkremental sebagaimana diuraikan pada Sub-bab 3.5.</w:t>
      </w:r>
    </w:p>
    <w:p>
      <w:pPr>
        <w:pStyle w:val="Heading2"/>
      </w:pPr>
      <w:r>
        <w:t>3.4 Implementasi Tool Registry</w:t>
      </w:r>
    </w:p>
    <w:p>
      <w:pPr>
        <w:ind w:firstLine="720"/>
        <w:jc w:val="both"/>
      </w:pPr>
      <w:r>
        <w:t xml:space="preserve">Skema metadata diimplementasikan sebagai </w:t>
      </w:r>
      <w:r>
        <w:rPr>
          <w:i/>
        </w:rPr>
        <w:t>dataclass</w:t>
      </w:r>
      <w:r>
        <w:t xml:space="preserve"> </w:t>
      </w:r>
      <w:r>
        <w:rPr>
          <w:rFonts w:ascii="Courier New" w:hAnsi="Courier New"/>
        </w:rPr>
        <w:t>ToolDef</w:t>
      </w:r>
      <w:r>
        <w:t xml:space="preserve"> yang bersifat </w:t>
      </w:r>
      <w:r>
        <w:rPr>
          <w:i/>
        </w:rPr>
        <w:t>immutable</w:t>
      </w:r>
      <w:r>
        <w:t xml:space="preserve"> (</w:t>
      </w:r>
      <w:r>
        <w:rPr>
          <w:rFonts w:ascii="Courier New" w:hAnsi="Courier New"/>
        </w:rPr>
        <w:t>frozen=True</w:t>
      </w:r>
      <w:r>
        <w:t>) untuk menjamin determinisme katalog selama eksekusi. Implementasi skema tersebut disajikan pada Kode Program 3.1.</w:t>
      </w:r>
    </w:p>
    <w:p>
      <w:pPr>
        <w:pStyle w:val="Caption"/>
        <w:keepNext/>
        <w:jc w:val="center"/>
      </w:pPr>
      <w:r>
        <w:t xml:space="preserve">Kode Program 3.1 Skema Metadata </w:t>
      </w:r>
      <w:r>
        <w:rPr>
          <w:rFonts w:ascii="Courier New" w:hAnsi="Courier New"/>
        </w:rPr>
        <w:t>ToolDef</w:t>
      </w:r>
    </w:p>
    <w:p>
      <w:pPr>
        <w:keepLines/>
        <w:spacing w:line="240" w:lineRule="auto" w:before="120" w:after="120"/>
        <w:ind w:left="283" w:right="113"/>
        <w:jc w:val="left"/>
        <w:shd w:val="clear" w:color="auto" w:fill="F2F2F2"/>
      </w:pPr>
      <w:r>
        <w:rPr>
          <w:rFonts w:ascii="Courier New" w:hAnsi="Courier New" w:cs="Courier New"/>
          <w:sz w:val="18"/>
        </w:rPr>
        <w:t>@dataclass(frozen=True)</w:t>
        <w:br/>
      </w:r>
      <w:r>
        <w:rPr>
          <w:rFonts w:ascii="Courier New" w:hAnsi="Courier New" w:cs="Courier New"/>
          <w:sz w:val="18"/>
        </w:rPr>
        <w:t>class ToolDef:</w:t>
        <w:br/>
      </w:r>
      <w:r>
        <w:rPr>
          <w:rFonts w:ascii="Courier New" w:hAnsi="Courier New" w:cs="Courier New"/>
          <w:sz w:val="18"/>
        </w:rPr>
        <w:t xml:space="preserve">    name: str</w:t>
        <w:br/>
      </w:r>
      <w:r>
        <w:rPr>
          <w:rFonts w:ascii="Courier New" w:hAnsi="Courier New" w:cs="Courier New"/>
          <w:sz w:val="18"/>
        </w:rPr>
        <w:t xml:space="preserve">    module: str</w:t>
        <w:br/>
      </w:r>
      <w:r>
        <w:rPr>
          <w:rFonts w:ascii="Courier New" w:hAnsi="Courier New" w:cs="Courier New"/>
          <w:sz w:val="18"/>
        </w:rPr>
        <w:t xml:space="preserve">    op_type: str</w:t>
        <w:br/>
      </w:r>
      <w:r>
        <w:rPr>
          <w:rFonts w:ascii="Courier New" w:hAnsi="Courier New" w:cs="Courier New"/>
          <w:sz w:val="18"/>
        </w:rPr>
        <w:t xml:space="preserve">    roles: list[str]</w:t>
        <w:br/>
      </w:r>
      <w:r>
        <w:rPr>
          <w:rFonts w:ascii="Courier New" w:hAnsi="Courier New" w:cs="Courier New"/>
          <w:sz w:val="18"/>
        </w:rPr>
        <w:t xml:space="preserve">    tiers: list[str]</w:t>
        <w:br/>
      </w:r>
      <w:r>
        <w:rPr>
          <w:rFonts w:ascii="Courier New" w:hAnsi="Courier New" w:cs="Courier New"/>
          <w:sz w:val="18"/>
        </w:rPr>
        <w:t xml:space="preserve">    keywords: list[str]</w:t>
        <w:br/>
      </w:r>
      <w:r>
        <w:rPr>
          <w:rFonts w:ascii="Courier New" w:hAnsi="Courier New" w:cs="Courier New"/>
          <w:sz w:val="18"/>
        </w:rPr>
        <w:t xml:space="preserve">    priority: int</w:t>
        <w:br/>
      </w:r>
      <w:r>
        <w:rPr>
          <w:rFonts w:ascii="Courier New" w:hAnsi="Courier New" w:cs="Courier New"/>
          <w:sz w:val="18"/>
        </w:rPr>
        <w:t xml:space="preserve">    schema_tokens: int</w:t>
        <w:br/>
      </w:r>
      <w:r>
        <w:rPr>
          <w:rFonts w:ascii="Courier New" w:hAnsi="Courier New" w:cs="Courier New"/>
          <w:sz w:val="18"/>
        </w:rPr>
        <w:t xml:space="preserve">    intent: str = ""  # docstring-style: what this tool does and when to use it</w:t>
      </w:r>
    </w:p>
    <w:p>
      <w:pPr>
        <w:ind w:firstLine="720"/>
        <w:jc w:val="both"/>
      </w:pPr>
      <w:r>
        <w:t xml:space="preserve">Inti dari artefak adalah fungsi </w:t>
      </w:r>
      <w:r>
        <w:rPr>
          <w:rFonts w:ascii="Courier New" w:hAnsi="Courier New"/>
        </w:rPr>
        <w:t>registry_filter()</w:t>
      </w:r>
      <w:r>
        <w:t xml:space="preserve"> yang merealisasikan </w:t>
      </w:r>
      <w:r>
        <w:rPr>
          <w:i/>
        </w:rPr>
        <w:t>pipeline</w:t>
      </w:r>
      <w:r>
        <w:t xml:space="preserve"> lima tahap pada Gambar 3.1. Fungsi ini menerima objek kueri, daftar </w:t>
      </w:r>
      <w:r>
        <w:rPr>
          <w:i/>
        </w:rPr>
        <w:t>tool</w:t>
      </w:r>
      <w:r>
        <w:t xml:space="preserve"> skenario, dan anggaran (</w:t>
      </w:r>
      <w:r>
        <w:rPr>
          <w:i/>
        </w:rPr>
        <w:t>budget</w:t>
      </w:r>
      <w:r>
        <w:t xml:space="preserve">), lalu mengembalikan subset </w:t>
      </w:r>
      <w:r>
        <w:rPr>
          <w:i/>
        </w:rPr>
        <w:t>tool</w:t>
      </w:r>
      <w:r>
        <w:t xml:space="preserve"> terurut yang dibatasi oleh anggaran. Implementasinya disajikan pada Kode Program 3.2.</w:t>
      </w:r>
    </w:p>
    <w:p>
      <w:pPr>
        <w:pStyle w:val="Caption"/>
        <w:keepNext/>
        <w:jc w:val="center"/>
      </w:pPr>
      <w:r>
        <w:t xml:space="preserve">Kode Program 3.2 Fungsi </w:t>
      </w:r>
      <w:r>
        <w:rPr>
          <w:rFonts w:ascii="Courier New" w:hAnsi="Courier New"/>
        </w:rPr>
        <w:t>registry_filter()</w:t>
      </w:r>
    </w:p>
    <w:p>
      <w:pPr>
        <w:keepLines/>
        <w:spacing w:line="240" w:lineRule="auto" w:before="120" w:after="120"/>
        <w:ind w:left="283" w:right="113"/>
        <w:jc w:val="left"/>
        <w:shd w:val="clear" w:color="auto" w:fill="F2F2F2"/>
      </w:pPr>
      <w:r>
        <w:rPr>
          <w:rFonts w:ascii="Courier New" w:hAnsi="Courier New" w:cs="Courier New"/>
          <w:sz w:val="18"/>
        </w:rPr>
        <w:t>def registry_filter(query: QueryDef, tools: list[ToolDef], budget: int) -&gt; list[ToolDef]:</w:t>
        <w:br/>
      </w:r>
      <w:r>
        <w:rPr>
          <w:rFonts w:ascii="Courier New" w:hAnsi="Courier New" w:cs="Courier New"/>
          <w:sz w:val="18"/>
        </w:rPr>
        <w:t xml:space="preserve">    query_terms = set(query.text.lower().replace(".", "").replace(",", "").split())</w:t>
        <w:br/>
      </w:r>
      <w:r>
        <w:rPr>
          <w:rFonts w:ascii="Courier New" w:hAnsi="Courier New" w:cs="Courier New"/>
          <w:sz w:val="18"/>
        </w:rPr>
        <w:t xml:space="preserve">    ranked: list[tuple[int, int, float, ToolDef]] = []</w:t>
        <w:br/>
      </w:r>
      <w:r>
        <w:rPr>
          <w:rFonts w:ascii="Courier New" w:hAnsi="Courier New" w:cs="Courier New"/>
          <w:sz w:val="18"/>
        </w:rPr>
        <w:t xml:space="preserve">    for tool in tools:</w:t>
        <w:br/>
      </w:r>
      <w:r>
        <w:rPr>
          <w:rFonts w:ascii="Courier New" w:hAnsi="Courier New" w:cs="Courier New"/>
          <w:sz w:val="18"/>
        </w:rPr>
        <w:t xml:space="preserve">        if tool.module not in query.modules:</w:t>
        <w:br/>
      </w:r>
      <w:r>
        <w:rPr>
          <w:rFonts w:ascii="Courier New" w:hAnsi="Courier New" w:cs="Courier New"/>
          <w:sz w:val="18"/>
        </w:rPr>
        <w:t xml:space="preserve">            continue</w:t>
        <w:br/>
      </w:r>
      <w:r>
        <w:rPr>
          <w:rFonts w:ascii="Courier New" w:hAnsi="Courier New" w:cs="Courier New"/>
          <w:sz w:val="18"/>
        </w:rPr>
        <w:t xml:space="preserve">        if query.role not in tool.roles:</w:t>
        <w:br/>
      </w:r>
      <w:r>
        <w:rPr>
          <w:rFonts w:ascii="Courier New" w:hAnsi="Courier New" w:cs="Courier New"/>
          <w:sz w:val="18"/>
        </w:rPr>
        <w:t xml:space="preserve">            continue</w:t>
        <w:br/>
      </w:r>
      <w:r>
        <w:rPr>
          <w:rFonts w:ascii="Courier New" w:hAnsi="Courier New" w:cs="Courier New"/>
          <w:sz w:val="18"/>
        </w:rPr>
        <w:t xml:space="preserve">        if query.tier not in tool.tiers:</w:t>
        <w:br/>
      </w:r>
      <w:r>
        <w:rPr>
          <w:rFonts w:ascii="Courier New" w:hAnsi="Courier New" w:cs="Courier New"/>
          <w:sz w:val="18"/>
        </w:rPr>
        <w:t xml:space="preserve">            continue</w:t>
        <w:br/>
      </w:r>
      <w:r>
        <w:rPr>
          <w:rFonts w:ascii="Courier New" w:hAnsi="Courier New" w:cs="Courier New"/>
          <w:sz w:val="18"/>
        </w:rPr>
        <w:t xml:space="preserve">        overlap = len(query_terms.intersection(tool.keywords))</w:t>
        <w:br/>
      </w:r>
      <w:r>
        <w:rPr>
          <w:rFonts w:ascii="Courier New" w:hAnsi="Courier New" w:cs="Courier New"/>
          <w:sz w:val="18"/>
        </w:rPr>
        <w:t xml:space="preserve">        ranked.append((overlap, -tool.priority, -stable_unit(query.query_id, tool.name), tool))</w:t>
        <w:br/>
      </w:r>
      <w:r>
        <w:rPr>
          <w:rFonts w:ascii="Courier New" w:hAnsi="Courier New" w:cs="Courier New"/>
          <w:sz w:val="18"/>
        </w:rPr>
        <w:t xml:space="preserve">    ranked.sort(reverse=True)</w:t>
        <w:br/>
      </w:r>
      <w:r>
        <w:rPr>
          <w:rFonts w:ascii="Courier New" w:hAnsi="Courier New" w:cs="Courier New"/>
          <w:sz w:val="18"/>
        </w:rPr>
        <w:t xml:space="preserve">    return [tool for *_unused, tool in ranked[:budget]]</w:t>
      </w:r>
    </w:p>
    <w:p>
      <w:pPr>
        <w:ind w:firstLine="720"/>
        <w:jc w:val="both"/>
      </w:pPr>
      <w:r>
        <w:t xml:space="preserve">Tiga pernyataan </w:t>
      </w:r>
      <w:r>
        <w:rPr>
          <w:rFonts w:ascii="Courier New" w:hAnsi="Courier New"/>
        </w:rPr>
        <w:t>continue</w:t>
      </w:r>
      <w:r>
        <w:t xml:space="preserve"> pada Kode Program 3.2 merealisasikan </w:t>
      </w:r>
      <w:r>
        <w:rPr>
          <w:i/>
        </w:rPr>
        <w:t>hard filter</w:t>
      </w:r>
      <w:r>
        <w:t xml:space="preserve"> modul, peran, dan tier; </w:t>
      </w:r>
      <w:r>
        <w:rPr>
          <w:i/>
        </w:rPr>
        <w:t>tool</w:t>
      </w:r>
      <w:r>
        <w:t xml:space="preserve"> yang gugur tidak ikut diperingkat. Kandidat yang lolos diberi skor berupa </w:t>
      </w:r>
      <w:r>
        <w:rPr>
          <w:i/>
        </w:rPr>
        <w:t>tuple</w:t>
      </w:r>
      <w:r>
        <w:t xml:space="preserve"> </w:t>
      </w:r>
      <w:r>
        <w:rPr>
          <w:rFonts w:ascii="Courier New" w:hAnsi="Courier New"/>
        </w:rPr>
        <w:t>(overlap, -priority, -hash)</w:t>
      </w:r>
      <w:r>
        <w:t xml:space="preserve"> yang diurutkan secara menurun: jumlah tumpang-tindih kata kunci menjadi kunci utama, prioritas </w:t>
      </w:r>
      <w:r>
        <w:rPr>
          <w:i/>
        </w:rPr>
        <w:t>tool</w:t>
      </w:r>
      <w:r>
        <w:t xml:space="preserve"> menjadi pemecah seri pertama, dan nilai </w:t>
      </w:r>
      <w:r>
        <w:rPr>
          <w:i/>
        </w:rPr>
        <w:t>hash</w:t>
      </w:r>
      <w:r>
        <w:t xml:space="preserve"> stabil dari pasangan </w:t>
      </w:r>
      <w:r>
        <w:rPr>
          <w:rFonts w:ascii="Courier New" w:hAnsi="Courier New"/>
        </w:rPr>
        <w:t>(query_id, tool.name)</w:t>
      </w:r>
      <w:r>
        <w:t xml:space="preserve"> menjadi pemecah seri terakhir. Penggunaan </w:t>
      </w:r>
      <w:r>
        <w:rPr>
          <w:i/>
        </w:rPr>
        <w:t>hash</w:t>
      </w:r>
      <w:r>
        <w:t xml:space="preserve"> deterministik — bukan urutan acak — memastikan bahwa keluaran </w:t>
      </w:r>
      <w:r>
        <w:rPr>
          <w:i/>
        </w:rPr>
        <w:t>pipeline</w:t>
      </w:r>
      <w:r>
        <w:t xml:space="preserve"> dapat direproduksi secara identik pada setiap eksekusi, sebuah syarat penting bagi validitas eksperimen. Akhirnya, </w:t>
      </w:r>
      <w:r>
        <w:rPr>
          <w:i/>
        </w:rPr>
        <w:t>slicing</w:t>
      </w:r>
      <w:r>
        <w:t xml:space="preserve"> </w:t>
      </w:r>
      <w:r>
        <w:rPr>
          <w:rFonts w:ascii="Courier New" w:hAnsi="Courier New"/>
        </w:rPr>
        <w:t>[:budget]</w:t>
      </w:r>
      <w:r>
        <w:t xml:space="preserve"> menerapkan </w:t>
      </w:r>
      <w:r>
        <w:rPr>
          <w:i/>
        </w:rPr>
        <w:t>budget cap</w:t>
      </w:r>
      <w:r>
        <w:t xml:space="preserve"> yang menjamin jumlah keluaran tidak pernah melampaui 15 </w:t>
      </w:r>
      <w:r>
        <w:rPr>
          <w:i/>
        </w:rPr>
        <w:t>tool</w:t>
      </w:r>
      <w:r>
        <w:t>.</w:t>
      </w:r>
    </w:p>
    <w:p>
      <w:pPr>
        <w:ind w:firstLine="720"/>
        <w:jc w:val="both"/>
      </w:pPr>
      <w:r>
        <w:t xml:space="preserve">Selain penyaringan, dirancang pula fungsi </w:t>
      </w:r>
      <w:r>
        <w:rPr>
          <w:rFonts w:ascii="Courier New" w:hAnsi="Courier New"/>
        </w:rPr>
        <w:t>registry_memory()</w:t>
      </w:r>
      <w:r>
        <w:t xml:space="preserve"> untuk mengukur jejak memori (</w:t>
      </w:r>
      <w:r>
        <w:rPr>
          <w:i/>
        </w:rPr>
        <w:t>memory footprint</w:t>
      </w:r>
      <w:r>
        <w:t xml:space="preserve">) katalog metadata. Fungsi tersebut membangun representasi </w:t>
      </w:r>
      <w:r>
        <w:rPr>
          <w:i/>
        </w:rPr>
        <w:t>dictionary</w:t>
      </w:r>
      <w:r>
        <w:t xml:space="preserve"> dari seluruh </w:t>
      </w:r>
      <w:r>
        <w:rPr>
          <w:i/>
        </w:rPr>
        <w:t>tool</w:t>
      </w:r>
      <w:r>
        <w:t xml:space="preserve"> lalu menghitung ukuran totalnya secara rekursif menggunakan </w:t>
      </w:r>
      <w:r>
        <w:rPr>
          <w:rFonts w:ascii="Courier New" w:hAnsi="Courier New"/>
        </w:rPr>
        <w:t>deep_size()</w:t>
      </w:r>
      <w:r>
        <w:t xml:space="preserve">, sehingga </w:t>
      </w:r>
      <w:r>
        <w:rPr>
          <w:i/>
        </w:rPr>
        <w:t>overhead</w:t>
      </w:r>
      <w:r>
        <w:t xml:space="preserve"> memori registry dapat dianalisis pada Bab IV.</w:t>
      </w:r>
    </w:p>
    <w:p>
      <w:pPr>
        <w:pStyle w:val="Heading2"/>
      </w:pPr>
      <w:r>
        <w:t>3.5 Implementasi Eval Runner</w:t>
      </w:r>
    </w:p>
    <w:p>
      <w:pPr>
        <w:ind w:firstLine="720"/>
        <w:jc w:val="both"/>
      </w:pPr>
      <w:r>
        <w:rPr>
          <w:i/>
        </w:rPr>
        <w:t>Eval runner</w:t>
      </w:r>
      <w:r>
        <w:t xml:space="preserve"> bertanggung jawab menjalankan matriks eksperimen (skenario × mode × kueri × pengulangan) dan mencatat hasilnya. Untuk menjamin reprodusibilitas dan ketahanan terhadap gangguan jaringan saat memanggil LLM, </w:t>
      </w:r>
      <w:r>
        <w:rPr>
          <w:i/>
        </w:rPr>
        <w:t>runner</w:t>
      </w:r>
      <w:r>
        <w:t xml:space="preserve"> dirancang bersifat </w:t>
      </w:r>
      <w:r>
        <w:rPr>
          <w:i/>
        </w:rPr>
        <w:t>resume-safe</w:t>
      </w:r>
      <w:r>
        <w:t>: setiap hasil ditulis segera (</w:t>
      </w:r>
      <w:r>
        <w:rPr>
          <w:i/>
        </w:rPr>
        <w:t>append</w:t>
      </w:r>
      <w:r>
        <w:t xml:space="preserve">) ke berkas JSONL, dan eksekusi yang terputus dapat dilanjutkan tanpa mengulang panggilan yang telah selesai. Mekanisme ini diwujudkan dengan memuat kunci </w:t>
      </w:r>
      <w:r>
        <w:rPr>
          <w:rFonts w:ascii="Courier New" w:hAnsi="Courier New"/>
        </w:rPr>
        <w:t>(scenario, mode, query_id, repeat_idx)</w:t>
      </w:r>
      <w:r>
        <w:t xml:space="preserve"> yang telah ada di disk, lalu melewati kombinasi yang sudah tercatat, sebagaimana disajikan pada Kode Program 3.3.</w:t>
      </w:r>
    </w:p>
    <w:p>
      <w:pPr>
        <w:pStyle w:val="Caption"/>
        <w:keepNext/>
        <w:jc w:val="center"/>
      </w:pPr>
      <w:r>
        <w:t xml:space="preserve">Kode Program 3.3 Mekanisme </w:t>
      </w:r>
      <w:r>
        <w:rPr>
          <w:i/>
        </w:rPr>
        <w:t>Resume</w:t>
      </w:r>
      <w:r>
        <w:t xml:space="preserve"> pada Eval Runner</w:t>
      </w:r>
    </w:p>
    <w:p>
      <w:pPr>
        <w:keepLines/>
        <w:spacing w:line="240" w:lineRule="auto" w:before="120" w:after="120"/>
        <w:ind w:left="283" w:right="113"/>
        <w:jc w:val="left"/>
        <w:shd w:val="clear" w:color="auto" w:fill="F2F2F2"/>
      </w:pPr>
      <w:r>
        <w:rPr>
          <w:rFonts w:ascii="Courier New" w:hAnsi="Courier New" w:cs="Courier New"/>
          <w:sz w:val="18"/>
        </w:rPr>
        <w:t>for mode in modes:</w:t>
        <w:br/>
      </w:r>
      <w:r>
        <w:rPr>
          <w:rFonts w:ascii="Courier New" w:hAnsi="Courier New" w:cs="Courier New"/>
          <w:sz w:val="18"/>
        </w:rPr>
        <w:t xml:space="preserve">    for query in queries_for_scenario:</w:t>
        <w:br/>
      </w:r>
      <w:r>
        <w:rPr>
          <w:rFonts w:ascii="Courier New" w:hAnsi="Courier New" w:cs="Courier New"/>
          <w:sz w:val="18"/>
        </w:rPr>
        <w:t xml:space="preserve">        for repeat_idx in range(n_repeats):</w:t>
        <w:br/>
      </w:r>
      <w:r>
        <w:rPr>
          <w:rFonts w:ascii="Courier New" w:hAnsi="Courier New" w:cs="Courier New"/>
          <w:sz w:val="18"/>
        </w:rPr>
        <w:t xml:space="preserve">            key = (scenario, mode, query.query_id, repeat_idx)</w:t>
        <w:br/>
      </w:r>
      <w:r>
        <w:rPr>
          <w:rFonts w:ascii="Courier New" w:hAnsi="Courier New" w:cs="Courier New"/>
          <w:sz w:val="18"/>
        </w:rPr>
        <w:t xml:space="preserve">            if key in done_keys:</w:t>
        <w:br/>
      </w:r>
      <w:r>
        <w:rPr>
          <w:rFonts w:ascii="Courier New" w:hAnsi="Courier New" w:cs="Courier New"/>
          <w:sz w:val="18"/>
        </w:rPr>
        <w:t xml:space="preserve">                continue  # sudah ada di disk — lewati</w:t>
        <w:br/>
      </w:r>
      <w:r>
        <w:rPr>
          <w:rFonts w:ascii="Courier New" w:hAnsi="Courier New" w:cs="Courier New"/>
          <w:sz w:val="18"/>
        </w:rPr>
        <w:t xml:space="preserve">            row = backend.call(</w:t>
        <w:br/>
      </w:r>
      <w:r>
        <w:rPr>
          <w:rFonts w:ascii="Courier New" w:hAnsi="Courier New" w:cs="Courier New"/>
          <w:sz w:val="18"/>
        </w:rPr>
        <w:t xml:space="preserve">                mode=mode, scenario=scenario, query=query,</w:t>
        <w:br/>
      </w:r>
      <w:r>
        <w:rPr>
          <w:rFonts w:ascii="Courier New" w:hAnsi="Courier New" w:cs="Courier New"/>
          <w:sz w:val="18"/>
        </w:rPr>
        <w:t xml:space="preserve">                tools_for_scenario=tools_for_scenario,</w:t>
        <w:br/>
      </w:r>
      <w:r>
        <w:rPr>
          <w:rFonts w:ascii="Courier New" w:hAnsi="Courier New" w:cs="Courier New"/>
          <w:sz w:val="18"/>
        </w:rPr>
        <w:t xml:space="preserve">                registry_memory_bytes=memory_bytes,</w:t>
        <w:br/>
      </w:r>
      <w:r>
        <w:rPr>
          <w:rFonts w:ascii="Courier New" w:hAnsi="Courier New" w:cs="Courier New"/>
          <w:sz w:val="18"/>
        </w:rPr>
        <w:t xml:space="preserve">                config=config, repeat_idx=repeat_idx,</w:t>
        <w:br/>
      </w:r>
      <w:r>
        <w:rPr>
          <w:rFonts w:ascii="Courier New" w:hAnsi="Courier New" w:cs="Courier New"/>
          <w:sz w:val="18"/>
        </w:rPr>
        <w:t xml:space="preserve">            )</w:t>
        <w:br/>
      </w:r>
      <w:r>
        <w:rPr>
          <w:rFonts w:ascii="Courier New" w:hAnsi="Courier New" w:cs="Courier New"/>
          <w:sz w:val="18"/>
        </w:rPr>
        <w:t xml:space="preserve">            rows.append(row)</w:t>
        <w:br/>
      </w:r>
      <w:r>
        <w:rPr>
          <w:rFonts w:ascii="Courier New" w:hAnsi="Courier New" w:cs="Courier New"/>
          <w:sz w:val="18"/>
        </w:rPr>
        <w:t xml:space="preserve">            _flush(row)  # tulis segera ke JSONL (append)</w:t>
      </w:r>
    </w:p>
    <w:p>
      <w:pPr>
        <w:ind w:firstLine="720"/>
        <w:jc w:val="both"/>
      </w:pPr>
      <w:r>
        <w:t xml:space="preserve">Pemanggilan </w:t>
      </w:r>
      <w:r>
        <w:rPr>
          <w:rFonts w:ascii="Courier New" w:hAnsi="Courier New"/>
        </w:rPr>
        <w:t>_flush(row)</w:t>
      </w:r>
      <w:r>
        <w:t xml:space="preserve"> setelah setiap panggilan memastikan bahwa data tidak hilang apabila proses terhenti, sehingga eksperimen panjang yang melibatkan ratusan panggilan LLM dapat dijalankan secara bertahap. Setelah seluruh baris terkumpul, </w:t>
      </w:r>
      <w:r>
        <w:rPr>
          <w:i/>
        </w:rPr>
        <w:t>runner</w:t>
      </w:r>
      <w:r>
        <w:t xml:space="preserve"> memanggil modul </w:t>
      </w:r>
      <w:r>
        <w:rPr>
          <w:rFonts w:ascii="Courier New" w:hAnsi="Courier New"/>
        </w:rPr>
        <w:t>summarize()</w:t>
      </w:r>
      <w:r>
        <w:t xml:space="preserve"> untuk menghasilkan </w:t>
      </w:r>
      <w:r>
        <w:rPr>
          <w:rFonts w:ascii="Courier New" w:hAnsi="Courier New"/>
        </w:rPr>
        <w:t>summary.csv</w:t>
      </w:r>
      <w:r>
        <w:t xml:space="preserve">, modul uji statistik untuk menghasilkan </w:t>
      </w:r>
      <w:r>
        <w:rPr>
          <w:rFonts w:ascii="Courier New" w:hAnsi="Courier New"/>
        </w:rPr>
        <w:t>statistical_tests.csv</w:t>
      </w:r>
      <w:r>
        <w:t xml:space="preserve">, dan </w:t>
      </w:r>
      <w:r>
        <w:rPr>
          <w:i/>
        </w:rPr>
        <w:t>report generator</w:t>
      </w:r>
      <w:r>
        <w:t xml:space="preserve"> untuk menyusun laporan Markdown. Arsitektur </w:t>
      </w:r>
      <w:r>
        <w:rPr>
          <w:i/>
        </w:rPr>
        <w:t>append-only</w:t>
      </w:r>
      <w:r>
        <w:t xml:space="preserve"> ini juga memungkinkan agregasi lintas-eksekusi: berkas JSONL dari beberapa sesi dapat digabungkan menjadi satu ringkasan yang konsisten.</w:t>
      </w:r>
    </w:p>
    <w:p>
      <w:pPr>
        <w:pStyle w:val="Heading2"/>
      </w:pPr>
      <w:r>
        <w:t>3.6 Setup Eksperimen</w:t>
      </w:r>
    </w:p>
    <w:p>
      <w:pPr>
        <w:ind w:firstLine="720"/>
        <w:jc w:val="both"/>
      </w:pPr>
      <w:r>
        <w:t xml:space="preserve">Eksperimen resmi menggunakan model Gemini 2.5 Flash Lite melalui Google Gen AI SDK dengan mekanisme </w:t>
      </w:r>
      <w:r>
        <w:rPr>
          <w:i/>
        </w:rPr>
        <w:t>native function calling</w:t>
      </w:r>
      <w:r>
        <w:t xml:space="preserve"> [2]. Seluruh parameter inferensi dikendalikan untuk meminimalkan variabel pengganggu (</w:t>
      </w:r>
      <w:r>
        <w:rPr>
          <w:i/>
        </w:rPr>
        <w:t>confounding variable</w:t>
      </w:r>
      <w:r>
        <w:t>), sebagaimana dirangkum pada Tabel 3.4.</w:t>
      </w:r>
    </w:p>
    <w:p>
      <w:pPr>
        <w:pStyle w:val="Caption"/>
        <w:keepNext/>
        <w:jc w:val="center"/>
      </w:pPr>
      <w:r>
        <w:t>Tabel 3.</w:t>
      </w:r>
      <w:fldSimple w:instr=" SEQ Tabel \* ARABIC ">
        <w:r>
          <w:t>1</w:t>
        </w:r>
      </w:fldSimple>
      <w:r>
        <w:t xml:space="preserve"> Parameter Setup Eksperimen</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2646"/>
        <w:gridCol w:w="2646"/>
        <w:gridCol w:w="2646"/>
      </w:tblGrid>
      <w:tr>
        <w:trPr>
          <w:cantSplit/>
          <w:tblHeader/>
        </w:trPr>
        <w:tc>
          <w:tcPr>
            <w:tcW w:type="dxa" w:w="2646"/>
            <w:tcBorders>
              <w:top w:val="none"/>
              <w:bottom w:val="single" w:sz="8" w:space="0" w:color="000000"/>
              <w:left w:val="none"/>
              <w:right w:val="none"/>
            </w:tcBorders>
          </w:tcPr>
          <w:p>
            <w:pPr>
              <w:spacing w:line="240" w:lineRule="auto" w:after="0"/>
            </w:pPr>
            <w:r>
              <w:rPr>
                <w:b/>
                <w:sz w:val="20"/>
              </w:rPr>
            </w:r>
            <w:r>
              <w:rPr>
                <w:b/>
                <w:sz w:val="20"/>
              </w:rPr>
              <w:t>Parameter</w:t>
            </w:r>
          </w:p>
        </w:tc>
        <w:tc>
          <w:tcPr>
            <w:tcW w:type="dxa" w:w="2646"/>
            <w:tcBorders>
              <w:top w:val="none"/>
              <w:bottom w:val="single" w:sz="8" w:space="0" w:color="000000"/>
              <w:left w:val="none"/>
              <w:right w:val="none"/>
            </w:tcBorders>
          </w:tcPr>
          <w:p>
            <w:pPr>
              <w:spacing w:line="240" w:lineRule="auto" w:after="0"/>
            </w:pPr>
            <w:r>
              <w:rPr>
                <w:b/>
                <w:sz w:val="20"/>
              </w:rPr>
            </w:r>
            <w:r>
              <w:rPr>
                <w:b/>
                <w:sz w:val="20"/>
              </w:rPr>
              <w:t>Nilai</w:t>
            </w:r>
          </w:p>
        </w:tc>
        <w:tc>
          <w:tcPr>
            <w:tcW w:type="dxa" w:w="2646"/>
            <w:tcBorders>
              <w:top w:val="none"/>
              <w:bottom w:val="single" w:sz="8" w:space="0" w:color="000000"/>
              <w:left w:val="none"/>
              <w:right w:val="none"/>
            </w:tcBorders>
          </w:tcPr>
          <w:p>
            <w:pPr>
              <w:spacing w:line="240" w:lineRule="auto" w:after="0"/>
            </w:pPr>
            <w:r>
              <w:rPr>
                <w:b/>
                <w:sz w:val="20"/>
              </w:rPr>
            </w:r>
            <w:r>
              <w:rPr>
                <w:b/>
                <w:sz w:val="20"/>
              </w:rPr>
              <w:t>Justifikasi</w:t>
            </w:r>
          </w:p>
        </w:tc>
      </w:tr>
      <w:tr>
        <w:trPr>
          <w:cantSplit/>
        </w:trPr>
        <w:tc>
          <w:tcPr>
            <w:tcW w:type="dxa" w:w="2646"/>
          </w:tcPr>
          <w:p>
            <w:pPr>
              <w:spacing w:line="240" w:lineRule="auto" w:after="0"/>
            </w:pPr>
            <w:r>
              <w:rPr>
                <w:sz w:val="20"/>
              </w:rPr>
            </w:r>
            <w:r>
              <w:rPr>
                <w:sz w:val="20"/>
              </w:rPr>
              <w:t>Model</w:t>
            </w:r>
          </w:p>
        </w:tc>
        <w:tc>
          <w:tcPr>
            <w:tcW w:type="dxa" w:w="2646"/>
          </w:tcPr>
          <w:p>
            <w:pPr>
              <w:spacing w:line="240" w:lineRule="auto" w:after="0"/>
            </w:pPr>
            <w:r>
              <w:rPr>
                <w:sz w:val="20"/>
              </w:rPr>
            </w:r>
            <w:r>
              <w:rPr>
                <w:rFonts w:ascii="Courier New" w:hAnsi="Courier New"/>
                <w:sz w:val="20"/>
              </w:rPr>
              <w:t>gemini-2.5-flash-lite</w:t>
            </w:r>
          </w:p>
        </w:tc>
        <w:tc>
          <w:tcPr>
            <w:tcW w:type="dxa" w:w="2646"/>
          </w:tcPr>
          <w:p>
            <w:pPr>
              <w:spacing w:line="240" w:lineRule="auto" w:after="0"/>
            </w:pPr>
            <w:r>
              <w:rPr>
                <w:sz w:val="20"/>
              </w:rPr>
            </w:r>
            <w:r>
              <w:rPr>
                <w:sz w:val="20"/>
              </w:rPr>
              <w:t>Model produksi zerlo.id, biaya rendah</w:t>
            </w:r>
          </w:p>
        </w:tc>
      </w:tr>
      <w:tr>
        <w:trPr>
          <w:cantSplit/>
        </w:trPr>
        <w:tc>
          <w:tcPr>
            <w:tcW w:type="dxa" w:w="2646"/>
          </w:tcPr>
          <w:p>
            <w:pPr>
              <w:spacing w:line="240" w:lineRule="auto" w:after="0"/>
            </w:pPr>
            <w:r>
              <w:rPr>
                <w:sz w:val="20"/>
              </w:rPr>
            </w:r>
            <w:r>
              <w:rPr>
                <w:rFonts w:ascii="Courier New" w:hAnsi="Courier New"/>
                <w:sz w:val="20"/>
              </w:rPr>
              <w:t>temperature</w:t>
            </w:r>
          </w:p>
        </w:tc>
        <w:tc>
          <w:tcPr>
            <w:tcW w:type="dxa" w:w="2646"/>
          </w:tcPr>
          <w:p>
            <w:pPr>
              <w:spacing w:line="240" w:lineRule="auto" w:after="0"/>
            </w:pPr>
            <w:r>
              <w:rPr>
                <w:sz w:val="20"/>
              </w:rPr>
            </w:r>
            <w:r>
              <w:rPr>
                <w:sz w:val="20"/>
              </w:rPr>
              <w:t>0</w:t>
            </w:r>
          </w:p>
        </w:tc>
        <w:tc>
          <w:tcPr>
            <w:tcW w:type="dxa" w:w="2646"/>
          </w:tcPr>
          <w:p>
            <w:pPr>
              <w:spacing w:line="240" w:lineRule="auto" w:after="0"/>
            </w:pPr>
            <w:r>
              <w:rPr>
                <w:sz w:val="20"/>
              </w:rPr>
            </w:r>
            <w:r>
              <w:rPr>
                <w:sz w:val="20"/>
              </w:rPr>
              <w:t>Determinisme maksimal keluaran model</w:t>
            </w:r>
          </w:p>
        </w:tc>
      </w:tr>
      <w:tr>
        <w:trPr>
          <w:cantSplit/>
        </w:trPr>
        <w:tc>
          <w:tcPr>
            <w:tcW w:type="dxa" w:w="2646"/>
          </w:tcPr>
          <w:p>
            <w:pPr>
              <w:spacing w:line="240" w:lineRule="auto" w:after="0"/>
            </w:pPr>
            <w:r>
              <w:rPr>
                <w:sz w:val="20"/>
              </w:rPr>
            </w:r>
            <w:r>
              <w:rPr>
                <w:rFonts w:ascii="Courier New" w:hAnsi="Courier New"/>
                <w:sz w:val="20"/>
              </w:rPr>
              <w:t>mode</w:t>
            </w:r>
            <w:r>
              <w:rPr>
                <w:sz w:val="20"/>
              </w:rPr>
              <w:t xml:space="preserve"> (</w:t>
            </w:r>
            <w:r>
              <w:rPr>
                <w:i/>
                <w:sz w:val="20"/>
              </w:rPr>
              <w:t>function calling</w:t>
            </w:r>
            <w:r>
              <w:rPr>
                <w:sz w:val="20"/>
              </w:rPr>
              <w:t>)</w:t>
            </w:r>
          </w:p>
        </w:tc>
        <w:tc>
          <w:tcPr>
            <w:tcW w:type="dxa" w:w="2646"/>
          </w:tcPr>
          <w:p>
            <w:pPr>
              <w:spacing w:line="240" w:lineRule="auto" w:after="0"/>
            </w:pPr>
            <w:r>
              <w:rPr>
                <w:sz w:val="20"/>
              </w:rPr>
            </w:r>
            <w:r>
              <w:rPr>
                <w:sz w:val="20"/>
              </w:rPr>
              <w:t>ANY</w:t>
            </w:r>
          </w:p>
        </w:tc>
        <w:tc>
          <w:tcPr>
            <w:tcW w:type="dxa" w:w="2646"/>
          </w:tcPr>
          <w:p>
            <w:pPr>
              <w:spacing w:line="240" w:lineRule="auto" w:after="0"/>
            </w:pPr>
            <w:r>
              <w:rPr>
                <w:sz w:val="20"/>
              </w:rPr>
            </w:r>
            <w:r>
              <w:rPr>
                <w:sz w:val="20"/>
              </w:rPr>
              <w:t xml:space="preserve">Memaksa model selalu memanggil satu </w:t>
            </w:r>
            <w:r>
              <w:rPr>
                <w:i/>
                <w:sz w:val="20"/>
              </w:rPr>
              <w:t>tool</w:t>
            </w:r>
          </w:p>
        </w:tc>
      </w:tr>
      <w:tr>
        <w:trPr>
          <w:cantSplit/>
        </w:trPr>
        <w:tc>
          <w:tcPr>
            <w:tcW w:type="dxa" w:w="2646"/>
          </w:tcPr>
          <w:p>
            <w:pPr>
              <w:spacing w:line="240" w:lineRule="auto" w:after="0"/>
            </w:pPr>
            <w:r>
              <w:rPr>
                <w:sz w:val="20"/>
              </w:rPr>
            </w:r>
            <w:r>
              <w:rPr>
                <w:rFonts w:ascii="Courier New" w:hAnsi="Courier New"/>
                <w:sz w:val="20"/>
              </w:rPr>
              <w:t>max_output_tokens</w:t>
            </w:r>
          </w:p>
        </w:tc>
        <w:tc>
          <w:tcPr>
            <w:tcW w:type="dxa" w:w="2646"/>
          </w:tcPr>
          <w:p>
            <w:pPr>
              <w:spacing w:line="240" w:lineRule="auto" w:after="0"/>
            </w:pPr>
            <w:r>
              <w:rPr>
                <w:sz w:val="20"/>
              </w:rPr>
            </w:r>
            <w:r>
              <w:rPr>
                <w:sz w:val="20"/>
              </w:rPr>
              <w:t>32</w:t>
            </w:r>
          </w:p>
        </w:tc>
        <w:tc>
          <w:tcPr>
            <w:tcW w:type="dxa" w:w="2646"/>
          </w:tcPr>
          <w:p>
            <w:pPr>
              <w:spacing w:line="240" w:lineRule="auto" w:after="0"/>
            </w:pPr>
            <w:r>
              <w:rPr>
                <w:sz w:val="20"/>
              </w:rPr>
            </w:r>
            <w:r>
              <w:rPr>
                <w:sz w:val="20"/>
              </w:rPr>
              <w:t xml:space="preserve">Cukup untuk satu pemanggilan </w:t>
            </w:r>
            <w:r>
              <w:rPr>
                <w:i/>
                <w:sz w:val="20"/>
              </w:rPr>
              <w:t>tool</w:t>
            </w:r>
          </w:p>
        </w:tc>
      </w:tr>
      <w:tr>
        <w:trPr>
          <w:cantSplit/>
        </w:trPr>
        <w:tc>
          <w:tcPr>
            <w:tcW w:type="dxa" w:w="2646"/>
          </w:tcPr>
          <w:p>
            <w:pPr>
              <w:spacing w:line="240" w:lineRule="auto" w:after="0"/>
            </w:pPr>
            <w:r>
              <w:rPr>
                <w:sz w:val="20"/>
              </w:rPr>
            </w:r>
            <w:r>
              <w:rPr>
                <w:i/>
                <w:sz w:val="20"/>
              </w:rPr>
              <w:t>Tool budget</w:t>
            </w:r>
            <w:r>
              <w:rPr>
                <w:sz w:val="20"/>
              </w:rPr>
              <w:t xml:space="preserve"> (registry)</w:t>
            </w:r>
          </w:p>
        </w:tc>
        <w:tc>
          <w:tcPr>
            <w:tcW w:type="dxa" w:w="2646"/>
          </w:tcPr>
          <w:p>
            <w:pPr>
              <w:spacing w:line="240" w:lineRule="auto" w:after="0"/>
            </w:pPr>
            <w:r>
              <w:rPr>
                <w:sz w:val="20"/>
              </w:rPr>
            </w:r>
            <w:r>
              <w:rPr>
                <w:sz w:val="20"/>
              </w:rPr>
              <w:t>15</w:t>
            </w:r>
          </w:p>
        </w:tc>
        <w:tc>
          <w:tcPr>
            <w:tcW w:type="dxa" w:w="2646"/>
          </w:tcPr>
          <w:p>
            <w:pPr>
              <w:spacing w:line="240" w:lineRule="auto" w:after="0"/>
            </w:pPr>
            <w:r>
              <w:rPr>
                <w:sz w:val="20"/>
              </w:rPr>
            </w:r>
            <w:r>
              <w:rPr>
                <w:sz w:val="20"/>
              </w:rPr>
              <w:t xml:space="preserve">Batas maksimal </w:t>
            </w:r>
            <w:r>
              <w:rPr>
                <w:i/>
                <w:sz w:val="20"/>
              </w:rPr>
              <w:t>tool</w:t>
            </w:r>
            <w:r>
              <w:rPr>
                <w:sz w:val="20"/>
              </w:rPr>
              <w:t xml:space="preserve"> yang diteruskan</w:t>
            </w:r>
          </w:p>
        </w:tc>
      </w:tr>
      <w:tr>
        <w:trPr>
          <w:cantSplit/>
        </w:trPr>
        <w:tc>
          <w:tcPr>
            <w:tcW w:type="dxa" w:w="2646"/>
          </w:tcPr>
          <w:p>
            <w:pPr>
              <w:spacing w:line="240" w:lineRule="auto" w:after="0"/>
            </w:pPr>
            <w:r>
              <w:rPr>
                <w:sz w:val="20"/>
              </w:rPr>
            </w:r>
            <w:r>
              <w:rPr>
                <w:i/>
                <w:sz w:val="20"/>
              </w:rPr>
              <w:t>Repeat runs</w:t>
            </w:r>
          </w:p>
        </w:tc>
        <w:tc>
          <w:tcPr>
            <w:tcW w:type="dxa" w:w="2646"/>
          </w:tcPr>
          <w:p>
            <w:pPr>
              <w:spacing w:line="240" w:lineRule="auto" w:after="0"/>
            </w:pPr>
            <w:r>
              <w:rPr>
                <w:sz w:val="20"/>
              </w:rPr>
            </w:r>
            <w:r>
              <w:rPr>
                <w:sz w:val="20"/>
              </w:rPr>
              <w:t>3</w:t>
            </w:r>
          </w:p>
        </w:tc>
        <w:tc>
          <w:tcPr>
            <w:tcW w:type="dxa" w:w="2646"/>
          </w:tcPr>
          <w:p>
            <w:pPr>
              <w:spacing w:line="240" w:lineRule="auto" w:after="0"/>
            </w:pPr>
            <w:r>
              <w:rPr>
                <w:sz w:val="20"/>
              </w:rPr>
            </w:r>
            <w:r>
              <w:rPr>
                <w:sz w:val="20"/>
              </w:rPr>
              <w:t>Menangkap variabilitas keluaran model</w:t>
            </w:r>
          </w:p>
        </w:tc>
      </w:tr>
      <w:tr>
        <w:trPr>
          <w:cantSplit/>
        </w:trPr>
        <w:tc>
          <w:tcPr>
            <w:tcW w:type="dxa" w:w="2646"/>
          </w:tcPr>
          <w:p>
            <w:pPr>
              <w:spacing w:line="240" w:lineRule="auto" w:after="0"/>
            </w:pPr>
            <w:r>
              <w:rPr>
                <w:sz w:val="20"/>
              </w:rPr>
            </w:r>
            <w:r>
              <w:rPr>
                <w:sz w:val="20"/>
              </w:rPr>
              <w:t>Total rekaman</w:t>
            </w:r>
          </w:p>
        </w:tc>
        <w:tc>
          <w:tcPr>
            <w:tcW w:type="dxa" w:w="2646"/>
          </w:tcPr>
          <w:p>
            <w:pPr>
              <w:spacing w:line="240" w:lineRule="auto" w:after="0"/>
            </w:pPr>
            <w:r>
              <w:rPr>
                <w:sz w:val="20"/>
              </w:rPr>
            </w:r>
            <w:r>
              <w:rPr>
                <w:sz w:val="20"/>
              </w:rPr>
              <w:t>558</w:t>
            </w:r>
          </w:p>
        </w:tc>
        <w:tc>
          <w:tcPr>
            <w:tcW w:type="dxa" w:w="2646"/>
          </w:tcPr>
          <w:p>
            <w:pPr>
              <w:spacing w:line="240" w:lineRule="auto" w:after="0"/>
            </w:pPr>
            <w:r>
              <w:rPr>
                <w:sz w:val="20"/>
              </w:rPr>
            </w:r>
            <w:r>
              <w:rPr>
                <w:sz w:val="20"/>
              </w:rPr>
              <w:t xml:space="preserve">279 </w:t>
            </w:r>
            <w:r>
              <w:rPr>
                <w:i/>
                <w:sz w:val="20"/>
              </w:rPr>
              <w:t>baseline</w:t>
            </w:r>
            <w:r>
              <w:rPr>
                <w:sz w:val="20"/>
              </w:rPr>
              <w:t xml:space="preserve"> + 279 </w:t>
            </w:r>
            <w:r>
              <w:rPr>
                <w:i/>
                <w:sz w:val="20"/>
              </w:rPr>
              <w:t>registry</w:t>
            </w:r>
          </w:p>
        </w:tc>
      </w:tr>
    </w:tbl>
    <w:p>
      <w:pPr>
        <w:ind w:firstLine="720"/>
        <w:jc w:val="both"/>
      </w:pPr>
      <w:r>
        <w:t xml:space="preserve">Penetapan </w:t>
      </w:r>
      <w:r>
        <w:rPr>
          <w:rFonts w:ascii="Courier New" w:hAnsi="Courier New"/>
        </w:rPr>
        <w:t>temperature=0</w:t>
      </w:r>
      <w:r>
        <w:t xml:space="preserve"> dan </w:t>
      </w:r>
      <w:r>
        <w:rPr>
          <w:rFonts w:ascii="Courier New" w:hAnsi="Courier New"/>
        </w:rPr>
        <w:t>mode=ANY</w:t>
      </w:r>
      <w:r>
        <w:t xml:space="preserve"> memaksa model bersifat deterministik dan selalu memilih tepat satu </w:t>
      </w:r>
      <w:r>
        <w:rPr>
          <w:i/>
        </w:rPr>
        <w:t>tool</w:t>
      </w:r>
      <w:r>
        <w:t xml:space="preserve">, sehingga akurasi dapat dinilai secara biner terhadap </w:t>
      </w:r>
      <w:r>
        <w:rPr>
          <w:rFonts w:ascii="Courier New" w:hAnsi="Courier New"/>
        </w:rPr>
        <w:t>expected_tool</w:t>
      </w:r>
      <w:r>
        <w:t xml:space="preserve">. Konfigurasi pemanggilan model diimplementasikan melalui objek </w:t>
      </w:r>
      <w:r>
        <w:rPr>
          <w:rFonts w:ascii="Courier New" w:hAnsi="Courier New"/>
        </w:rPr>
        <w:t>GenerateContentConfig</w:t>
      </w:r>
      <w:r>
        <w:t xml:space="preserve"> sebagaimana disajikan pada Kode Program 3.4.</w:t>
      </w:r>
    </w:p>
    <w:p>
      <w:pPr>
        <w:pStyle w:val="Caption"/>
        <w:keepNext/>
        <w:jc w:val="center"/>
      </w:pPr>
      <w:r>
        <w:t>Kode Program 3.4 Konfigurasi Pemanggilan Gemini</w:t>
      </w:r>
    </w:p>
    <w:p>
      <w:pPr>
        <w:keepLines/>
        <w:spacing w:line="240" w:lineRule="auto" w:before="120" w:after="120"/>
        <w:ind w:left="283" w:right="113"/>
        <w:jc w:val="left"/>
        <w:shd w:val="clear" w:color="auto" w:fill="F2F2F2"/>
      </w:pPr>
      <w:r>
        <w:rPr>
          <w:rFonts w:ascii="Courier New" w:hAnsi="Courier New" w:cs="Courier New"/>
          <w:sz w:val="18"/>
        </w:rPr>
        <w:t>gen_config = types.GenerateContentConfig(</w:t>
        <w:br/>
      </w:r>
      <w:r>
        <w:rPr>
          <w:rFonts w:ascii="Courier New" w:hAnsi="Courier New" w:cs="Courier New"/>
          <w:sz w:val="18"/>
        </w:rPr>
        <w:t xml:space="preserve">    system_instruction=(</w:t>
        <w:br/>
      </w:r>
      <w:r>
        <w:rPr>
          <w:rFonts w:ascii="Courier New" w:hAnsi="Courier New" w:cs="Courier New"/>
          <w:sz w:val="18"/>
        </w:rPr>
        <w:t xml:space="preserve">        "Anda adalah router tool ERP restoran. "</w:t>
        <w:br/>
      </w:r>
      <w:r>
        <w:rPr>
          <w:rFonts w:ascii="Courier New" w:hAnsi="Courier New" w:cs="Courier New"/>
          <w:sz w:val="18"/>
        </w:rPr>
        <w:t xml:space="preserve">        "Pilih dan panggil SATU tool yang paling tepat untuk permintaan pengguna."</w:t>
        <w:br/>
      </w:r>
      <w:r>
        <w:rPr>
          <w:rFonts w:ascii="Courier New" w:hAnsi="Courier New" w:cs="Courier New"/>
          <w:sz w:val="18"/>
        </w:rPr>
        <w:t xml:space="preserve">    ),</w:t>
        <w:br/>
      </w:r>
      <w:r>
        <w:rPr>
          <w:rFonts w:ascii="Courier New" w:hAnsi="Courier New" w:cs="Courier New"/>
          <w:sz w:val="18"/>
        </w:rPr>
        <w:t xml:space="preserve">    tools=[types.Tool(function_declarations=fn_decls)],</w:t>
        <w:br/>
      </w:r>
      <w:r>
        <w:rPr>
          <w:rFonts w:ascii="Courier New" w:hAnsi="Courier New" w:cs="Courier New"/>
          <w:sz w:val="18"/>
        </w:rPr>
        <w:t xml:space="preserve">    tool_config=types.ToolConfig(</w:t>
        <w:br/>
      </w:r>
      <w:r>
        <w:rPr>
          <w:rFonts w:ascii="Courier New" w:hAnsi="Courier New" w:cs="Courier New"/>
          <w:sz w:val="18"/>
        </w:rPr>
        <w:t xml:space="preserve">        function_calling_config=types.FunctionCallingConfig(</w:t>
        <w:br/>
      </w:r>
      <w:r>
        <w:rPr>
          <w:rFonts w:ascii="Courier New" w:hAnsi="Courier New" w:cs="Courier New"/>
          <w:sz w:val="18"/>
        </w:rPr>
        <w:t xml:space="preserve">            mode="ANY",</w:t>
        <w:br/>
      </w:r>
      <w:r>
        <w:rPr>
          <w:rFonts w:ascii="Courier New" w:hAnsi="Courier New" w:cs="Courier New"/>
          <w:sz w:val="18"/>
        </w:rPr>
        <w:t xml:space="preserve">            allowed_function_names=list(tool_names),</w:t>
        <w:br/>
      </w:r>
      <w:r>
        <w:rPr>
          <w:rFonts w:ascii="Courier New" w:hAnsi="Courier New" w:cs="Courier New"/>
          <w:sz w:val="18"/>
        </w:rPr>
        <w:t xml:space="preserve">        )</w:t>
        <w:br/>
      </w:r>
      <w:r>
        <w:rPr>
          <w:rFonts w:ascii="Courier New" w:hAnsi="Courier New" w:cs="Courier New"/>
          <w:sz w:val="18"/>
        </w:rPr>
        <w:t xml:space="preserve">    ),</w:t>
        <w:br/>
      </w:r>
      <w:r>
        <w:rPr>
          <w:rFonts w:ascii="Courier New" w:hAnsi="Courier New" w:cs="Courier New"/>
          <w:sz w:val="18"/>
        </w:rPr>
        <w:t xml:space="preserve">    temperature=0,</w:t>
        <w:br/>
      </w:r>
      <w:r>
        <w:rPr>
          <w:rFonts w:ascii="Courier New" w:hAnsi="Courier New" w:cs="Courier New"/>
          <w:sz w:val="18"/>
        </w:rPr>
        <w:t xml:space="preserve">    max_output_tokens=32,</w:t>
        <w:br/>
      </w:r>
      <w:r>
        <w:rPr>
          <w:rFonts w:ascii="Courier New" w:hAnsi="Courier New" w:cs="Courier New"/>
          <w:sz w:val="18"/>
        </w:rPr>
        <w:t>)</w:t>
      </w:r>
    </w:p>
    <w:p>
      <w:pPr>
        <w:ind w:firstLine="720"/>
        <w:jc w:val="both"/>
      </w:pPr>
      <w:r>
        <w:t xml:space="preserve">Perbedaan tunggal antara mode </w:t>
      </w:r>
      <w:r>
        <w:rPr>
          <w:i/>
        </w:rPr>
        <w:t>baseline</w:t>
      </w:r>
      <w:r>
        <w:t xml:space="preserve"> dan </w:t>
      </w:r>
      <w:r>
        <w:rPr>
          <w:i/>
        </w:rPr>
        <w:t>registry</w:t>
      </w:r>
      <w:r>
        <w:t xml:space="preserve"> terletak pada himpunan </w:t>
      </w:r>
      <w:r>
        <w:rPr>
          <w:rFonts w:ascii="Courier New" w:hAnsi="Courier New"/>
        </w:rPr>
        <w:t>fn_decls</w:t>
      </w:r>
      <w:r>
        <w:t xml:space="preserve">: pada mode </w:t>
      </w:r>
      <w:r>
        <w:rPr>
          <w:i/>
        </w:rPr>
        <w:t>baseline</w:t>
      </w:r>
      <w:r>
        <w:t xml:space="preserve">, himpunan ini berisi seluruh </w:t>
      </w:r>
      <w:r>
        <w:rPr>
          <w:i/>
        </w:rPr>
        <w:t>tool</w:t>
      </w:r>
      <w:r>
        <w:t xml:space="preserve"> katalog (30/100/300), sedangkan pada mode </w:t>
      </w:r>
      <w:r>
        <w:rPr>
          <w:i/>
        </w:rPr>
        <w:t>registry</w:t>
      </w:r>
      <w:r>
        <w:t xml:space="preserve"> himpunan ini merupakan keluaran </w:t>
      </w:r>
      <w:r>
        <w:rPr>
          <w:rFonts w:ascii="Courier New" w:hAnsi="Courier New"/>
        </w:rPr>
        <w:t>registry_filter()</w:t>
      </w:r>
      <w:r>
        <w:t xml:space="preserve"> yang dibatasi 15 </w:t>
      </w:r>
      <w:r>
        <w:rPr>
          <w:i/>
        </w:rPr>
        <w:t>tool</w:t>
      </w:r>
      <w:r>
        <w:t>. Dengan menjaga seluruh parameter lain identik, eksperimen ini mengisolasi dampak penyaringan sebagai satu-satunya perlakuan, sehingga hasil yang dianalisis pada Bab IV dapat diatribusikan secara valid kepada Tool Registry. Untuk meredam kegagalan transien akibat batas laju (</w:t>
      </w:r>
      <w:r>
        <w:rPr>
          <w:i/>
        </w:rPr>
        <w:t>rate limit</w:t>
      </w:r>
      <w:r>
        <w:t xml:space="preserve">) layanan, </w:t>
      </w:r>
      <w:r>
        <w:rPr>
          <w:i/>
        </w:rPr>
        <w:t>backend</w:t>
      </w:r>
      <w:r>
        <w:t xml:space="preserve"> dilengkapi mekanisme </w:t>
      </w:r>
      <w:r>
        <w:rPr>
          <w:i/>
        </w:rPr>
        <w:t>retry</w:t>
      </w:r>
      <w:r>
        <w:t xml:space="preserve"> dengan </w:t>
      </w:r>
      <w:r>
        <w:rPr>
          <w:i/>
        </w:rPr>
        <w:t>exponential backoff</w:t>
      </w:r>
      <w:r>
        <w:t xml:space="preserve"> hingga lima kali percobaan.</w:t>
      </w:r>
    </w:p>
    <w:sectPr w:rsidR="00FC693F" w:rsidRPr="0006063C" w:rsidSect="00034616">
      <w:footerReference w:type="default" r:id="rId9"/>
      <w:pgSz w:w="11906" w:h="16838"/>
      <w:pgMar w:top="1701" w:right="1701" w:bottom="1701" w:left="2268"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center"/>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after="120"/>
      <w:jc w:val="center"/>
    </w:pPr>
    <w:rPr>
      <w:rFonts w:ascii="Times New Roman" w:hAnsi="Times New Roman"/>
      <w:b w:val="0"/>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