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 HASIL DAN ANALISA</w:t>
      </w:r>
    </w:p>
    <w:p>
      <w:pPr>
        <w:ind w:firstLine="720"/>
        <w:jc w:val="both"/>
      </w:pPr>
      <w:r>
        <w:t xml:space="preserve">Bab ini memaparkan dan menganalisis hasil eksperimen Tool Registry, sesuai tahap </w:t>
      </w:r>
      <w:r>
        <w:rPr>
          <w:i/>
        </w:rPr>
        <w:t>demonstration</w:t>
      </w:r>
      <w:r>
        <w:t xml:space="preserve"> dan </w:t>
      </w:r>
      <w:r>
        <w:rPr>
          <w:i/>
        </w:rPr>
        <w:t>evaluation</w:t>
      </w:r>
      <w:r>
        <w:t xml:space="preserve"> pada kerangka </w:t>
      </w:r>
      <w:r>
        <w:rPr>
          <w:i/>
        </w:rPr>
        <w:t>Design Science Research</w:t>
      </w:r>
      <w:r>
        <w:t xml:space="preserve">. Pembahasan diawali oleh hasil </w:t>
      </w:r>
      <w:r>
        <w:rPr>
          <w:i/>
        </w:rPr>
        <w:t>benchmark</w:t>
      </w:r>
      <w:r>
        <w:t xml:space="preserve"> synthetic sebagai validasi aritmetika, dilanjutkan hasil resmi eksperimen </w:t>
      </w:r>
      <w:r>
        <w:rPr>
          <w:i/>
        </w:rPr>
        <w:t>live</w:t>
      </w:r>
      <w:r>
        <w:t xml:space="preserve"> Gemini Native v2 (n=558), lalu analisis terperinci atas lima dimensi pengukuran — penghematan token, akurasi pemilihan </w:t>
      </w:r>
      <w:r>
        <w:rPr>
          <w:i/>
        </w:rPr>
        <w:t>tool</w:t>
      </w:r>
      <w:r>
        <w:t xml:space="preserve">, skalabilitas </w:t>
      </w:r>
      <w:r>
        <w:rPr>
          <w:i/>
        </w:rPr>
        <w:t>sub-linear</w:t>
      </w:r>
      <w:r>
        <w:t>, jejak memori, dan latensi — yang ditutup dengan uji statistik, analisis kegagalan, serta catatan validasi multi-model.</w:t>
      </w:r>
    </w:p>
    <w:p>
      <w:pPr>
        <w:pStyle w:val="Heading2"/>
      </w:pPr>
      <w:r>
        <w:t>4.1 Hasil Benchmark Synthetic S1–S4</w:t>
      </w:r>
    </w:p>
    <w:p>
      <w:pPr>
        <w:ind w:firstLine="720"/>
        <w:jc w:val="both"/>
      </w:pPr>
      <w:r>
        <w:rPr>
          <w:i/>
        </w:rPr>
        <w:t>Benchmark</w:t>
      </w:r>
      <w:r>
        <w:t xml:space="preserve"> synthetic dijalankan secara deterministik untuk memvalidasi aritmetika penghematan token dan mengekstrapolasi tren ke skenario S4 (1.000 </w:t>
      </w:r>
      <w:r>
        <w:rPr>
          <w:i/>
        </w:rPr>
        <w:t>tool</w:t>
      </w:r>
      <w:r>
        <w:t xml:space="preserve">) yang tidak dijalankan secara </w:t>
      </w:r>
      <w:r>
        <w:rPr>
          <w:i/>
        </w:rPr>
        <w:t>live</w:t>
      </w:r>
      <w:r>
        <w:t xml:space="preserve">. Pada </w:t>
      </w:r>
      <w:r>
        <w:rPr>
          <w:i/>
        </w:rPr>
        <w:t>benchmark</w:t>
      </w:r>
      <w:r>
        <w:t xml:space="preserve"> ini, nilai token merupakan hasil perhitungan deterministik yang valid, sedangkan nilai akurasi dan latensi merupakan simulasi dengan koefisien asumsi — sehingga hasil synthetic hanya digunakan untuk mengilustrasikan tren penskalaan, bukan sebagai temuan utama. Ringkasan token </w:t>
      </w:r>
      <w:r>
        <w:rPr>
          <w:i/>
        </w:rPr>
        <w:t>benchmark</w:t>
      </w:r>
      <w:r>
        <w:t xml:space="preserve"> synthetic disajikan pada Tabel 4.1.</w:t>
      </w:r>
    </w:p>
    <w:p>
      <w:pPr>
        <w:pStyle w:val="Caption"/>
        <w:keepNext/>
        <w:jc w:val="center"/>
      </w:pPr>
      <w:r>
        <w:t>Tabel 4.</w:t>
      </w:r>
      <w:fldSimple w:instr=" SEQ Tabel \r 1 \* ARABIC ">
        <w:r>
          <w:t>1</w:t>
        </w:r>
      </w:fldSimple>
      <w:r>
        <w:t xml:space="preserve"> Hasil Benchmark Synthetic Token S1–S4</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Skenario</w:t>
            </w:r>
          </w:p>
        </w:tc>
        <w:tc>
          <w:tcPr>
            <w:tcW w:type="dxa" w:w="1587"/>
            <w:tcBorders>
              <w:top w:val="none"/>
              <w:bottom w:val="single" w:sz="8" w:space="0" w:color="000000"/>
              <w:left w:val="none"/>
              <w:right w:val="none"/>
            </w:tcBorders>
          </w:tcPr>
          <w:p>
            <w:pPr>
              <w:spacing w:line="240" w:lineRule="auto" w:after="0"/>
            </w:pPr>
            <w:r>
              <w:rPr>
                <w:b/>
                <w:sz w:val="20"/>
              </w:rPr>
            </w:r>
            <w:r>
              <w:rPr>
                <w:b/>
                <w:sz w:val="20"/>
              </w:rPr>
              <w:t>Total Tool</w:t>
            </w:r>
          </w:p>
        </w:tc>
        <w:tc>
          <w:tcPr>
            <w:tcW w:type="dxa" w:w="1587"/>
            <w:tcBorders>
              <w:top w:val="none"/>
              <w:bottom w:val="single" w:sz="8" w:space="0" w:color="000000"/>
              <w:left w:val="none"/>
              <w:right w:val="none"/>
            </w:tcBorders>
          </w:tcPr>
          <w:p>
            <w:pPr>
              <w:spacing w:line="240" w:lineRule="auto" w:after="0"/>
            </w:pPr>
            <w:r>
              <w:rPr>
                <w:b/>
                <w:sz w:val="20"/>
              </w:rPr>
            </w:r>
            <w:r>
              <w:rPr>
                <w:b/>
                <w:sz w:val="20"/>
              </w:rPr>
              <w:t>Token Baseline</w:t>
            </w:r>
          </w:p>
        </w:tc>
        <w:tc>
          <w:tcPr>
            <w:tcW w:type="dxa" w:w="1587"/>
            <w:tcBorders>
              <w:top w:val="none"/>
              <w:bottom w:val="single" w:sz="8" w:space="0" w:color="000000"/>
              <w:left w:val="none"/>
              <w:right w:val="none"/>
            </w:tcBorders>
          </w:tcPr>
          <w:p>
            <w:pPr>
              <w:spacing w:line="240" w:lineRule="auto" w:after="0"/>
            </w:pPr>
            <w:r>
              <w:rPr>
                <w:b/>
                <w:sz w:val="20"/>
              </w:rPr>
            </w:r>
            <w:r>
              <w:rPr>
                <w:b/>
                <w:sz w:val="20"/>
              </w:rPr>
              <w:t>Token Registry</w:t>
            </w:r>
          </w:p>
        </w:tc>
        <w:tc>
          <w:tcPr>
            <w:tcW w:type="dxa" w:w="1587"/>
            <w:tcBorders>
              <w:top w:val="none"/>
              <w:bottom w:val="single" w:sz="8" w:space="0" w:color="000000"/>
              <w:left w:val="none"/>
              <w:right w:val="none"/>
            </w:tcBorders>
          </w:tcPr>
          <w:p>
            <w:pPr>
              <w:spacing w:line="240" w:lineRule="auto" w:after="0"/>
            </w:pPr>
            <w:r>
              <w:rPr>
                <w:b/>
                <w:sz w:val="20"/>
              </w:rPr>
            </w:r>
            <w:r>
              <w:rPr>
                <w:b/>
                <w:sz w:val="20"/>
              </w:rPr>
              <w:t>Reduksi</w:t>
            </w:r>
          </w:p>
        </w:tc>
      </w:tr>
      <w:tr>
        <w:trPr>
          <w:cantSplit/>
        </w:trPr>
        <w:tc>
          <w:tcPr>
            <w:tcW w:type="dxa" w:w="1587"/>
          </w:tcPr>
          <w:p>
            <w:pPr>
              <w:spacing w:line="240" w:lineRule="auto" w:after="0"/>
            </w:pPr>
            <w:r>
              <w:rPr>
                <w:sz w:val="20"/>
              </w:rPr>
            </w:r>
            <w:r>
              <w:rPr>
                <w:sz w:val="20"/>
              </w:rPr>
              <w:t>S1</w:t>
            </w:r>
          </w:p>
        </w:tc>
        <w:tc>
          <w:tcPr>
            <w:tcW w:type="dxa" w:w="1587"/>
          </w:tcPr>
          <w:p>
            <w:pPr>
              <w:spacing w:line="240" w:lineRule="auto" w:after="0"/>
            </w:pPr>
            <w:r>
              <w:rPr>
                <w:sz w:val="20"/>
              </w:rPr>
            </w:r>
            <w:r>
              <w:rPr>
                <w:sz w:val="20"/>
              </w:rPr>
              <w:t>30</w:t>
            </w:r>
          </w:p>
        </w:tc>
        <w:tc>
          <w:tcPr>
            <w:tcW w:type="dxa" w:w="1587"/>
          </w:tcPr>
          <w:p>
            <w:pPr>
              <w:spacing w:line="240" w:lineRule="auto" w:after="0"/>
            </w:pPr>
            <w:r>
              <w:rPr>
                <w:sz w:val="20"/>
              </w:rPr>
            </w:r>
            <w:r>
              <w:rPr>
                <w:sz w:val="20"/>
              </w:rPr>
              <w:t>3.423</w:t>
            </w:r>
          </w:p>
        </w:tc>
        <w:tc>
          <w:tcPr>
            <w:tcW w:type="dxa" w:w="1587"/>
          </w:tcPr>
          <w:p>
            <w:pPr>
              <w:spacing w:line="240" w:lineRule="auto" w:after="0"/>
            </w:pPr>
            <w:r>
              <w:rPr>
                <w:sz w:val="20"/>
              </w:rPr>
            </w:r>
            <w:r>
              <w:rPr>
                <w:sz w:val="20"/>
              </w:rPr>
              <w:t>1.560</w:t>
            </w:r>
          </w:p>
        </w:tc>
        <w:tc>
          <w:tcPr>
            <w:tcW w:type="dxa" w:w="1587"/>
          </w:tcPr>
          <w:p>
            <w:pPr>
              <w:spacing w:line="240" w:lineRule="auto" w:after="0"/>
            </w:pPr>
            <w:r>
              <w:rPr>
                <w:sz w:val="20"/>
              </w:rPr>
            </w:r>
            <w:r>
              <w:rPr>
                <w:sz w:val="20"/>
              </w:rPr>
              <w:t>−54%</w:t>
            </w:r>
          </w:p>
        </w:tc>
      </w:tr>
      <w:tr>
        <w:trPr>
          <w:cantSplit/>
        </w:trPr>
        <w:tc>
          <w:tcPr>
            <w:tcW w:type="dxa" w:w="1587"/>
          </w:tcPr>
          <w:p>
            <w:pPr>
              <w:spacing w:line="240" w:lineRule="auto" w:after="0"/>
            </w:pPr>
            <w:r>
              <w:rPr>
                <w:sz w:val="20"/>
              </w:rPr>
            </w:r>
            <w:r>
              <w:rPr>
                <w:sz w:val="20"/>
              </w:rPr>
              <w:t>S2</w:t>
            </w:r>
          </w:p>
        </w:tc>
        <w:tc>
          <w:tcPr>
            <w:tcW w:type="dxa" w:w="1587"/>
          </w:tcPr>
          <w:p>
            <w:pPr>
              <w:spacing w:line="240" w:lineRule="auto" w:after="0"/>
            </w:pPr>
            <w:r>
              <w:rPr>
                <w:sz w:val="20"/>
              </w:rPr>
            </w:r>
            <w:r>
              <w:rPr>
                <w:sz w:val="20"/>
              </w:rPr>
              <w:t>100</w:t>
            </w:r>
          </w:p>
        </w:tc>
        <w:tc>
          <w:tcPr>
            <w:tcW w:type="dxa" w:w="1587"/>
          </w:tcPr>
          <w:p>
            <w:pPr>
              <w:spacing w:line="240" w:lineRule="auto" w:after="0"/>
            </w:pPr>
            <w:r>
              <w:rPr>
                <w:sz w:val="20"/>
              </w:rPr>
            </w:r>
            <w:r>
              <w:rPr>
                <w:sz w:val="20"/>
              </w:rPr>
              <w:t>10.410</w:t>
            </w:r>
          </w:p>
        </w:tc>
        <w:tc>
          <w:tcPr>
            <w:tcW w:type="dxa" w:w="1587"/>
          </w:tcPr>
          <w:p>
            <w:pPr>
              <w:spacing w:line="240" w:lineRule="auto" w:after="0"/>
            </w:pPr>
            <w:r>
              <w:rPr>
                <w:sz w:val="20"/>
              </w:rPr>
            </w:r>
            <w:r>
              <w:rPr>
                <w:sz w:val="20"/>
              </w:rPr>
              <w:t>1.969</w:t>
            </w:r>
          </w:p>
        </w:tc>
        <w:tc>
          <w:tcPr>
            <w:tcW w:type="dxa" w:w="1587"/>
          </w:tcPr>
          <w:p>
            <w:pPr>
              <w:spacing w:line="240" w:lineRule="auto" w:after="0"/>
            </w:pPr>
            <w:r>
              <w:rPr>
                <w:sz w:val="20"/>
              </w:rPr>
            </w:r>
            <w:r>
              <w:rPr>
                <w:sz w:val="20"/>
              </w:rPr>
              <w:t>−81%</w:t>
            </w:r>
          </w:p>
        </w:tc>
      </w:tr>
      <w:tr>
        <w:trPr>
          <w:cantSplit/>
        </w:trPr>
        <w:tc>
          <w:tcPr>
            <w:tcW w:type="dxa" w:w="1587"/>
          </w:tcPr>
          <w:p>
            <w:pPr>
              <w:spacing w:line="240" w:lineRule="auto" w:after="0"/>
            </w:pPr>
            <w:r>
              <w:rPr>
                <w:sz w:val="20"/>
              </w:rPr>
            </w:r>
            <w:r>
              <w:rPr>
                <w:sz w:val="20"/>
              </w:rPr>
              <w:t>S3</w:t>
            </w:r>
          </w:p>
        </w:tc>
        <w:tc>
          <w:tcPr>
            <w:tcW w:type="dxa" w:w="1587"/>
          </w:tcPr>
          <w:p>
            <w:pPr>
              <w:spacing w:line="240" w:lineRule="auto" w:after="0"/>
            </w:pPr>
            <w:r>
              <w:rPr>
                <w:sz w:val="20"/>
              </w:rPr>
            </w:r>
            <w:r>
              <w:rPr>
                <w:sz w:val="20"/>
              </w:rPr>
              <w:t>300</w:t>
            </w:r>
          </w:p>
        </w:tc>
        <w:tc>
          <w:tcPr>
            <w:tcW w:type="dxa" w:w="1587"/>
          </w:tcPr>
          <w:p>
            <w:pPr>
              <w:spacing w:line="240" w:lineRule="auto" w:after="0"/>
            </w:pPr>
            <w:r>
              <w:rPr>
                <w:sz w:val="20"/>
              </w:rPr>
            </w:r>
            <w:r>
              <w:rPr>
                <w:sz w:val="20"/>
              </w:rPr>
              <w:t>30.496</w:t>
            </w:r>
          </w:p>
        </w:tc>
        <w:tc>
          <w:tcPr>
            <w:tcW w:type="dxa" w:w="1587"/>
          </w:tcPr>
          <w:p>
            <w:pPr>
              <w:spacing w:line="240" w:lineRule="auto" w:after="0"/>
            </w:pPr>
            <w:r>
              <w:rPr>
                <w:sz w:val="20"/>
              </w:rPr>
            </w:r>
            <w:r>
              <w:rPr>
                <w:sz w:val="20"/>
              </w:rPr>
              <w:t>1.971</w:t>
            </w:r>
          </w:p>
        </w:tc>
        <w:tc>
          <w:tcPr>
            <w:tcW w:type="dxa" w:w="1587"/>
          </w:tcPr>
          <w:p>
            <w:pPr>
              <w:spacing w:line="240" w:lineRule="auto" w:after="0"/>
            </w:pPr>
            <w:r>
              <w:rPr>
                <w:sz w:val="20"/>
              </w:rPr>
            </w:r>
            <w:r>
              <w:rPr>
                <w:sz w:val="20"/>
              </w:rPr>
              <w:t>−94%</w:t>
            </w:r>
          </w:p>
        </w:tc>
      </w:tr>
      <w:tr>
        <w:trPr>
          <w:cantSplit/>
        </w:trPr>
        <w:tc>
          <w:tcPr>
            <w:tcW w:type="dxa" w:w="1587"/>
          </w:tcPr>
          <w:p>
            <w:pPr>
              <w:spacing w:line="240" w:lineRule="auto" w:after="0"/>
            </w:pPr>
            <w:r>
              <w:rPr>
                <w:sz w:val="20"/>
              </w:rPr>
            </w:r>
            <w:r>
              <w:rPr>
                <w:sz w:val="20"/>
              </w:rPr>
              <w:t>S4</w:t>
            </w:r>
          </w:p>
        </w:tc>
        <w:tc>
          <w:tcPr>
            <w:tcW w:type="dxa" w:w="1587"/>
          </w:tcPr>
          <w:p>
            <w:pPr>
              <w:spacing w:line="240" w:lineRule="auto" w:after="0"/>
            </w:pPr>
            <w:r>
              <w:rPr>
                <w:sz w:val="20"/>
              </w:rPr>
            </w:r>
            <w:r>
              <w:rPr>
                <w:sz w:val="20"/>
              </w:rPr>
              <w:t>1.000</w:t>
            </w:r>
          </w:p>
        </w:tc>
        <w:tc>
          <w:tcPr>
            <w:tcW w:type="dxa" w:w="1587"/>
          </w:tcPr>
          <w:p>
            <w:pPr>
              <w:spacing w:line="240" w:lineRule="auto" w:after="0"/>
            </w:pPr>
            <w:r>
              <w:rPr>
                <w:sz w:val="20"/>
              </w:rPr>
            </w:r>
            <w:r>
              <w:rPr>
                <w:sz w:val="20"/>
              </w:rPr>
              <w:t>101.970</w:t>
            </w:r>
          </w:p>
        </w:tc>
        <w:tc>
          <w:tcPr>
            <w:tcW w:type="dxa" w:w="1587"/>
          </w:tcPr>
          <w:p>
            <w:pPr>
              <w:spacing w:line="240" w:lineRule="auto" w:after="0"/>
            </w:pPr>
            <w:r>
              <w:rPr>
                <w:sz w:val="20"/>
              </w:rPr>
            </w:r>
            <w:r>
              <w:rPr>
                <w:sz w:val="20"/>
              </w:rPr>
              <w:t>2.014</w:t>
            </w:r>
          </w:p>
        </w:tc>
        <w:tc>
          <w:tcPr>
            <w:tcW w:type="dxa" w:w="1587"/>
          </w:tcPr>
          <w:p>
            <w:pPr>
              <w:spacing w:line="240" w:lineRule="auto" w:after="0"/>
            </w:pPr>
            <w:r>
              <w:rPr>
                <w:sz w:val="20"/>
              </w:rPr>
            </w:r>
            <w:r>
              <w:rPr>
                <w:sz w:val="20"/>
              </w:rPr>
              <w:t>−98%</w:t>
            </w:r>
          </w:p>
        </w:tc>
      </w:tr>
    </w:tbl>
    <w:p>
      <w:pPr>
        <w:ind w:firstLine="720"/>
        <w:jc w:val="both"/>
      </w:pPr>
      <w:r>
        <w:t xml:space="preserve">Berdasarkan Tabel 4.1, terlihat pola yang konsisten: token </w:t>
      </w:r>
      <w:r>
        <w:rPr>
          <w:i/>
        </w:rPr>
        <w:t>baseline</w:t>
      </w:r>
      <w:r>
        <w:t xml:space="preserve"> tumbuh hampir linear terhadap ukuran katalog — dari 3.423 token (30 </w:t>
      </w:r>
      <w:r>
        <w:rPr>
          <w:i/>
        </w:rPr>
        <w:t>tool</w:t>
      </w:r>
      <w:r>
        <w:t xml:space="preserve">) hingga 101.970 token (1.000 </w:t>
      </w:r>
      <w:r>
        <w:rPr>
          <w:i/>
        </w:rPr>
        <w:t>tool</w:t>
      </w:r>
      <w:r>
        <w:t xml:space="preserve">) — sedangkan token </w:t>
      </w:r>
      <w:r>
        <w:rPr>
          <w:i/>
        </w:rPr>
        <w:t>registry</w:t>
      </w:r>
      <w:r>
        <w:t xml:space="preserve"> tetap berada pada kisaran 1.560–2.014 token meskipun katalog membesar 33 kali lipat. Pada S4, </w:t>
      </w:r>
      <w:r>
        <w:rPr>
          <w:i/>
        </w:rPr>
        <w:t>benchmark</w:t>
      </w:r>
      <w:r>
        <w:t xml:space="preserve"> synthetic memproyeksikan penghematan token mencapai 98%, menegaskan bahwa keunggulan Tool Registry justru semakin besar seiring bertambahnya ukuran katalog. Tren ekstrapolatif inilah yang kemudian diverifikasi secara empiris melalui eksperimen </w:t>
      </w:r>
      <w:r>
        <w:rPr>
          <w:i/>
        </w:rPr>
        <w:t>live</w:t>
      </w:r>
      <w:r>
        <w:t xml:space="preserve"> pada Sub-bab 4.2.</w:t>
      </w:r>
    </w:p>
    <w:p>
      <w:pPr>
        <w:pStyle w:val="Heading2"/>
      </w:pPr>
      <w:r>
        <w:t>4.2 Hasil Gemini Native v2 (Hasil Resmi)</w:t>
      </w:r>
    </w:p>
    <w:p>
      <w:pPr>
        <w:ind w:firstLine="720"/>
        <w:jc w:val="both"/>
      </w:pPr>
      <w:r>
        <w:t xml:space="preserve">Eksperimen resmi dijalankan secara </w:t>
      </w:r>
      <w:r>
        <w:rPr>
          <w:i/>
        </w:rPr>
        <w:t>live</w:t>
      </w:r>
      <w:r>
        <w:t xml:space="preserve"> terhadap Gemini 2.5 Flash Lite dengan </w:t>
      </w:r>
      <w:r>
        <w:rPr>
          <w:i/>
        </w:rPr>
        <w:t>native function calling</w:t>
      </w:r>
      <w:r>
        <w:t xml:space="preserve">, menghasilkan total 558 rekaman (279 </w:t>
      </w:r>
      <w:r>
        <w:rPr>
          <w:i/>
        </w:rPr>
        <w:t>baseline</w:t>
      </w:r>
      <w:r>
        <w:t xml:space="preserve"> + 279 </w:t>
      </w:r>
      <w:r>
        <w:rPr>
          <w:i/>
        </w:rPr>
        <w:t>registry</w:t>
      </w:r>
      <w:r>
        <w:t>) dari 100 kueri pada skenario S1–S3 dengan tiga pengulangan. Ringkasan lengkap seluruh metrik disajikan pada Tabel 4.2.</w:t>
      </w:r>
    </w:p>
    <w:p>
      <w:pPr>
        <w:pStyle w:val="Caption"/>
        <w:keepNext/>
        <w:jc w:val="center"/>
      </w:pPr>
      <w:r>
        <w:t>Tabel 4.</w:t>
      </w:r>
      <w:fldSimple w:instr=" SEQ Tabel \* ARABIC ">
        <w:r>
          <w:t>1</w:t>
        </w:r>
      </w:fldSimple>
      <w:r>
        <w:t xml:space="preserve"> Ringkasan Hasil Resmi Gemini Native v2</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134"/>
        <w:gridCol w:w="1134"/>
        <w:gridCol w:w="1134"/>
        <w:gridCol w:w="1134"/>
        <w:gridCol w:w="1134"/>
        <w:gridCol w:w="1134"/>
        <w:gridCol w:w="1134"/>
      </w:tblGrid>
      <w:tr>
        <w:trPr>
          <w:cantSplit/>
          <w:tblHeader/>
        </w:trPr>
        <w:tc>
          <w:tcPr>
            <w:tcW w:type="dxa" w:w="1134"/>
            <w:tcBorders>
              <w:top w:val="none"/>
              <w:bottom w:val="single" w:sz="8" w:space="0" w:color="000000"/>
              <w:left w:val="none"/>
              <w:right w:val="none"/>
            </w:tcBorders>
          </w:tcPr>
          <w:p>
            <w:pPr>
              <w:spacing w:line="240" w:lineRule="auto" w:after="0"/>
            </w:pPr>
            <w:r>
              <w:rPr>
                <w:b/>
                <w:sz w:val="20"/>
              </w:rPr>
            </w:r>
            <w:r>
              <w:rPr>
                <w:b/>
                <w:sz w:val="20"/>
              </w:rPr>
              <w:t>Skenario</w:t>
            </w:r>
          </w:p>
        </w:tc>
        <w:tc>
          <w:tcPr>
            <w:tcW w:type="dxa" w:w="1134"/>
            <w:tcBorders>
              <w:top w:val="none"/>
              <w:bottom w:val="single" w:sz="8" w:space="0" w:color="000000"/>
              <w:left w:val="none"/>
              <w:right w:val="none"/>
            </w:tcBorders>
          </w:tcPr>
          <w:p>
            <w:pPr>
              <w:spacing w:line="240" w:lineRule="auto" w:after="0"/>
            </w:pPr>
            <w:r>
              <w:rPr>
                <w:b/>
                <w:sz w:val="20"/>
              </w:rPr>
            </w:r>
            <w:r>
              <w:rPr>
                <w:b/>
                <w:sz w:val="20"/>
              </w:rPr>
              <w:t>Mode</w:t>
            </w:r>
          </w:p>
        </w:tc>
        <w:tc>
          <w:tcPr>
            <w:tcW w:type="dxa" w:w="1134"/>
            <w:tcBorders>
              <w:top w:val="none"/>
              <w:bottom w:val="single" w:sz="8" w:space="0" w:color="000000"/>
              <w:left w:val="none"/>
              <w:right w:val="none"/>
            </w:tcBorders>
          </w:tcPr>
          <w:p>
            <w:pPr>
              <w:spacing w:line="240" w:lineRule="auto" w:after="0"/>
            </w:pPr>
            <w:r>
              <w:rPr>
                <w:b/>
                <w:sz w:val="20"/>
              </w:rPr>
            </w:r>
            <w:r>
              <w:rPr>
                <w:b/>
                <w:sz w:val="20"/>
              </w:rPr>
              <w:t>Total Tool</w:t>
            </w:r>
          </w:p>
        </w:tc>
        <w:tc>
          <w:tcPr>
            <w:tcW w:type="dxa" w:w="1134"/>
            <w:tcBorders>
              <w:top w:val="none"/>
              <w:bottom w:val="single" w:sz="8" w:space="0" w:color="000000"/>
              <w:left w:val="none"/>
              <w:right w:val="none"/>
            </w:tcBorders>
          </w:tcPr>
          <w:p>
            <w:pPr>
              <w:spacing w:line="240" w:lineRule="auto" w:after="0"/>
            </w:pPr>
            <w:r>
              <w:rPr>
                <w:b/>
                <w:sz w:val="20"/>
              </w:rPr>
            </w:r>
            <w:r>
              <w:rPr>
                <w:b/>
                <w:sz w:val="20"/>
              </w:rPr>
              <w:t>Tool Terlihat</w:t>
            </w:r>
          </w:p>
        </w:tc>
        <w:tc>
          <w:tcPr>
            <w:tcW w:type="dxa" w:w="1134"/>
            <w:tcBorders>
              <w:top w:val="none"/>
              <w:bottom w:val="single" w:sz="8" w:space="0" w:color="000000"/>
              <w:left w:val="none"/>
              <w:right w:val="none"/>
            </w:tcBorders>
          </w:tcPr>
          <w:p>
            <w:pPr>
              <w:spacing w:line="240" w:lineRule="auto" w:after="0"/>
            </w:pPr>
            <w:r>
              <w:rPr>
                <w:b/>
                <w:sz w:val="20"/>
              </w:rPr>
            </w:r>
            <w:r>
              <w:rPr>
                <w:b/>
                <w:sz w:val="20"/>
              </w:rPr>
              <w:t>Token</w:t>
            </w:r>
          </w:p>
        </w:tc>
        <w:tc>
          <w:tcPr>
            <w:tcW w:type="dxa" w:w="1134"/>
            <w:tcBorders>
              <w:top w:val="none"/>
              <w:bottom w:val="single" w:sz="8" w:space="0" w:color="000000"/>
              <w:left w:val="none"/>
              <w:right w:val="none"/>
            </w:tcBorders>
          </w:tcPr>
          <w:p>
            <w:pPr>
              <w:spacing w:line="240" w:lineRule="auto" w:after="0"/>
            </w:pPr>
            <w:r>
              <w:rPr>
                <w:b/>
                <w:sz w:val="20"/>
              </w:rPr>
            </w:r>
            <w:r>
              <w:rPr>
                <w:b/>
                <w:sz w:val="20"/>
              </w:rPr>
              <w:t>Akurasi</w:t>
            </w:r>
          </w:p>
        </w:tc>
        <w:tc>
          <w:tcPr>
            <w:tcW w:type="dxa" w:w="1134"/>
            <w:tcBorders>
              <w:top w:val="none"/>
              <w:bottom w:val="single" w:sz="8" w:space="0" w:color="000000"/>
              <w:left w:val="none"/>
              <w:right w:val="none"/>
            </w:tcBorders>
          </w:tcPr>
          <w:p>
            <w:pPr>
              <w:spacing w:line="240" w:lineRule="auto" w:after="0"/>
            </w:pPr>
            <w:r>
              <w:rPr>
                <w:b/>
                <w:sz w:val="20"/>
              </w:rPr>
            </w:r>
            <w:r>
              <w:rPr>
                <w:b/>
                <w:sz w:val="20"/>
              </w:rPr>
              <w:t>Latensi p50</w:t>
            </w:r>
          </w:p>
        </w:tc>
      </w:tr>
      <w:tr>
        <w:trPr>
          <w:cantSplit/>
        </w:trPr>
        <w:tc>
          <w:tcPr>
            <w:tcW w:type="dxa" w:w="1134"/>
          </w:tcPr>
          <w:p>
            <w:pPr>
              <w:spacing w:line="240" w:lineRule="auto" w:after="0"/>
            </w:pPr>
            <w:r>
              <w:rPr>
                <w:sz w:val="20"/>
              </w:rPr>
            </w:r>
            <w:r>
              <w:rPr>
                <w:sz w:val="20"/>
              </w:rPr>
              <w:t>S1</w:t>
            </w:r>
          </w:p>
        </w:tc>
        <w:tc>
          <w:tcPr>
            <w:tcW w:type="dxa" w:w="1134"/>
          </w:tcPr>
          <w:p>
            <w:pPr>
              <w:spacing w:line="240" w:lineRule="auto" w:after="0"/>
            </w:pPr>
            <w:r>
              <w:rPr>
                <w:sz w:val="20"/>
              </w:rPr>
            </w:r>
            <w:r>
              <w:rPr>
                <w:sz w:val="20"/>
              </w:rPr>
              <w:t>Baseline</w:t>
            </w:r>
          </w:p>
        </w:tc>
        <w:tc>
          <w:tcPr>
            <w:tcW w:type="dxa" w:w="1134"/>
          </w:tcPr>
          <w:p>
            <w:pPr>
              <w:spacing w:line="240" w:lineRule="auto" w:after="0"/>
            </w:pPr>
            <w:r>
              <w:rPr>
                <w:sz w:val="20"/>
              </w:rPr>
            </w:r>
            <w:r>
              <w:rPr>
                <w:sz w:val="20"/>
              </w:rPr>
              <w:t>30</w:t>
            </w:r>
          </w:p>
        </w:tc>
        <w:tc>
          <w:tcPr>
            <w:tcW w:type="dxa" w:w="1134"/>
          </w:tcPr>
          <w:p>
            <w:pPr>
              <w:spacing w:line="240" w:lineRule="auto" w:after="0"/>
            </w:pPr>
            <w:r>
              <w:rPr>
                <w:sz w:val="20"/>
              </w:rPr>
            </w:r>
            <w:r>
              <w:rPr>
                <w:sz w:val="20"/>
              </w:rPr>
              <w:t>30</w:t>
            </w:r>
          </w:p>
        </w:tc>
        <w:tc>
          <w:tcPr>
            <w:tcW w:type="dxa" w:w="1134"/>
          </w:tcPr>
          <w:p>
            <w:pPr>
              <w:spacing w:line="240" w:lineRule="auto" w:after="0"/>
            </w:pPr>
            <w:r>
              <w:rPr>
                <w:sz w:val="20"/>
              </w:rPr>
            </w:r>
            <w:r>
              <w:rPr>
                <w:sz w:val="20"/>
              </w:rPr>
              <w:t>2.426</w:t>
            </w:r>
          </w:p>
        </w:tc>
        <w:tc>
          <w:tcPr>
            <w:tcW w:type="dxa" w:w="1134"/>
          </w:tcPr>
          <w:p>
            <w:pPr>
              <w:spacing w:line="240" w:lineRule="auto" w:after="0"/>
            </w:pPr>
            <w:r>
              <w:rPr>
                <w:sz w:val="20"/>
              </w:rPr>
            </w:r>
            <w:r>
              <w:rPr>
                <w:sz w:val="20"/>
              </w:rPr>
              <w:t>68,8%</w:t>
            </w:r>
          </w:p>
        </w:tc>
        <w:tc>
          <w:tcPr>
            <w:tcW w:type="dxa" w:w="1134"/>
          </w:tcPr>
          <w:p>
            <w:pPr>
              <w:spacing w:line="240" w:lineRule="auto" w:after="0"/>
            </w:pPr>
            <w:r>
              <w:rPr>
                <w:sz w:val="20"/>
              </w:rPr>
            </w:r>
            <w:r>
              <w:rPr>
                <w:sz w:val="20"/>
              </w:rPr>
              <w:t>833 ms</w:t>
            </w:r>
          </w:p>
        </w:tc>
      </w:tr>
      <w:tr>
        <w:trPr>
          <w:cantSplit/>
        </w:trPr>
        <w:tc>
          <w:tcPr>
            <w:tcW w:type="dxa" w:w="1134"/>
          </w:tcPr>
          <w:p>
            <w:pPr>
              <w:spacing w:line="240" w:lineRule="auto" w:after="0"/>
            </w:pPr>
            <w:r>
              <w:rPr>
                <w:sz w:val="20"/>
              </w:rPr>
            </w:r>
            <w:r>
              <w:rPr>
                <w:sz w:val="20"/>
              </w:rPr>
              <w:t>S1</w:t>
            </w:r>
          </w:p>
        </w:tc>
        <w:tc>
          <w:tcPr>
            <w:tcW w:type="dxa" w:w="1134"/>
          </w:tcPr>
          <w:p>
            <w:pPr>
              <w:spacing w:line="240" w:lineRule="auto" w:after="0"/>
            </w:pPr>
            <w:r>
              <w:rPr>
                <w:sz w:val="20"/>
              </w:rPr>
            </w:r>
            <w:r>
              <w:rPr>
                <w:sz w:val="20"/>
              </w:rPr>
              <w:t>Registry</w:t>
            </w:r>
          </w:p>
        </w:tc>
        <w:tc>
          <w:tcPr>
            <w:tcW w:type="dxa" w:w="1134"/>
          </w:tcPr>
          <w:p>
            <w:pPr>
              <w:spacing w:line="240" w:lineRule="auto" w:after="0"/>
            </w:pPr>
            <w:r>
              <w:rPr>
                <w:sz w:val="20"/>
              </w:rPr>
            </w:r>
            <w:r>
              <w:rPr>
                <w:sz w:val="20"/>
              </w:rPr>
              <w:t>30</w:t>
            </w:r>
          </w:p>
        </w:tc>
        <w:tc>
          <w:tcPr>
            <w:tcW w:type="dxa" w:w="1134"/>
          </w:tcPr>
          <w:p>
            <w:pPr>
              <w:spacing w:line="240" w:lineRule="auto" w:after="0"/>
            </w:pPr>
            <w:r>
              <w:rPr>
                <w:sz w:val="20"/>
              </w:rPr>
            </w:r>
            <w:r>
              <w:rPr>
                <w:sz w:val="20"/>
              </w:rPr>
              <w:t>10,6</w:t>
            </w:r>
          </w:p>
        </w:tc>
        <w:tc>
          <w:tcPr>
            <w:tcW w:type="dxa" w:w="1134"/>
          </w:tcPr>
          <w:p>
            <w:pPr>
              <w:spacing w:line="240" w:lineRule="auto" w:after="0"/>
            </w:pPr>
            <w:r>
              <w:rPr>
                <w:sz w:val="20"/>
              </w:rPr>
            </w:r>
            <w:r>
              <w:rPr>
                <w:sz w:val="20"/>
              </w:rPr>
              <w:t>893</w:t>
            </w:r>
          </w:p>
        </w:tc>
        <w:tc>
          <w:tcPr>
            <w:tcW w:type="dxa" w:w="1134"/>
          </w:tcPr>
          <w:p>
            <w:pPr>
              <w:spacing w:line="240" w:lineRule="auto" w:after="0"/>
            </w:pPr>
            <w:r>
              <w:rPr>
                <w:sz w:val="20"/>
              </w:rPr>
            </w:r>
            <w:r>
              <w:rPr>
                <w:sz w:val="20"/>
              </w:rPr>
              <w:t>75,0%</w:t>
            </w:r>
          </w:p>
        </w:tc>
        <w:tc>
          <w:tcPr>
            <w:tcW w:type="dxa" w:w="1134"/>
          </w:tcPr>
          <w:p>
            <w:pPr>
              <w:spacing w:line="240" w:lineRule="auto" w:after="0"/>
            </w:pPr>
            <w:r>
              <w:rPr>
                <w:sz w:val="20"/>
              </w:rPr>
            </w:r>
            <w:r>
              <w:rPr>
                <w:sz w:val="20"/>
              </w:rPr>
              <w:t>905 ms</w:t>
            </w:r>
          </w:p>
        </w:tc>
      </w:tr>
      <w:tr>
        <w:trPr>
          <w:cantSplit/>
        </w:trPr>
        <w:tc>
          <w:tcPr>
            <w:tcW w:type="dxa" w:w="1134"/>
          </w:tcPr>
          <w:p>
            <w:pPr>
              <w:spacing w:line="240" w:lineRule="auto" w:after="0"/>
            </w:pPr>
            <w:r>
              <w:rPr>
                <w:sz w:val="20"/>
              </w:rPr>
            </w:r>
            <w:r>
              <w:rPr>
                <w:sz w:val="20"/>
              </w:rPr>
              <w:t>S2</w:t>
            </w:r>
          </w:p>
        </w:tc>
        <w:tc>
          <w:tcPr>
            <w:tcW w:type="dxa" w:w="1134"/>
          </w:tcPr>
          <w:p>
            <w:pPr>
              <w:spacing w:line="240" w:lineRule="auto" w:after="0"/>
            </w:pPr>
            <w:r>
              <w:rPr>
                <w:sz w:val="20"/>
              </w:rPr>
            </w:r>
            <w:r>
              <w:rPr>
                <w:sz w:val="20"/>
              </w:rPr>
              <w:t>Baseline</w:t>
            </w:r>
          </w:p>
        </w:tc>
        <w:tc>
          <w:tcPr>
            <w:tcW w:type="dxa" w:w="1134"/>
          </w:tcPr>
          <w:p>
            <w:pPr>
              <w:spacing w:line="240" w:lineRule="auto" w:after="0"/>
            </w:pPr>
            <w:r>
              <w:rPr>
                <w:sz w:val="20"/>
              </w:rPr>
            </w:r>
            <w:r>
              <w:rPr>
                <w:sz w:val="20"/>
              </w:rPr>
              <w:t>100</w:t>
            </w:r>
          </w:p>
        </w:tc>
        <w:tc>
          <w:tcPr>
            <w:tcW w:type="dxa" w:w="1134"/>
          </w:tcPr>
          <w:p>
            <w:pPr>
              <w:spacing w:line="240" w:lineRule="auto" w:after="0"/>
            </w:pPr>
            <w:r>
              <w:rPr>
                <w:sz w:val="20"/>
              </w:rPr>
            </w:r>
            <w:r>
              <w:rPr>
                <w:sz w:val="20"/>
              </w:rPr>
              <w:t>100</w:t>
            </w:r>
          </w:p>
        </w:tc>
        <w:tc>
          <w:tcPr>
            <w:tcW w:type="dxa" w:w="1134"/>
          </w:tcPr>
          <w:p>
            <w:pPr>
              <w:spacing w:line="240" w:lineRule="auto" w:after="0"/>
            </w:pPr>
            <w:r>
              <w:rPr>
                <w:sz w:val="20"/>
              </w:rPr>
            </w:r>
            <w:r>
              <w:rPr>
                <w:sz w:val="20"/>
              </w:rPr>
              <w:t>7.985</w:t>
            </w:r>
          </w:p>
        </w:tc>
        <w:tc>
          <w:tcPr>
            <w:tcW w:type="dxa" w:w="1134"/>
          </w:tcPr>
          <w:p>
            <w:pPr>
              <w:spacing w:line="240" w:lineRule="auto" w:after="0"/>
            </w:pPr>
            <w:r>
              <w:rPr>
                <w:sz w:val="20"/>
              </w:rPr>
            </w:r>
            <w:r>
              <w:rPr>
                <w:sz w:val="20"/>
              </w:rPr>
              <w:t>71,4%</w:t>
            </w:r>
          </w:p>
        </w:tc>
        <w:tc>
          <w:tcPr>
            <w:tcW w:type="dxa" w:w="1134"/>
          </w:tcPr>
          <w:p>
            <w:pPr>
              <w:spacing w:line="240" w:lineRule="auto" w:after="0"/>
            </w:pPr>
            <w:r>
              <w:rPr>
                <w:sz w:val="20"/>
              </w:rPr>
            </w:r>
            <w:r>
              <w:rPr>
                <w:sz w:val="20"/>
              </w:rPr>
              <w:t>1.014 ms</w:t>
            </w:r>
          </w:p>
        </w:tc>
      </w:tr>
      <w:tr>
        <w:trPr>
          <w:cantSplit/>
        </w:trPr>
        <w:tc>
          <w:tcPr>
            <w:tcW w:type="dxa" w:w="1134"/>
          </w:tcPr>
          <w:p>
            <w:pPr>
              <w:spacing w:line="240" w:lineRule="auto" w:after="0"/>
            </w:pPr>
            <w:r>
              <w:rPr>
                <w:sz w:val="20"/>
              </w:rPr>
            </w:r>
            <w:r>
              <w:rPr>
                <w:sz w:val="20"/>
              </w:rPr>
              <w:t>S2</w:t>
            </w:r>
          </w:p>
        </w:tc>
        <w:tc>
          <w:tcPr>
            <w:tcW w:type="dxa" w:w="1134"/>
          </w:tcPr>
          <w:p>
            <w:pPr>
              <w:spacing w:line="240" w:lineRule="auto" w:after="0"/>
            </w:pPr>
            <w:r>
              <w:rPr>
                <w:sz w:val="20"/>
              </w:rPr>
            </w:r>
            <w:r>
              <w:rPr>
                <w:sz w:val="20"/>
              </w:rPr>
              <w:t>Registry</w:t>
            </w:r>
          </w:p>
        </w:tc>
        <w:tc>
          <w:tcPr>
            <w:tcW w:type="dxa" w:w="1134"/>
          </w:tcPr>
          <w:p>
            <w:pPr>
              <w:spacing w:line="240" w:lineRule="auto" w:after="0"/>
            </w:pPr>
            <w:r>
              <w:rPr>
                <w:sz w:val="20"/>
              </w:rPr>
            </w:r>
            <w:r>
              <w:rPr>
                <w:sz w:val="20"/>
              </w:rPr>
              <w:t>100</w:t>
            </w:r>
          </w:p>
        </w:tc>
        <w:tc>
          <w:tcPr>
            <w:tcW w:type="dxa" w:w="1134"/>
          </w:tcPr>
          <w:p>
            <w:pPr>
              <w:spacing w:line="240" w:lineRule="auto" w:after="0"/>
            </w:pPr>
            <w:r>
              <w:rPr>
                <w:sz w:val="20"/>
              </w:rPr>
            </w:r>
            <w:r>
              <w:rPr>
                <w:sz w:val="20"/>
              </w:rPr>
              <w:t>15</w:t>
            </w:r>
          </w:p>
        </w:tc>
        <w:tc>
          <w:tcPr>
            <w:tcW w:type="dxa" w:w="1134"/>
          </w:tcPr>
          <w:p>
            <w:pPr>
              <w:spacing w:line="240" w:lineRule="auto" w:after="0"/>
            </w:pPr>
            <w:r>
              <w:rPr>
                <w:sz w:val="20"/>
              </w:rPr>
            </w:r>
            <w:r>
              <w:rPr>
                <w:sz w:val="20"/>
              </w:rPr>
              <w:t>1.241</w:t>
            </w:r>
          </w:p>
        </w:tc>
        <w:tc>
          <w:tcPr>
            <w:tcW w:type="dxa" w:w="1134"/>
          </w:tcPr>
          <w:p>
            <w:pPr>
              <w:spacing w:line="240" w:lineRule="auto" w:after="0"/>
            </w:pPr>
            <w:r>
              <w:rPr>
                <w:sz w:val="20"/>
              </w:rPr>
            </w:r>
            <w:r>
              <w:rPr>
                <w:sz w:val="20"/>
              </w:rPr>
              <w:t>71,4%</w:t>
            </w:r>
          </w:p>
        </w:tc>
        <w:tc>
          <w:tcPr>
            <w:tcW w:type="dxa" w:w="1134"/>
          </w:tcPr>
          <w:p>
            <w:pPr>
              <w:spacing w:line="240" w:lineRule="auto" w:after="0"/>
            </w:pPr>
            <w:r>
              <w:rPr>
                <w:sz w:val="20"/>
              </w:rPr>
            </w:r>
            <w:r>
              <w:rPr>
                <w:sz w:val="20"/>
              </w:rPr>
              <w:t>910 ms</w:t>
            </w:r>
          </w:p>
        </w:tc>
      </w:tr>
      <w:tr>
        <w:trPr>
          <w:cantSplit/>
        </w:trPr>
        <w:tc>
          <w:tcPr>
            <w:tcW w:type="dxa" w:w="1134"/>
          </w:tcPr>
          <w:p>
            <w:pPr>
              <w:spacing w:line="240" w:lineRule="auto" w:after="0"/>
            </w:pPr>
            <w:r>
              <w:rPr>
                <w:sz w:val="20"/>
              </w:rPr>
            </w:r>
            <w:r>
              <w:rPr>
                <w:sz w:val="20"/>
              </w:rPr>
              <w:t>S3</w:t>
            </w:r>
          </w:p>
        </w:tc>
        <w:tc>
          <w:tcPr>
            <w:tcW w:type="dxa" w:w="1134"/>
          </w:tcPr>
          <w:p>
            <w:pPr>
              <w:spacing w:line="240" w:lineRule="auto" w:after="0"/>
            </w:pPr>
            <w:r>
              <w:rPr>
                <w:sz w:val="20"/>
              </w:rPr>
            </w:r>
            <w:r>
              <w:rPr>
                <w:sz w:val="20"/>
              </w:rPr>
              <w:t>Baseline</w:t>
            </w:r>
          </w:p>
        </w:tc>
        <w:tc>
          <w:tcPr>
            <w:tcW w:type="dxa" w:w="1134"/>
          </w:tcPr>
          <w:p>
            <w:pPr>
              <w:spacing w:line="240" w:lineRule="auto" w:after="0"/>
            </w:pPr>
            <w:r>
              <w:rPr>
                <w:sz w:val="20"/>
              </w:rPr>
            </w:r>
            <w:r>
              <w:rPr>
                <w:sz w:val="20"/>
              </w:rPr>
              <w:t>300</w:t>
            </w:r>
          </w:p>
        </w:tc>
        <w:tc>
          <w:tcPr>
            <w:tcW w:type="dxa" w:w="1134"/>
          </w:tcPr>
          <w:p>
            <w:pPr>
              <w:spacing w:line="240" w:lineRule="auto" w:after="0"/>
            </w:pPr>
            <w:r>
              <w:rPr>
                <w:sz w:val="20"/>
              </w:rPr>
            </w:r>
            <w:r>
              <w:rPr>
                <w:sz w:val="20"/>
              </w:rPr>
              <w:t>300</w:t>
            </w:r>
          </w:p>
        </w:tc>
        <w:tc>
          <w:tcPr>
            <w:tcW w:type="dxa" w:w="1134"/>
          </w:tcPr>
          <w:p>
            <w:pPr>
              <w:spacing w:line="240" w:lineRule="auto" w:after="0"/>
            </w:pPr>
            <w:r>
              <w:rPr>
                <w:sz w:val="20"/>
              </w:rPr>
            </w:r>
            <w:r>
              <w:rPr>
                <w:sz w:val="20"/>
              </w:rPr>
              <w:t>23.893</w:t>
            </w:r>
          </w:p>
        </w:tc>
        <w:tc>
          <w:tcPr>
            <w:tcW w:type="dxa" w:w="1134"/>
          </w:tcPr>
          <w:p>
            <w:pPr>
              <w:spacing w:line="240" w:lineRule="auto" w:after="0"/>
            </w:pPr>
            <w:r>
              <w:rPr>
                <w:sz w:val="20"/>
              </w:rPr>
            </w:r>
            <w:r>
              <w:rPr>
                <w:sz w:val="20"/>
              </w:rPr>
              <w:t>71,4%</w:t>
            </w:r>
          </w:p>
        </w:tc>
        <w:tc>
          <w:tcPr>
            <w:tcW w:type="dxa" w:w="1134"/>
          </w:tcPr>
          <w:p>
            <w:pPr>
              <w:spacing w:line="240" w:lineRule="auto" w:after="0"/>
            </w:pPr>
            <w:r>
              <w:rPr>
                <w:sz w:val="20"/>
              </w:rPr>
            </w:r>
            <w:r>
              <w:rPr>
                <w:sz w:val="20"/>
              </w:rPr>
              <w:t>992 ms</w:t>
            </w:r>
          </w:p>
        </w:tc>
      </w:tr>
      <w:tr>
        <w:trPr>
          <w:cantSplit/>
        </w:trPr>
        <w:tc>
          <w:tcPr>
            <w:tcW w:type="dxa" w:w="1134"/>
          </w:tcPr>
          <w:p>
            <w:pPr>
              <w:spacing w:line="240" w:lineRule="auto" w:after="0"/>
            </w:pPr>
            <w:r>
              <w:rPr>
                <w:sz w:val="20"/>
              </w:rPr>
            </w:r>
            <w:r>
              <w:rPr>
                <w:sz w:val="20"/>
              </w:rPr>
              <w:t>S3</w:t>
            </w:r>
          </w:p>
        </w:tc>
        <w:tc>
          <w:tcPr>
            <w:tcW w:type="dxa" w:w="1134"/>
          </w:tcPr>
          <w:p>
            <w:pPr>
              <w:spacing w:line="240" w:lineRule="auto" w:after="0"/>
            </w:pPr>
            <w:r>
              <w:rPr>
                <w:sz w:val="20"/>
              </w:rPr>
            </w:r>
            <w:r>
              <w:rPr>
                <w:sz w:val="20"/>
              </w:rPr>
              <w:t>Registry</w:t>
            </w:r>
          </w:p>
        </w:tc>
        <w:tc>
          <w:tcPr>
            <w:tcW w:type="dxa" w:w="1134"/>
          </w:tcPr>
          <w:p>
            <w:pPr>
              <w:spacing w:line="240" w:lineRule="auto" w:after="0"/>
            </w:pPr>
            <w:r>
              <w:rPr>
                <w:sz w:val="20"/>
              </w:rPr>
            </w:r>
            <w:r>
              <w:rPr>
                <w:sz w:val="20"/>
              </w:rPr>
              <w:t>300</w:t>
            </w:r>
          </w:p>
        </w:tc>
        <w:tc>
          <w:tcPr>
            <w:tcW w:type="dxa" w:w="1134"/>
          </w:tcPr>
          <w:p>
            <w:pPr>
              <w:spacing w:line="240" w:lineRule="auto" w:after="0"/>
            </w:pPr>
            <w:r>
              <w:rPr>
                <w:sz w:val="20"/>
              </w:rPr>
            </w:r>
            <w:r>
              <w:rPr>
                <w:sz w:val="20"/>
              </w:rPr>
              <w:t>15</w:t>
            </w:r>
          </w:p>
        </w:tc>
        <w:tc>
          <w:tcPr>
            <w:tcW w:type="dxa" w:w="1134"/>
          </w:tcPr>
          <w:p>
            <w:pPr>
              <w:spacing w:line="240" w:lineRule="auto" w:after="0"/>
            </w:pPr>
            <w:r>
              <w:rPr>
                <w:sz w:val="20"/>
              </w:rPr>
            </w:r>
            <w:r>
              <w:rPr>
                <w:sz w:val="20"/>
              </w:rPr>
              <w:t>1.239</w:t>
            </w:r>
          </w:p>
        </w:tc>
        <w:tc>
          <w:tcPr>
            <w:tcW w:type="dxa" w:w="1134"/>
          </w:tcPr>
          <w:p>
            <w:pPr>
              <w:spacing w:line="240" w:lineRule="auto" w:after="0"/>
            </w:pPr>
            <w:r>
              <w:rPr>
                <w:sz w:val="20"/>
              </w:rPr>
            </w:r>
            <w:r>
              <w:rPr>
                <w:sz w:val="20"/>
              </w:rPr>
              <w:t>77,6%</w:t>
            </w:r>
          </w:p>
        </w:tc>
        <w:tc>
          <w:tcPr>
            <w:tcW w:type="dxa" w:w="1134"/>
          </w:tcPr>
          <w:p>
            <w:pPr>
              <w:spacing w:line="240" w:lineRule="auto" w:after="0"/>
            </w:pPr>
            <w:r>
              <w:rPr>
                <w:sz w:val="20"/>
              </w:rPr>
            </w:r>
            <w:r>
              <w:rPr>
                <w:sz w:val="20"/>
              </w:rPr>
              <w:t>851 ms</w:t>
            </w:r>
          </w:p>
        </w:tc>
      </w:tr>
    </w:tbl>
    <w:p>
      <w:pPr>
        <w:ind w:firstLine="720"/>
        <w:jc w:val="both"/>
      </w:pPr>
      <w:r>
        <w:t xml:space="preserve">Berdasarkan Tabel 4.2, mode </w:t>
      </w:r>
      <w:r>
        <w:rPr>
          <w:i/>
        </w:rPr>
        <w:t>registry</w:t>
      </w:r>
      <w:r>
        <w:t xml:space="preserve"> secara konsisten mengungguli mode </w:t>
      </w:r>
      <w:r>
        <w:rPr>
          <w:i/>
        </w:rPr>
        <w:t>baseline</w:t>
      </w:r>
      <w:r>
        <w:t xml:space="preserve"> pada dimensi efisiensi token di seluruh skenario, dengan keunggulan yang membesar seiring ukuran katalog. Akurasi </w:t>
      </w:r>
      <w:r>
        <w:rPr>
          <w:i/>
        </w:rPr>
        <w:t>registry</w:t>
      </w:r>
      <w:r>
        <w:t xml:space="preserve"> setara atau lebih tinggi dibanding </w:t>
      </w:r>
      <w:r>
        <w:rPr>
          <w:i/>
        </w:rPr>
        <w:t>baseline</w:t>
      </w:r>
      <w:r>
        <w:t>, sementara latensi menunjukkan perbaikan moderat pada skenario besar. Setiap dimensi dianalisis secara terperinci pada sub-bab berikut.</w:t>
      </w:r>
    </w:p>
    <w:p>
      <w:pPr>
        <w:pStyle w:val="Heading2"/>
      </w:pPr>
      <w:r>
        <w:t>4.3 Analisis Token Reduction</w:t>
      </w:r>
    </w:p>
    <w:p>
      <w:pPr>
        <w:ind w:firstLine="720"/>
        <w:jc w:val="both"/>
      </w:pPr>
      <w:r>
        <w:t xml:space="preserve">Penghematan token merupakan temuan utama penelitian ini. Sebagaimana divisualisasikan pada Gambar 4.1, selisih konsumsi token antara </w:t>
      </w:r>
      <w:r>
        <w:rPr>
          <w:i/>
        </w:rPr>
        <w:t>baseline</w:t>
      </w:r>
      <w:r>
        <w:t xml:space="preserve"> dan </w:t>
      </w:r>
      <w:r>
        <w:rPr>
          <w:i/>
        </w:rPr>
        <w:t>registry</w:t>
      </w:r>
      <w:r>
        <w:t xml:space="preserve"> membesar secara dramatis seiring pertumbuhan katalog.</w:t>
      </w:r>
    </w:p>
    <w:p>
      <w:pPr>
        <w:keepNext/>
        <w:spacing w:before="120"/>
        <w:jc w:val="center"/>
      </w:pPr>
      <w:r>
        <w:drawing>
          <wp:inline xmlns:a="http://schemas.openxmlformats.org/drawingml/2006/main" xmlns:pic="http://schemas.openxmlformats.org/drawingml/2006/picture">
            <wp:extent cx="4320000" cy="2400000"/>
            <wp:docPr id="1" name="Picture 1"/>
            <wp:cNvGraphicFramePr>
              <a:graphicFrameLocks noChangeAspect="1"/>
            </wp:cNvGraphicFramePr>
            <a:graphic>
              <a:graphicData uri="http://schemas.openxmlformats.org/drawingml/2006/picture">
                <pic:pic>
                  <pic:nvPicPr>
                    <pic:cNvPr id="0" name="token_per_turn.png"/>
                    <pic:cNvPicPr/>
                  </pic:nvPicPr>
                  <pic:blipFill>
                    <a:blip r:embed="rId10"/>
                    <a:stretch>
                      <a:fillRect/>
                    </a:stretch>
                  </pic:blipFill>
                  <pic:spPr>
                    <a:xfrm>
                      <a:off x="0" y="0"/>
                      <a:ext cx="4320000" cy="2400000"/>
                    </a:xfrm>
                    <a:prstGeom prst="rect"/>
                  </pic:spPr>
                </pic:pic>
              </a:graphicData>
            </a:graphic>
          </wp:inline>
        </w:drawing>
      </w:r>
    </w:p>
    <w:p>
      <w:pPr>
        <w:pStyle w:val="Caption"/>
        <w:jc w:val="center"/>
      </w:pPr>
      <w:r>
        <w:t>Gambar 4.</w:t>
      </w:r>
      <w:fldSimple w:instr=" SEQ Gambar \r 1 \* ARABIC ">
        <w:r>
          <w:t>1</w:t>
        </w:r>
      </w:fldSimple>
      <w:r>
        <w:t xml:space="preserve"> Perbandingan Rata-rata Token per Kueri Baseline dan Registry.</w:t>
      </w:r>
    </w:p>
    <w:p>
      <w:pPr>
        <w:ind w:firstLine="720"/>
        <w:jc w:val="both"/>
      </w:pPr>
      <w:r>
        <w:t xml:space="preserve">Pada skenario S1 (30 </w:t>
      </w:r>
      <w:r>
        <w:rPr>
          <w:i/>
        </w:rPr>
        <w:t>tool</w:t>
      </w:r>
      <w:r>
        <w:t xml:space="preserve">), konsumsi token turun dari 2.426 menjadi 893 token (−63%). Pada S2 (100 </w:t>
      </w:r>
      <w:r>
        <w:rPr>
          <w:i/>
        </w:rPr>
        <w:t>tool</w:t>
      </w:r>
      <w:r>
        <w:t xml:space="preserve">), token turun dari 7.985 menjadi 1.241 token (−84%). Pada S3 (300 </w:t>
      </w:r>
      <w:r>
        <w:rPr>
          <w:i/>
        </w:rPr>
        <w:t>tool</w:t>
      </w:r>
      <w:r>
        <w:t xml:space="preserve">), token turun dari 23.893 menjadi hanya 1.239 token (−95%). Pola penting yang terlihat pada Gambar 4.1 adalah bahwa token </w:t>
      </w:r>
      <w:r>
        <w:rPr>
          <w:i/>
        </w:rPr>
        <w:t>registry</w:t>
      </w:r>
      <w:r>
        <w:t xml:space="preserve"> nyaris konstan (893–1.241 token) meskipun katalog membesar sepuluh kali lipat, sedangkan token </w:t>
      </w:r>
      <w:r>
        <w:rPr>
          <w:i/>
        </w:rPr>
        <w:t>baseline</w:t>
      </w:r>
      <w:r>
        <w:t xml:space="preserve"> tumbuh hampir linear. Rincian besaran penghematan disajikan pada Tabel 4.3.</w:t>
      </w:r>
    </w:p>
    <w:p>
      <w:pPr>
        <w:pStyle w:val="Caption"/>
        <w:keepNext/>
        <w:jc w:val="center"/>
      </w:pPr>
      <w:r>
        <w:t>Tabel 4.</w:t>
      </w:r>
      <w:fldSimple w:instr=" SEQ Tabel \* ARABIC ">
        <w:r>
          <w:t>1</w:t>
        </w:r>
      </w:fldSimple>
      <w:r>
        <w:t xml:space="preserve"> Penghematan Token Registry terhadap Baseline</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Skenario</w:t>
            </w:r>
          </w:p>
        </w:tc>
        <w:tc>
          <w:tcPr>
            <w:tcW w:type="dxa" w:w="1587"/>
            <w:tcBorders>
              <w:top w:val="none"/>
              <w:bottom w:val="single" w:sz="8" w:space="0" w:color="000000"/>
              <w:left w:val="none"/>
              <w:right w:val="none"/>
            </w:tcBorders>
          </w:tcPr>
          <w:p>
            <w:pPr>
              <w:spacing w:line="240" w:lineRule="auto" w:after="0"/>
            </w:pPr>
            <w:r>
              <w:rPr>
                <w:b/>
                <w:sz w:val="20"/>
              </w:rPr>
            </w:r>
            <w:r>
              <w:rPr>
                <w:b/>
                <w:sz w:val="20"/>
              </w:rPr>
              <w:t>Token Baseline</w:t>
            </w:r>
          </w:p>
        </w:tc>
        <w:tc>
          <w:tcPr>
            <w:tcW w:type="dxa" w:w="1587"/>
            <w:tcBorders>
              <w:top w:val="none"/>
              <w:bottom w:val="single" w:sz="8" w:space="0" w:color="000000"/>
              <w:left w:val="none"/>
              <w:right w:val="none"/>
            </w:tcBorders>
          </w:tcPr>
          <w:p>
            <w:pPr>
              <w:spacing w:line="240" w:lineRule="auto" w:after="0"/>
            </w:pPr>
            <w:r>
              <w:rPr>
                <w:b/>
                <w:sz w:val="20"/>
              </w:rPr>
            </w:r>
            <w:r>
              <w:rPr>
                <w:b/>
                <w:sz w:val="20"/>
              </w:rPr>
              <w:t>Token Registry</w:t>
            </w:r>
          </w:p>
        </w:tc>
        <w:tc>
          <w:tcPr>
            <w:tcW w:type="dxa" w:w="1587"/>
            <w:tcBorders>
              <w:top w:val="none"/>
              <w:bottom w:val="single" w:sz="8" w:space="0" w:color="000000"/>
              <w:left w:val="none"/>
              <w:right w:val="none"/>
            </w:tcBorders>
          </w:tcPr>
          <w:p>
            <w:pPr>
              <w:spacing w:line="240" w:lineRule="auto" w:after="0"/>
            </w:pPr>
            <w:r>
              <w:rPr>
                <w:b/>
                <w:sz w:val="20"/>
              </w:rPr>
            </w:r>
            <w:r>
              <w:rPr>
                <w:b/>
                <w:sz w:val="20"/>
              </w:rPr>
              <w:t>Penghematan</w:t>
            </w:r>
          </w:p>
        </w:tc>
        <w:tc>
          <w:tcPr>
            <w:tcW w:type="dxa" w:w="1587"/>
            <w:tcBorders>
              <w:top w:val="none"/>
              <w:bottom w:val="single" w:sz="8" w:space="0" w:color="000000"/>
              <w:left w:val="none"/>
              <w:right w:val="none"/>
            </w:tcBorders>
          </w:tcPr>
          <w:p>
            <w:pPr>
              <w:spacing w:line="240" w:lineRule="auto" w:after="0"/>
            </w:pPr>
            <w:r>
              <w:rPr>
                <w:b/>
                <w:sz w:val="20"/>
              </w:rPr>
            </w:r>
            <w:r>
              <w:rPr>
                <w:b/>
                <w:sz w:val="20"/>
              </w:rPr>
              <w:t>Reduksi</w:t>
            </w:r>
          </w:p>
        </w:tc>
      </w:tr>
      <w:tr>
        <w:trPr>
          <w:cantSplit/>
        </w:trPr>
        <w:tc>
          <w:tcPr>
            <w:tcW w:type="dxa" w:w="1587"/>
          </w:tcPr>
          <w:p>
            <w:pPr>
              <w:spacing w:line="240" w:lineRule="auto" w:after="0"/>
            </w:pPr>
            <w:r>
              <w:rPr>
                <w:sz w:val="20"/>
              </w:rPr>
            </w:r>
            <w:r>
              <w:rPr>
                <w:sz w:val="20"/>
              </w:rPr>
              <w:t>S1</w:t>
            </w:r>
          </w:p>
        </w:tc>
        <w:tc>
          <w:tcPr>
            <w:tcW w:type="dxa" w:w="1587"/>
          </w:tcPr>
          <w:p>
            <w:pPr>
              <w:spacing w:line="240" w:lineRule="auto" w:after="0"/>
            </w:pPr>
            <w:r>
              <w:rPr>
                <w:sz w:val="20"/>
              </w:rPr>
            </w:r>
            <w:r>
              <w:rPr>
                <w:sz w:val="20"/>
              </w:rPr>
              <w:t>2.426</w:t>
            </w:r>
          </w:p>
        </w:tc>
        <w:tc>
          <w:tcPr>
            <w:tcW w:type="dxa" w:w="1587"/>
          </w:tcPr>
          <w:p>
            <w:pPr>
              <w:spacing w:line="240" w:lineRule="auto" w:after="0"/>
            </w:pPr>
            <w:r>
              <w:rPr>
                <w:sz w:val="20"/>
              </w:rPr>
            </w:r>
            <w:r>
              <w:rPr>
                <w:sz w:val="20"/>
              </w:rPr>
              <w:t>893</w:t>
            </w:r>
          </w:p>
        </w:tc>
        <w:tc>
          <w:tcPr>
            <w:tcW w:type="dxa" w:w="1587"/>
          </w:tcPr>
          <w:p>
            <w:pPr>
              <w:spacing w:line="240" w:lineRule="auto" w:after="0"/>
            </w:pPr>
            <w:r>
              <w:rPr>
                <w:sz w:val="20"/>
              </w:rPr>
            </w:r>
            <w:r>
              <w:rPr>
                <w:sz w:val="20"/>
              </w:rPr>
              <w:t>1.533 token</w:t>
            </w:r>
          </w:p>
        </w:tc>
        <w:tc>
          <w:tcPr>
            <w:tcW w:type="dxa" w:w="1587"/>
          </w:tcPr>
          <w:p>
            <w:pPr>
              <w:spacing w:line="240" w:lineRule="auto" w:after="0"/>
            </w:pPr>
            <w:r>
              <w:rPr>
                <w:sz w:val="20"/>
              </w:rPr>
            </w:r>
            <w:r>
              <w:rPr>
                <w:sz w:val="20"/>
              </w:rPr>
              <w:t>−63%</w:t>
            </w:r>
          </w:p>
        </w:tc>
      </w:tr>
      <w:tr>
        <w:trPr>
          <w:cantSplit/>
        </w:trPr>
        <w:tc>
          <w:tcPr>
            <w:tcW w:type="dxa" w:w="1587"/>
          </w:tcPr>
          <w:p>
            <w:pPr>
              <w:spacing w:line="240" w:lineRule="auto" w:after="0"/>
            </w:pPr>
            <w:r>
              <w:rPr>
                <w:sz w:val="20"/>
              </w:rPr>
            </w:r>
            <w:r>
              <w:rPr>
                <w:sz w:val="20"/>
              </w:rPr>
              <w:t>S2</w:t>
            </w:r>
          </w:p>
        </w:tc>
        <w:tc>
          <w:tcPr>
            <w:tcW w:type="dxa" w:w="1587"/>
          </w:tcPr>
          <w:p>
            <w:pPr>
              <w:spacing w:line="240" w:lineRule="auto" w:after="0"/>
            </w:pPr>
            <w:r>
              <w:rPr>
                <w:sz w:val="20"/>
              </w:rPr>
            </w:r>
            <w:r>
              <w:rPr>
                <w:sz w:val="20"/>
              </w:rPr>
              <w:t>7.985</w:t>
            </w:r>
          </w:p>
        </w:tc>
        <w:tc>
          <w:tcPr>
            <w:tcW w:type="dxa" w:w="1587"/>
          </w:tcPr>
          <w:p>
            <w:pPr>
              <w:spacing w:line="240" w:lineRule="auto" w:after="0"/>
            </w:pPr>
            <w:r>
              <w:rPr>
                <w:sz w:val="20"/>
              </w:rPr>
            </w:r>
            <w:r>
              <w:rPr>
                <w:sz w:val="20"/>
              </w:rPr>
              <w:t>1.241</w:t>
            </w:r>
          </w:p>
        </w:tc>
        <w:tc>
          <w:tcPr>
            <w:tcW w:type="dxa" w:w="1587"/>
          </w:tcPr>
          <w:p>
            <w:pPr>
              <w:spacing w:line="240" w:lineRule="auto" w:after="0"/>
            </w:pPr>
            <w:r>
              <w:rPr>
                <w:sz w:val="20"/>
              </w:rPr>
            </w:r>
            <w:r>
              <w:rPr>
                <w:sz w:val="20"/>
              </w:rPr>
              <w:t>6.744 token</w:t>
            </w:r>
          </w:p>
        </w:tc>
        <w:tc>
          <w:tcPr>
            <w:tcW w:type="dxa" w:w="1587"/>
          </w:tcPr>
          <w:p>
            <w:pPr>
              <w:spacing w:line="240" w:lineRule="auto" w:after="0"/>
            </w:pPr>
            <w:r>
              <w:rPr>
                <w:sz w:val="20"/>
              </w:rPr>
            </w:r>
            <w:r>
              <w:rPr>
                <w:sz w:val="20"/>
              </w:rPr>
              <w:t>−84%</w:t>
            </w:r>
          </w:p>
        </w:tc>
      </w:tr>
      <w:tr>
        <w:trPr>
          <w:cantSplit/>
        </w:trPr>
        <w:tc>
          <w:tcPr>
            <w:tcW w:type="dxa" w:w="1587"/>
          </w:tcPr>
          <w:p>
            <w:pPr>
              <w:spacing w:line="240" w:lineRule="auto" w:after="0"/>
            </w:pPr>
            <w:r>
              <w:rPr>
                <w:sz w:val="20"/>
              </w:rPr>
            </w:r>
            <w:r>
              <w:rPr>
                <w:sz w:val="20"/>
              </w:rPr>
              <w:t>S3</w:t>
            </w:r>
          </w:p>
        </w:tc>
        <w:tc>
          <w:tcPr>
            <w:tcW w:type="dxa" w:w="1587"/>
          </w:tcPr>
          <w:p>
            <w:pPr>
              <w:spacing w:line="240" w:lineRule="auto" w:after="0"/>
            </w:pPr>
            <w:r>
              <w:rPr>
                <w:sz w:val="20"/>
              </w:rPr>
            </w:r>
            <w:r>
              <w:rPr>
                <w:sz w:val="20"/>
              </w:rPr>
              <w:t>23.893</w:t>
            </w:r>
          </w:p>
        </w:tc>
        <w:tc>
          <w:tcPr>
            <w:tcW w:type="dxa" w:w="1587"/>
          </w:tcPr>
          <w:p>
            <w:pPr>
              <w:spacing w:line="240" w:lineRule="auto" w:after="0"/>
            </w:pPr>
            <w:r>
              <w:rPr>
                <w:sz w:val="20"/>
              </w:rPr>
            </w:r>
            <w:r>
              <w:rPr>
                <w:sz w:val="20"/>
              </w:rPr>
              <w:t>1.239</w:t>
            </w:r>
          </w:p>
        </w:tc>
        <w:tc>
          <w:tcPr>
            <w:tcW w:type="dxa" w:w="1587"/>
          </w:tcPr>
          <w:p>
            <w:pPr>
              <w:spacing w:line="240" w:lineRule="auto" w:after="0"/>
            </w:pPr>
            <w:r>
              <w:rPr>
                <w:sz w:val="20"/>
              </w:rPr>
            </w:r>
            <w:r>
              <w:rPr>
                <w:sz w:val="20"/>
              </w:rPr>
              <w:t>22.654 token</w:t>
            </w:r>
          </w:p>
        </w:tc>
        <w:tc>
          <w:tcPr>
            <w:tcW w:type="dxa" w:w="1587"/>
          </w:tcPr>
          <w:p>
            <w:pPr>
              <w:spacing w:line="240" w:lineRule="auto" w:after="0"/>
            </w:pPr>
            <w:r>
              <w:rPr>
                <w:sz w:val="20"/>
              </w:rPr>
            </w:r>
            <w:r>
              <w:rPr>
                <w:sz w:val="20"/>
              </w:rPr>
              <w:t>−95%</w:t>
            </w:r>
          </w:p>
        </w:tc>
      </w:tr>
    </w:tbl>
    <w:p>
      <w:pPr>
        <w:ind w:firstLine="720"/>
        <w:jc w:val="both"/>
      </w:pPr>
      <w:r>
        <w:t xml:space="preserve">Penghematan absolut tumbuh dari 1.533 token (S1) menjadi 22.654 token (S3) per kueri. Implikasi praktis bagi zerlo.id sangat signifikan: pada katalog 300 </w:t>
      </w:r>
      <w:r>
        <w:rPr>
          <w:i/>
        </w:rPr>
        <w:t>tool</w:t>
      </w:r>
      <w:r>
        <w:t xml:space="preserve">, Tool Registry menghapus lebih dari 22 ribu token </w:t>
      </w:r>
      <w:r>
        <w:rPr>
          <w:i/>
        </w:rPr>
        <w:t>overhead</w:t>
      </w:r>
      <w:r>
        <w:t xml:space="preserve"> per kueri, yang berarti penurunan biaya inferensi dan mitigasi langsung terhadap risiko </w:t>
      </w:r>
      <w:r>
        <w:rPr>
          <w:i/>
        </w:rPr>
        <w:t>context rot</w:t>
      </w:r>
      <w:r>
        <w:t xml:space="preserve"> yang diuraikan pada Bab II. Signifikansi statistik penghematan ini diuji pada Sub-bab 4.8.</w:t>
      </w:r>
    </w:p>
    <w:p>
      <w:pPr>
        <w:pStyle w:val="Heading2"/>
      </w:pPr>
      <w:r>
        <w:t>4.4 Analisis Tool Selection Accuracy</w:t>
      </w:r>
    </w:p>
    <w:p>
      <w:pPr>
        <w:ind w:firstLine="720"/>
        <w:jc w:val="both"/>
      </w:pPr>
      <w:r>
        <w:t xml:space="preserve">Akurasi pemilihan </w:t>
      </w:r>
      <w:r>
        <w:rPr>
          <w:i/>
        </w:rPr>
        <w:t>tool</w:t>
      </w:r>
      <w:r>
        <w:t xml:space="preserve"> dinilai secara biner terhadap </w:t>
      </w:r>
      <w:r>
        <w:rPr>
          <w:rFonts w:ascii="Courier New" w:hAnsi="Courier New"/>
        </w:rPr>
        <w:t>expected_tool</w:t>
      </w:r>
      <w:r>
        <w:t xml:space="preserve"> sebagai </w:t>
      </w:r>
      <w:r>
        <w:rPr>
          <w:i/>
        </w:rPr>
        <w:t>ground truth</w:t>
      </w:r>
      <w:r>
        <w:t xml:space="preserve">. Perbandingan akurasi </w:t>
      </w:r>
      <w:r>
        <w:rPr>
          <w:i/>
        </w:rPr>
        <w:t>baseline</w:t>
      </w:r>
      <w:r>
        <w:t xml:space="preserve"> dan </w:t>
      </w:r>
      <w:r>
        <w:rPr>
          <w:i/>
        </w:rPr>
        <w:t>registry</w:t>
      </w:r>
      <w:r>
        <w:t xml:space="preserve"> per skenario disajikan pada Gambar 4.2 dan Tabel 4.4.</w:t>
      </w:r>
    </w:p>
    <w:p>
      <w:pPr>
        <w:keepNext/>
        <w:spacing w:before="120"/>
        <w:jc w:val="center"/>
      </w:pPr>
      <w:r>
        <w:drawing>
          <wp:inline xmlns:a="http://schemas.openxmlformats.org/drawingml/2006/main" xmlns:pic="http://schemas.openxmlformats.org/drawingml/2006/picture">
            <wp:extent cx="4320000" cy="2400000"/>
            <wp:docPr id="2" name="Picture 2"/>
            <wp:cNvGraphicFramePr>
              <a:graphicFrameLocks noChangeAspect="1"/>
            </wp:cNvGraphicFramePr>
            <a:graphic>
              <a:graphicData uri="http://schemas.openxmlformats.org/drawingml/2006/picture">
                <pic:pic>
                  <pic:nvPicPr>
                    <pic:cNvPr id="0" name="tool_selection_accuracy.png"/>
                    <pic:cNvPicPr/>
                  </pic:nvPicPr>
                  <pic:blipFill>
                    <a:blip r:embed="rId11"/>
                    <a:stretch>
                      <a:fillRect/>
                    </a:stretch>
                  </pic:blipFill>
                  <pic:spPr>
                    <a:xfrm>
                      <a:off x="0" y="0"/>
                      <a:ext cx="4320000" cy="2400000"/>
                    </a:xfrm>
                    <a:prstGeom prst="rect"/>
                  </pic:spPr>
                </pic:pic>
              </a:graphicData>
            </a:graphic>
          </wp:inline>
        </w:drawing>
      </w:r>
    </w:p>
    <w:p>
      <w:pPr>
        <w:pStyle w:val="Caption"/>
        <w:jc w:val="center"/>
      </w:pPr>
      <w:r>
        <w:t>Gambar 4.</w:t>
      </w:r>
      <w:fldSimple w:instr=" SEQ Gambar \* ARABIC ">
        <w:r>
          <w:t>1</w:t>
        </w:r>
      </w:fldSimple>
      <w:r>
        <w:t xml:space="preserve"> Perbandingan Akurasi Pemilihan Tool Baseline dan Registry.</w:t>
      </w:r>
    </w:p>
    <w:p>
      <w:pPr>
        <w:pStyle w:val="Caption"/>
        <w:keepNext/>
        <w:jc w:val="center"/>
      </w:pPr>
      <w:r>
        <w:t>Tabel 4.</w:t>
      </w:r>
      <w:fldSimple w:instr=" SEQ Tabel \* ARABIC ">
        <w:r>
          <w:t>1</w:t>
        </w:r>
      </w:fldSimple>
      <w:r>
        <w:t xml:space="preserve"> Akurasi Pemilihan Tool per Skenario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984"/>
        <w:gridCol w:w="1984"/>
        <w:gridCol w:w="1984"/>
        <w:gridCol w:w="1984"/>
      </w:tblGrid>
      <w:tr>
        <w:trPr>
          <w:cantSplit/>
          <w:tblHeader/>
        </w:trPr>
        <w:tc>
          <w:tcPr>
            <w:tcW w:type="dxa" w:w="1984"/>
            <w:tcBorders>
              <w:top w:val="none"/>
              <w:bottom w:val="single" w:sz="8" w:space="0" w:color="000000"/>
              <w:left w:val="none"/>
              <w:right w:val="none"/>
            </w:tcBorders>
          </w:tcPr>
          <w:p>
            <w:pPr>
              <w:spacing w:line="240" w:lineRule="auto" w:after="0"/>
            </w:pPr>
            <w:r>
              <w:rPr>
                <w:b/>
                <w:sz w:val="20"/>
              </w:rPr>
            </w:r>
            <w:r>
              <w:rPr>
                <w:b/>
                <w:sz w:val="20"/>
              </w:rPr>
              <w:t>Skenario</w:t>
            </w:r>
          </w:p>
        </w:tc>
        <w:tc>
          <w:tcPr>
            <w:tcW w:type="dxa" w:w="1984"/>
            <w:tcBorders>
              <w:top w:val="none"/>
              <w:bottom w:val="single" w:sz="8" w:space="0" w:color="000000"/>
              <w:left w:val="none"/>
              <w:right w:val="none"/>
            </w:tcBorders>
          </w:tcPr>
          <w:p>
            <w:pPr>
              <w:spacing w:line="240" w:lineRule="auto" w:after="0"/>
            </w:pPr>
            <w:r>
              <w:rPr>
                <w:b/>
                <w:sz w:val="20"/>
              </w:rPr>
            </w:r>
            <w:r>
              <w:rPr>
                <w:b/>
                <w:sz w:val="20"/>
              </w:rPr>
              <w:t>Baseline</w:t>
            </w:r>
          </w:p>
        </w:tc>
        <w:tc>
          <w:tcPr>
            <w:tcW w:type="dxa" w:w="1984"/>
            <w:tcBorders>
              <w:top w:val="none"/>
              <w:bottom w:val="single" w:sz="8" w:space="0" w:color="000000"/>
              <w:left w:val="none"/>
              <w:right w:val="none"/>
            </w:tcBorders>
          </w:tcPr>
          <w:p>
            <w:pPr>
              <w:spacing w:line="240" w:lineRule="auto" w:after="0"/>
            </w:pPr>
            <w:r>
              <w:rPr>
                <w:b/>
                <w:sz w:val="20"/>
              </w:rPr>
            </w:r>
            <w:r>
              <w:rPr>
                <w:b/>
                <w:sz w:val="20"/>
              </w:rPr>
              <w:t>Registry</w:t>
            </w:r>
          </w:p>
        </w:tc>
        <w:tc>
          <w:tcPr>
            <w:tcW w:type="dxa" w:w="1984"/>
            <w:tcBorders>
              <w:top w:val="none"/>
              <w:bottom w:val="single" w:sz="8" w:space="0" w:color="000000"/>
              <w:left w:val="none"/>
              <w:right w:val="none"/>
            </w:tcBorders>
          </w:tcPr>
          <w:p>
            <w:pPr>
              <w:spacing w:line="240" w:lineRule="auto" w:after="0"/>
            </w:pPr>
            <w:r>
              <w:rPr>
                <w:b/>
                <w:sz w:val="20"/>
              </w:rPr>
            </w:r>
            <w:r>
              <w:rPr>
                <w:b/>
                <w:sz w:val="20"/>
              </w:rPr>
              <w:t>Selisih</w:t>
            </w:r>
          </w:p>
        </w:tc>
      </w:tr>
      <w:tr>
        <w:trPr>
          <w:cantSplit/>
        </w:trPr>
        <w:tc>
          <w:tcPr>
            <w:tcW w:type="dxa" w:w="1984"/>
          </w:tcPr>
          <w:p>
            <w:pPr>
              <w:spacing w:line="240" w:lineRule="auto" w:after="0"/>
            </w:pPr>
            <w:r>
              <w:rPr>
                <w:sz w:val="20"/>
              </w:rPr>
            </w:r>
            <w:r>
              <w:rPr>
                <w:sz w:val="20"/>
              </w:rPr>
              <w:t>S1</w:t>
            </w:r>
          </w:p>
        </w:tc>
        <w:tc>
          <w:tcPr>
            <w:tcW w:type="dxa" w:w="1984"/>
          </w:tcPr>
          <w:p>
            <w:pPr>
              <w:spacing w:line="240" w:lineRule="auto" w:after="0"/>
            </w:pPr>
            <w:r>
              <w:rPr>
                <w:sz w:val="20"/>
              </w:rPr>
            </w:r>
            <w:r>
              <w:rPr>
                <w:sz w:val="20"/>
              </w:rPr>
              <w:t>68,8%</w:t>
            </w:r>
          </w:p>
        </w:tc>
        <w:tc>
          <w:tcPr>
            <w:tcW w:type="dxa" w:w="1984"/>
          </w:tcPr>
          <w:p>
            <w:pPr>
              <w:spacing w:line="240" w:lineRule="auto" w:after="0"/>
            </w:pPr>
            <w:r>
              <w:rPr>
                <w:sz w:val="20"/>
              </w:rPr>
            </w:r>
            <w:r>
              <w:rPr>
                <w:sz w:val="20"/>
              </w:rPr>
              <w:t>75,0%</w:t>
            </w:r>
          </w:p>
        </w:tc>
        <w:tc>
          <w:tcPr>
            <w:tcW w:type="dxa" w:w="1984"/>
          </w:tcPr>
          <w:p>
            <w:pPr>
              <w:spacing w:line="240" w:lineRule="auto" w:after="0"/>
            </w:pPr>
            <w:r>
              <w:rPr>
                <w:sz w:val="20"/>
              </w:rPr>
            </w:r>
            <w:r>
              <w:rPr>
                <w:sz w:val="20"/>
              </w:rPr>
              <w:t>+6,3 pp</w:t>
            </w:r>
          </w:p>
        </w:tc>
      </w:tr>
      <w:tr>
        <w:trPr>
          <w:cantSplit/>
        </w:trPr>
        <w:tc>
          <w:tcPr>
            <w:tcW w:type="dxa" w:w="1984"/>
          </w:tcPr>
          <w:p>
            <w:pPr>
              <w:spacing w:line="240" w:lineRule="auto" w:after="0"/>
            </w:pPr>
            <w:r>
              <w:rPr>
                <w:sz w:val="20"/>
              </w:rPr>
            </w:r>
            <w:r>
              <w:rPr>
                <w:sz w:val="20"/>
              </w:rPr>
              <w:t>S2</w:t>
            </w:r>
          </w:p>
        </w:tc>
        <w:tc>
          <w:tcPr>
            <w:tcW w:type="dxa" w:w="1984"/>
          </w:tcPr>
          <w:p>
            <w:pPr>
              <w:spacing w:line="240" w:lineRule="auto" w:after="0"/>
            </w:pPr>
            <w:r>
              <w:rPr>
                <w:sz w:val="20"/>
              </w:rPr>
            </w:r>
            <w:r>
              <w:rPr>
                <w:sz w:val="20"/>
              </w:rPr>
              <w:t>71,4%</w:t>
            </w:r>
          </w:p>
        </w:tc>
        <w:tc>
          <w:tcPr>
            <w:tcW w:type="dxa" w:w="1984"/>
          </w:tcPr>
          <w:p>
            <w:pPr>
              <w:spacing w:line="240" w:lineRule="auto" w:after="0"/>
            </w:pPr>
            <w:r>
              <w:rPr>
                <w:sz w:val="20"/>
              </w:rPr>
            </w:r>
            <w:r>
              <w:rPr>
                <w:sz w:val="20"/>
              </w:rPr>
              <w:t>71,4%</w:t>
            </w:r>
          </w:p>
        </w:tc>
        <w:tc>
          <w:tcPr>
            <w:tcW w:type="dxa" w:w="1984"/>
          </w:tcPr>
          <w:p>
            <w:pPr>
              <w:spacing w:line="240" w:lineRule="auto" w:after="0"/>
            </w:pPr>
            <w:r>
              <w:rPr>
                <w:sz w:val="20"/>
              </w:rPr>
            </w:r>
            <w:r>
              <w:rPr>
                <w:sz w:val="20"/>
              </w:rPr>
              <w:t>0 pp</w:t>
            </w:r>
          </w:p>
        </w:tc>
      </w:tr>
      <w:tr>
        <w:trPr>
          <w:cantSplit/>
        </w:trPr>
        <w:tc>
          <w:tcPr>
            <w:tcW w:type="dxa" w:w="1984"/>
          </w:tcPr>
          <w:p>
            <w:pPr>
              <w:spacing w:line="240" w:lineRule="auto" w:after="0"/>
            </w:pPr>
            <w:r>
              <w:rPr>
                <w:sz w:val="20"/>
              </w:rPr>
            </w:r>
            <w:r>
              <w:rPr>
                <w:sz w:val="20"/>
              </w:rPr>
              <w:t>S3</w:t>
            </w:r>
          </w:p>
        </w:tc>
        <w:tc>
          <w:tcPr>
            <w:tcW w:type="dxa" w:w="1984"/>
          </w:tcPr>
          <w:p>
            <w:pPr>
              <w:spacing w:line="240" w:lineRule="auto" w:after="0"/>
            </w:pPr>
            <w:r>
              <w:rPr>
                <w:sz w:val="20"/>
              </w:rPr>
            </w:r>
            <w:r>
              <w:rPr>
                <w:sz w:val="20"/>
              </w:rPr>
              <w:t>71,4%</w:t>
            </w:r>
          </w:p>
        </w:tc>
        <w:tc>
          <w:tcPr>
            <w:tcW w:type="dxa" w:w="1984"/>
          </w:tcPr>
          <w:p>
            <w:pPr>
              <w:spacing w:line="240" w:lineRule="auto" w:after="0"/>
            </w:pPr>
            <w:r>
              <w:rPr>
                <w:sz w:val="20"/>
              </w:rPr>
            </w:r>
            <w:r>
              <w:rPr>
                <w:sz w:val="20"/>
              </w:rPr>
              <w:t>77,6%</w:t>
            </w:r>
          </w:p>
        </w:tc>
        <w:tc>
          <w:tcPr>
            <w:tcW w:type="dxa" w:w="1984"/>
          </w:tcPr>
          <w:p>
            <w:pPr>
              <w:spacing w:line="240" w:lineRule="auto" w:after="0"/>
            </w:pPr>
            <w:r>
              <w:rPr>
                <w:sz w:val="20"/>
              </w:rPr>
            </w:r>
            <w:r>
              <w:rPr>
                <w:sz w:val="20"/>
              </w:rPr>
              <w:t>+6,3 pp</w:t>
            </w:r>
          </w:p>
        </w:tc>
      </w:tr>
    </w:tbl>
    <w:p>
      <w:pPr>
        <w:ind w:firstLine="720"/>
        <w:jc w:val="both"/>
      </w:pPr>
      <w:r>
        <w:t xml:space="preserve">Mode </w:t>
      </w:r>
      <w:r>
        <w:rPr>
          <w:i/>
        </w:rPr>
        <w:t>registry</w:t>
      </w:r>
      <w:r>
        <w:t xml:space="preserve"> meningkatkan akurasi sebesar +6,3 poin persentase pada skenario S1 dan S3, serta setara pada S2. Temuan ini menunjukkan bahwa penyaringan </w:t>
      </w:r>
      <w:r>
        <w:rPr>
          <w:i/>
        </w:rPr>
        <w:t>tool</w:t>
      </w:r>
      <w:r>
        <w:t xml:space="preserve"> tidak mengorbankan akurasi — bahkan cenderung memperbaikinya — karena dengan meneruskan hanya himpunan </w:t>
      </w:r>
      <w:r>
        <w:rPr>
          <w:i/>
        </w:rPr>
        <w:t>tool</w:t>
      </w:r>
      <w:r>
        <w:t xml:space="preserve"> relevan, model terhindar dari kebingungan akibat </w:t>
      </w:r>
      <w:r>
        <w:rPr>
          <w:i/>
        </w:rPr>
        <w:t>bloated tool sets</w:t>
      </w:r>
      <w:r>
        <w:t xml:space="preserve">. Yang patut dicatat, perbaikan akurasi pada S3 (katalog terbesar) justru paling konsisten, sejalan dengan prinsip bahwa pengurangan </w:t>
      </w:r>
      <w:r>
        <w:rPr>
          <w:i/>
        </w:rPr>
        <w:t>noise</w:t>
      </w:r>
      <w:r>
        <w:t xml:space="preserve"> konteks paling bermanfaat ketika katalog membesar.</w:t>
      </w:r>
    </w:p>
    <w:p>
      <w:pPr>
        <w:ind w:firstLine="720"/>
        <w:jc w:val="both"/>
      </w:pPr>
      <w:r>
        <w:t>Meskipun arah perbaikan akurasi konsisten dan positif, besarnya peningkatan (+6,3 pp) belum mencapai signifikansi statistik pada taraf α=0,05 (lihat Sub-bab 4.8). Oleh karena itu, peningkatan akurasi dilaporkan sebagai tren positif yang konsisten, sedangkan klaim utama penelitian difokuskan pada penghematan token yang terbukti signifikan kuat secara statistik.</w:t>
      </w:r>
    </w:p>
    <w:p>
      <w:pPr>
        <w:pStyle w:val="Heading2"/>
      </w:pPr>
      <w:r>
        <w:t>4.5 Analisis Sub-linear Scalability</w:t>
      </w:r>
    </w:p>
    <w:p>
      <w:pPr>
        <w:ind w:firstLine="720"/>
        <w:jc w:val="both"/>
      </w:pPr>
      <w:r>
        <w:t xml:space="preserve">Properti skalabilitas </w:t>
      </w:r>
      <w:r>
        <w:rPr>
          <w:i/>
        </w:rPr>
        <w:t>sub-linear</w:t>
      </w:r>
      <w:r>
        <w:t xml:space="preserve"> merupakan kontribusi arsitektural utama Tool Registry. Gambar 4.3 dan Tabel 4.5 membandingkan jumlah </w:t>
      </w:r>
      <w:r>
        <w:rPr>
          <w:i/>
        </w:rPr>
        <w:t>tool</w:t>
      </w:r>
      <w:r>
        <w:t xml:space="preserve"> yang terlihat oleh LLM antara kedua mode.</w:t>
      </w:r>
    </w:p>
    <w:p>
      <w:pPr>
        <w:keepNext/>
        <w:spacing w:before="120"/>
        <w:jc w:val="center"/>
      </w:pPr>
      <w:r>
        <w:drawing>
          <wp:inline xmlns:a="http://schemas.openxmlformats.org/drawingml/2006/main" xmlns:pic="http://schemas.openxmlformats.org/drawingml/2006/picture">
            <wp:extent cx="4320000" cy="2400000"/>
            <wp:docPr id="3" name="Picture 3"/>
            <wp:cNvGraphicFramePr>
              <a:graphicFrameLocks noChangeAspect="1"/>
            </wp:cNvGraphicFramePr>
            <a:graphic>
              <a:graphicData uri="http://schemas.openxmlformats.org/drawingml/2006/picture">
                <pic:pic>
                  <pic:nvPicPr>
                    <pic:cNvPr id="0" name="visible_tools_scaling.png"/>
                    <pic:cNvPicPr/>
                  </pic:nvPicPr>
                  <pic:blipFill>
                    <a:blip r:embed="rId12"/>
                    <a:stretch>
                      <a:fillRect/>
                    </a:stretch>
                  </pic:blipFill>
                  <pic:spPr>
                    <a:xfrm>
                      <a:off x="0" y="0"/>
                      <a:ext cx="4320000" cy="2400000"/>
                    </a:xfrm>
                    <a:prstGeom prst="rect"/>
                  </pic:spPr>
                </pic:pic>
              </a:graphicData>
            </a:graphic>
          </wp:inline>
        </w:drawing>
      </w:r>
    </w:p>
    <w:p>
      <w:pPr>
        <w:pStyle w:val="Caption"/>
        <w:jc w:val="center"/>
      </w:pPr>
      <w:r>
        <w:t>Gambar 4.</w:t>
      </w:r>
      <w:fldSimple w:instr=" SEQ Gambar \* ARABIC ">
        <w:r>
          <w:t>1</w:t>
        </w:r>
      </w:fldSimple>
      <w:r>
        <w:t xml:space="preserve"> Jumlah Tool Terlihat oleh LLM terhadap Ukuran Katalog.</w:t>
      </w:r>
    </w:p>
    <w:p>
      <w:pPr>
        <w:pStyle w:val="Caption"/>
        <w:keepNext/>
        <w:jc w:val="center"/>
      </w:pPr>
      <w:r>
        <w:t>Tabel 4.</w:t>
      </w:r>
      <w:fldSimple w:instr=" SEQ Tabel \* ARABIC ">
        <w:r>
          <w:t>1</w:t>
        </w:r>
      </w:fldSimple>
      <w:r>
        <w:t xml:space="preserve"> Jumlah Tool Terlihat dan Kompleksitas Penskalaan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984"/>
        <w:gridCol w:w="1984"/>
        <w:gridCol w:w="1984"/>
        <w:gridCol w:w="1984"/>
      </w:tblGrid>
      <w:tr>
        <w:trPr>
          <w:cantSplit/>
          <w:tblHeader/>
        </w:trPr>
        <w:tc>
          <w:tcPr>
            <w:tcW w:type="dxa" w:w="1984"/>
            <w:tcBorders>
              <w:top w:val="none"/>
              <w:bottom w:val="single" w:sz="8" w:space="0" w:color="000000"/>
              <w:left w:val="none"/>
              <w:right w:val="none"/>
            </w:tcBorders>
          </w:tcPr>
          <w:p>
            <w:pPr>
              <w:spacing w:line="240" w:lineRule="auto" w:after="0"/>
            </w:pPr>
            <w:r>
              <w:rPr>
                <w:b/>
                <w:sz w:val="20"/>
              </w:rPr>
            </w:r>
            <w:r>
              <w:rPr>
                <w:b/>
                <w:sz w:val="20"/>
              </w:rPr>
              <w:t>Skenario</w:t>
            </w:r>
          </w:p>
        </w:tc>
        <w:tc>
          <w:tcPr>
            <w:tcW w:type="dxa" w:w="1984"/>
            <w:tcBorders>
              <w:top w:val="none"/>
              <w:bottom w:val="single" w:sz="8" w:space="0" w:color="000000"/>
              <w:left w:val="none"/>
              <w:right w:val="none"/>
            </w:tcBorders>
          </w:tcPr>
          <w:p>
            <w:pPr>
              <w:spacing w:line="240" w:lineRule="auto" w:after="0"/>
            </w:pPr>
            <w:r>
              <w:rPr>
                <w:b/>
                <w:sz w:val="20"/>
              </w:rPr>
            </w:r>
            <w:r>
              <w:rPr>
                <w:b/>
                <w:sz w:val="20"/>
              </w:rPr>
              <w:t>Total Tool Katalog</w:t>
            </w:r>
          </w:p>
        </w:tc>
        <w:tc>
          <w:tcPr>
            <w:tcW w:type="dxa" w:w="1984"/>
            <w:tcBorders>
              <w:top w:val="none"/>
              <w:bottom w:val="single" w:sz="8" w:space="0" w:color="000000"/>
              <w:left w:val="none"/>
              <w:right w:val="none"/>
            </w:tcBorders>
          </w:tcPr>
          <w:p>
            <w:pPr>
              <w:spacing w:line="240" w:lineRule="auto" w:after="0"/>
            </w:pPr>
            <w:r>
              <w:rPr>
                <w:b/>
                <w:sz w:val="20"/>
              </w:rPr>
            </w:r>
            <w:r>
              <w:rPr>
                <w:b/>
                <w:sz w:val="20"/>
              </w:rPr>
              <w:t>Tool Terlihat (Baseline)</w:t>
            </w:r>
          </w:p>
        </w:tc>
        <w:tc>
          <w:tcPr>
            <w:tcW w:type="dxa" w:w="1984"/>
            <w:tcBorders>
              <w:top w:val="none"/>
              <w:bottom w:val="single" w:sz="8" w:space="0" w:color="000000"/>
              <w:left w:val="none"/>
              <w:right w:val="none"/>
            </w:tcBorders>
          </w:tcPr>
          <w:p>
            <w:pPr>
              <w:spacing w:line="240" w:lineRule="auto" w:after="0"/>
            </w:pPr>
            <w:r>
              <w:rPr>
                <w:b/>
                <w:sz w:val="20"/>
              </w:rPr>
            </w:r>
            <w:r>
              <w:rPr>
                <w:b/>
                <w:sz w:val="20"/>
              </w:rPr>
              <w:t>Tool Terlihat (Registry)</w:t>
            </w:r>
          </w:p>
        </w:tc>
      </w:tr>
      <w:tr>
        <w:trPr>
          <w:cantSplit/>
        </w:trPr>
        <w:tc>
          <w:tcPr>
            <w:tcW w:type="dxa" w:w="1984"/>
          </w:tcPr>
          <w:p>
            <w:pPr>
              <w:spacing w:line="240" w:lineRule="auto" w:after="0"/>
            </w:pPr>
            <w:r>
              <w:rPr>
                <w:sz w:val="20"/>
              </w:rPr>
            </w:r>
            <w:r>
              <w:rPr>
                <w:sz w:val="20"/>
              </w:rPr>
              <w:t>S1</w:t>
            </w:r>
          </w:p>
        </w:tc>
        <w:tc>
          <w:tcPr>
            <w:tcW w:type="dxa" w:w="1984"/>
          </w:tcPr>
          <w:p>
            <w:pPr>
              <w:spacing w:line="240" w:lineRule="auto" w:after="0"/>
            </w:pPr>
            <w:r>
              <w:rPr>
                <w:sz w:val="20"/>
              </w:rPr>
            </w:r>
            <w:r>
              <w:rPr>
                <w:sz w:val="20"/>
              </w:rPr>
              <w:t>30</w:t>
            </w:r>
          </w:p>
        </w:tc>
        <w:tc>
          <w:tcPr>
            <w:tcW w:type="dxa" w:w="1984"/>
          </w:tcPr>
          <w:p>
            <w:pPr>
              <w:spacing w:line="240" w:lineRule="auto" w:after="0"/>
            </w:pPr>
            <w:r>
              <w:rPr>
                <w:sz w:val="20"/>
              </w:rPr>
            </w:r>
            <w:r>
              <w:rPr>
                <w:sz w:val="20"/>
              </w:rPr>
              <w:t>30</w:t>
            </w:r>
          </w:p>
        </w:tc>
        <w:tc>
          <w:tcPr>
            <w:tcW w:type="dxa" w:w="1984"/>
          </w:tcPr>
          <w:p>
            <w:pPr>
              <w:spacing w:line="240" w:lineRule="auto" w:after="0"/>
            </w:pPr>
            <w:r>
              <w:rPr>
                <w:sz w:val="20"/>
              </w:rPr>
            </w:r>
            <w:r>
              <w:rPr>
                <w:sz w:val="20"/>
              </w:rPr>
              <w:t>10,6</w:t>
            </w:r>
          </w:p>
        </w:tc>
      </w:tr>
      <w:tr>
        <w:trPr>
          <w:cantSplit/>
        </w:trPr>
        <w:tc>
          <w:tcPr>
            <w:tcW w:type="dxa" w:w="1984"/>
          </w:tcPr>
          <w:p>
            <w:pPr>
              <w:spacing w:line="240" w:lineRule="auto" w:after="0"/>
            </w:pPr>
            <w:r>
              <w:rPr>
                <w:sz w:val="20"/>
              </w:rPr>
            </w:r>
            <w:r>
              <w:rPr>
                <w:sz w:val="20"/>
              </w:rPr>
              <w:t>S2</w:t>
            </w:r>
          </w:p>
        </w:tc>
        <w:tc>
          <w:tcPr>
            <w:tcW w:type="dxa" w:w="1984"/>
          </w:tcPr>
          <w:p>
            <w:pPr>
              <w:spacing w:line="240" w:lineRule="auto" w:after="0"/>
            </w:pPr>
            <w:r>
              <w:rPr>
                <w:sz w:val="20"/>
              </w:rPr>
            </w:r>
            <w:r>
              <w:rPr>
                <w:sz w:val="20"/>
              </w:rPr>
              <w:t>100</w:t>
            </w:r>
          </w:p>
        </w:tc>
        <w:tc>
          <w:tcPr>
            <w:tcW w:type="dxa" w:w="1984"/>
          </w:tcPr>
          <w:p>
            <w:pPr>
              <w:spacing w:line="240" w:lineRule="auto" w:after="0"/>
            </w:pPr>
            <w:r>
              <w:rPr>
                <w:sz w:val="20"/>
              </w:rPr>
            </w:r>
            <w:r>
              <w:rPr>
                <w:sz w:val="20"/>
              </w:rPr>
              <w:t>100</w:t>
            </w:r>
          </w:p>
        </w:tc>
        <w:tc>
          <w:tcPr>
            <w:tcW w:type="dxa" w:w="1984"/>
          </w:tcPr>
          <w:p>
            <w:pPr>
              <w:spacing w:line="240" w:lineRule="auto" w:after="0"/>
            </w:pPr>
            <w:r>
              <w:rPr>
                <w:sz w:val="20"/>
              </w:rPr>
            </w:r>
            <w:r>
              <w:rPr>
                <w:sz w:val="20"/>
              </w:rPr>
              <w:t>15</w:t>
            </w:r>
          </w:p>
        </w:tc>
      </w:tr>
      <w:tr>
        <w:trPr>
          <w:cantSplit/>
        </w:trPr>
        <w:tc>
          <w:tcPr>
            <w:tcW w:type="dxa" w:w="1984"/>
          </w:tcPr>
          <w:p>
            <w:pPr>
              <w:spacing w:line="240" w:lineRule="auto" w:after="0"/>
            </w:pPr>
            <w:r>
              <w:rPr>
                <w:sz w:val="20"/>
              </w:rPr>
            </w:r>
            <w:r>
              <w:rPr>
                <w:sz w:val="20"/>
              </w:rPr>
              <w:t>S3</w:t>
            </w:r>
          </w:p>
        </w:tc>
        <w:tc>
          <w:tcPr>
            <w:tcW w:type="dxa" w:w="1984"/>
          </w:tcPr>
          <w:p>
            <w:pPr>
              <w:spacing w:line="240" w:lineRule="auto" w:after="0"/>
            </w:pPr>
            <w:r>
              <w:rPr>
                <w:sz w:val="20"/>
              </w:rPr>
            </w:r>
            <w:r>
              <w:rPr>
                <w:sz w:val="20"/>
              </w:rPr>
              <w:t>300</w:t>
            </w:r>
          </w:p>
        </w:tc>
        <w:tc>
          <w:tcPr>
            <w:tcW w:type="dxa" w:w="1984"/>
          </w:tcPr>
          <w:p>
            <w:pPr>
              <w:spacing w:line="240" w:lineRule="auto" w:after="0"/>
            </w:pPr>
            <w:r>
              <w:rPr>
                <w:sz w:val="20"/>
              </w:rPr>
            </w:r>
            <w:r>
              <w:rPr>
                <w:sz w:val="20"/>
              </w:rPr>
              <w:t>300</w:t>
            </w:r>
          </w:p>
        </w:tc>
        <w:tc>
          <w:tcPr>
            <w:tcW w:type="dxa" w:w="1984"/>
          </w:tcPr>
          <w:p>
            <w:pPr>
              <w:spacing w:line="240" w:lineRule="auto" w:after="0"/>
            </w:pPr>
            <w:r>
              <w:rPr>
                <w:sz w:val="20"/>
              </w:rPr>
            </w:r>
            <w:r>
              <w:rPr>
                <w:sz w:val="20"/>
              </w:rPr>
              <w:t>15</w:t>
            </w:r>
          </w:p>
        </w:tc>
      </w:tr>
    </w:tbl>
    <w:p>
      <w:pPr>
        <w:ind w:firstLine="720"/>
        <w:jc w:val="both"/>
      </w:pPr>
      <w:r>
        <w:t xml:space="preserve">Pada mode </w:t>
      </w:r>
      <w:r>
        <w:rPr>
          <w:i/>
        </w:rPr>
        <w:t>baseline</w:t>
      </w:r>
      <w:r>
        <w:t xml:space="preserve">, jumlah </w:t>
      </w:r>
      <w:r>
        <w:rPr>
          <w:i/>
        </w:rPr>
        <w:t>tool</w:t>
      </w:r>
      <w:r>
        <w:t xml:space="preserve"> yang terlihat tumbuh secara O(N) — mengikuti persis ukuran katalog (30, 100, 300). Sebaliknya, pada mode </w:t>
      </w:r>
      <w:r>
        <w:rPr>
          <w:i/>
        </w:rPr>
        <w:t>registry</w:t>
      </w:r>
      <w:r>
        <w:t xml:space="preserve">, jumlah </w:t>
      </w:r>
      <w:r>
        <w:rPr>
          <w:i/>
        </w:rPr>
        <w:t>tool</w:t>
      </w:r>
      <w:r>
        <w:t xml:space="preserve"> terlihat tertahan pada </w:t>
      </w:r>
      <w:r>
        <w:rPr>
          <w:i/>
        </w:rPr>
        <w:t>budget cap</w:t>
      </w:r>
      <w:r>
        <w:t xml:space="preserve"> sebesar 15 </w:t>
      </w:r>
      <w:r>
        <w:rPr>
          <w:i/>
        </w:rPr>
        <w:t>tool</w:t>
      </w:r>
      <w:r>
        <w:t xml:space="preserve">, bahkan hanya 10,6 </w:t>
      </w:r>
      <w:r>
        <w:rPr>
          <w:i/>
        </w:rPr>
        <w:t>tool</w:t>
      </w:r>
      <w:r>
        <w:t xml:space="preserve"> rata-rata pada S1 karena sebagian kueri menghasilkan kandidat lebih sedikit dari anggaran. Sebagaimana terlihat pada Gambar 4.3, kurva </w:t>
      </w:r>
      <w:r>
        <w:rPr>
          <w:i/>
        </w:rPr>
        <w:t>registry</w:t>
      </w:r>
      <w:r>
        <w:t xml:space="preserve"> mendatar (O(1)) sementara kurva </w:t>
      </w:r>
      <w:r>
        <w:rPr>
          <w:i/>
        </w:rPr>
        <w:t>baseline</w:t>
      </w:r>
      <w:r>
        <w:t xml:space="preserve"> menanjak linear. Properti O(1) inilah yang menjawab rumusan masalah keempat: katalog dapat tumbuh dari 30 ke 300 </w:t>
      </w:r>
      <w:r>
        <w:rPr>
          <w:i/>
        </w:rPr>
        <w:t>tool</w:t>
      </w:r>
      <w:r>
        <w:t xml:space="preserve"> tanpa menambah beban konteks yang dilihat LLM, sehingga skalabilitas AI Agent zerlo.id tidak lagi dibatasi oleh ukuran katalog </w:t>
      </w:r>
      <w:r>
        <w:rPr>
          <w:i/>
        </w:rPr>
        <w:t>tool</w:t>
      </w:r>
      <w:r>
        <w:t>.</w:t>
      </w:r>
    </w:p>
    <w:p>
      <w:pPr>
        <w:pStyle w:val="Heading2"/>
      </w:pPr>
      <w:r>
        <w:t>4.6 Analisis Memory Footprint</w:t>
      </w:r>
    </w:p>
    <w:p>
      <w:pPr>
        <w:ind w:firstLine="720"/>
        <w:jc w:val="both"/>
      </w:pPr>
      <w:r>
        <w:t>Jejak memori (</w:t>
      </w:r>
      <w:r>
        <w:rPr>
          <w:i/>
        </w:rPr>
        <w:t>memory footprint</w:t>
      </w:r>
      <w:r>
        <w:t xml:space="preserve">) registry diukur untuk memastikan bahwa </w:t>
      </w:r>
      <w:r>
        <w:rPr>
          <w:i/>
        </w:rPr>
        <w:t>overhead</w:t>
      </w:r>
      <w:r>
        <w:t xml:space="preserve"> struktur metadata tetap kecil dan dapat dikelola. Hasil pengukuran disajikan pada Gambar 4.4 dan Tabel 4.6.</w:t>
      </w:r>
    </w:p>
    <w:p>
      <w:pPr>
        <w:keepNext/>
        <w:spacing w:before="120"/>
        <w:jc w:val="center"/>
      </w:pPr>
      <w:r>
        <w:drawing>
          <wp:inline xmlns:a="http://schemas.openxmlformats.org/drawingml/2006/main" xmlns:pic="http://schemas.openxmlformats.org/drawingml/2006/picture">
            <wp:extent cx="4320000" cy="2400000"/>
            <wp:docPr id="4" name="Picture 4"/>
            <wp:cNvGraphicFramePr>
              <a:graphicFrameLocks noChangeAspect="1"/>
            </wp:cNvGraphicFramePr>
            <a:graphic>
              <a:graphicData uri="http://schemas.openxmlformats.org/drawingml/2006/picture">
                <pic:pic>
                  <pic:nvPicPr>
                    <pic:cNvPr id="0" name="memory_footprint.png"/>
                    <pic:cNvPicPr/>
                  </pic:nvPicPr>
                  <pic:blipFill>
                    <a:blip r:embed="rId13"/>
                    <a:stretch>
                      <a:fillRect/>
                    </a:stretch>
                  </pic:blipFill>
                  <pic:spPr>
                    <a:xfrm>
                      <a:off x="0" y="0"/>
                      <a:ext cx="4320000" cy="2400000"/>
                    </a:xfrm>
                    <a:prstGeom prst="rect"/>
                  </pic:spPr>
                </pic:pic>
              </a:graphicData>
            </a:graphic>
          </wp:inline>
        </w:drawing>
      </w:r>
    </w:p>
    <w:p>
      <w:pPr>
        <w:pStyle w:val="Caption"/>
        <w:jc w:val="center"/>
      </w:pPr>
      <w:r>
        <w:t>Gambar 4.</w:t>
      </w:r>
      <w:fldSimple w:instr=" SEQ Gambar \* ARABIC ">
        <w:r>
          <w:t>1</w:t>
        </w:r>
      </w:fldSimple>
      <w:r>
        <w:t xml:space="preserve"> Jejak Memori Registry terhadap Ukuran Katalog.</w:t>
      </w:r>
    </w:p>
    <w:p>
      <w:pPr>
        <w:pStyle w:val="Caption"/>
        <w:keepNext/>
        <w:jc w:val="center"/>
      </w:pPr>
      <w:r>
        <w:t>Tabel 4.</w:t>
      </w:r>
      <w:fldSimple w:instr=" SEQ Tabel \* ARABIC ">
        <w:r>
          <w:t>1</w:t>
        </w:r>
      </w:fldSimple>
      <w:r>
        <w:t xml:space="preserve"> Jejak Memori Registry per Skenario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984"/>
        <w:gridCol w:w="1984"/>
        <w:gridCol w:w="1984"/>
        <w:gridCol w:w="1984"/>
      </w:tblGrid>
      <w:tr>
        <w:trPr>
          <w:cantSplit/>
          <w:tblHeader/>
        </w:trPr>
        <w:tc>
          <w:tcPr>
            <w:tcW w:type="dxa" w:w="1984"/>
            <w:tcBorders>
              <w:top w:val="none"/>
              <w:bottom w:val="single" w:sz="8" w:space="0" w:color="000000"/>
              <w:left w:val="none"/>
              <w:right w:val="none"/>
            </w:tcBorders>
          </w:tcPr>
          <w:p>
            <w:pPr>
              <w:spacing w:line="240" w:lineRule="auto" w:after="0"/>
            </w:pPr>
            <w:r>
              <w:rPr>
                <w:b/>
                <w:sz w:val="20"/>
              </w:rPr>
            </w:r>
            <w:r>
              <w:rPr>
                <w:b/>
                <w:sz w:val="20"/>
              </w:rPr>
              <w:t>Skenario</w:t>
            </w:r>
          </w:p>
        </w:tc>
        <w:tc>
          <w:tcPr>
            <w:tcW w:type="dxa" w:w="1984"/>
            <w:tcBorders>
              <w:top w:val="none"/>
              <w:bottom w:val="single" w:sz="8" w:space="0" w:color="000000"/>
              <w:left w:val="none"/>
              <w:right w:val="none"/>
            </w:tcBorders>
          </w:tcPr>
          <w:p>
            <w:pPr>
              <w:spacing w:line="240" w:lineRule="auto" w:after="0"/>
            </w:pPr>
            <w:r>
              <w:rPr>
                <w:b/>
                <w:sz w:val="20"/>
              </w:rPr>
            </w:r>
            <w:r>
              <w:rPr>
                <w:b/>
                <w:sz w:val="20"/>
              </w:rPr>
              <w:t>Total Tool</w:t>
            </w:r>
          </w:p>
        </w:tc>
        <w:tc>
          <w:tcPr>
            <w:tcW w:type="dxa" w:w="1984"/>
            <w:tcBorders>
              <w:top w:val="none"/>
              <w:bottom w:val="single" w:sz="8" w:space="0" w:color="000000"/>
              <w:left w:val="none"/>
              <w:right w:val="none"/>
            </w:tcBorders>
          </w:tcPr>
          <w:p>
            <w:pPr>
              <w:spacing w:line="240" w:lineRule="auto" w:after="0"/>
            </w:pPr>
            <w:r>
              <w:rPr>
                <w:b/>
                <w:sz w:val="20"/>
              </w:rPr>
            </w:r>
            <w:r>
              <w:rPr>
                <w:b/>
                <w:sz w:val="20"/>
              </w:rPr>
              <w:t>Jejak Memori (byte)</w:t>
            </w:r>
          </w:p>
        </w:tc>
        <w:tc>
          <w:tcPr>
            <w:tcW w:type="dxa" w:w="1984"/>
            <w:tcBorders>
              <w:top w:val="none"/>
              <w:bottom w:val="single" w:sz="8" w:space="0" w:color="000000"/>
              <w:left w:val="none"/>
              <w:right w:val="none"/>
            </w:tcBorders>
          </w:tcPr>
          <w:p>
            <w:pPr>
              <w:spacing w:line="240" w:lineRule="auto" w:after="0"/>
            </w:pPr>
            <w:r>
              <w:rPr>
                <w:b/>
                <w:sz w:val="20"/>
              </w:rPr>
            </w:r>
            <w:r>
              <w:rPr>
                <w:b/>
                <w:sz w:val="20"/>
              </w:rPr>
              <w:t>Setara</w:t>
            </w:r>
          </w:p>
        </w:tc>
      </w:tr>
      <w:tr>
        <w:trPr>
          <w:cantSplit/>
        </w:trPr>
        <w:tc>
          <w:tcPr>
            <w:tcW w:type="dxa" w:w="1984"/>
          </w:tcPr>
          <w:p>
            <w:pPr>
              <w:spacing w:line="240" w:lineRule="auto" w:after="0"/>
            </w:pPr>
            <w:r>
              <w:rPr>
                <w:sz w:val="20"/>
              </w:rPr>
            </w:r>
            <w:r>
              <w:rPr>
                <w:sz w:val="20"/>
              </w:rPr>
              <w:t>S1</w:t>
            </w:r>
          </w:p>
        </w:tc>
        <w:tc>
          <w:tcPr>
            <w:tcW w:type="dxa" w:w="1984"/>
          </w:tcPr>
          <w:p>
            <w:pPr>
              <w:spacing w:line="240" w:lineRule="auto" w:after="0"/>
            </w:pPr>
            <w:r>
              <w:rPr>
                <w:sz w:val="20"/>
              </w:rPr>
            </w:r>
            <w:r>
              <w:rPr>
                <w:sz w:val="20"/>
              </w:rPr>
              <w:t>30</w:t>
            </w:r>
          </w:p>
        </w:tc>
        <w:tc>
          <w:tcPr>
            <w:tcW w:type="dxa" w:w="1984"/>
          </w:tcPr>
          <w:p>
            <w:pPr>
              <w:spacing w:line="240" w:lineRule="auto" w:after="0"/>
            </w:pPr>
            <w:r>
              <w:rPr>
                <w:sz w:val="20"/>
              </w:rPr>
            </w:r>
            <w:r>
              <w:rPr>
                <w:sz w:val="20"/>
              </w:rPr>
              <w:t>22.662</w:t>
            </w:r>
          </w:p>
        </w:tc>
        <w:tc>
          <w:tcPr>
            <w:tcW w:type="dxa" w:w="1984"/>
          </w:tcPr>
          <w:p>
            <w:pPr>
              <w:spacing w:line="240" w:lineRule="auto" w:after="0"/>
            </w:pPr>
            <w:r>
              <w:rPr>
                <w:sz w:val="20"/>
              </w:rPr>
            </w:r>
            <w:r>
              <w:rPr>
                <w:sz w:val="20"/>
              </w:rPr>
              <w:t>≈22 KB</w:t>
            </w:r>
          </w:p>
        </w:tc>
      </w:tr>
      <w:tr>
        <w:trPr>
          <w:cantSplit/>
        </w:trPr>
        <w:tc>
          <w:tcPr>
            <w:tcW w:type="dxa" w:w="1984"/>
          </w:tcPr>
          <w:p>
            <w:pPr>
              <w:spacing w:line="240" w:lineRule="auto" w:after="0"/>
            </w:pPr>
            <w:r>
              <w:rPr>
                <w:sz w:val="20"/>
              </w:rPr>
            </w:r>
            <w:r>
              <w:rPr>
                <w:sz w:val="20"/>
              </w:rPr>
              <w:t>S2</w:t>
            </w:r>
          </w:p>
        </w:tc>
        <w:tc>
          <w:tcPr>
            <w:tcW w:type="dxa" w:w="1984"/>
          </w:tcPr>
          <w:p>
            <w:pPr>
              <w:spacing w:line="240" w:lineRule="auto" w:after="0"/>
            </w:pPr>
            <w:r>
              <w:rPr>
                <w:sz w:val="20"/>
              </w:rPr>
            </w:r>
            <w:r>
              <w:rPr>
                <w:sz w:val="20"/>
              </w:rPr>
              <w:t>100</w:t>
            </w:r>
          </w:p>
        </w:tc>
        <w:tc>
          <w:tcPr>
            <w:tcW w:type="dxa" w:w="1984"/>
          </w:tcPr>
          <w:p>
            <w:pPr>
              <w:spacing w:line="240" w:lineRule="auto" w:after="0"/>
            </w:pPr>
            <w:r>
              <w:rPr>
                <w:sz w:val="20"/>
              </w:rPr>
            </w:r>
            <w:r>
              <w:rPr>
                <w:sz w:val="20"/>
              </w:rPr>
              <w:t>71.971</w:t>
            </w:r>
          </w:p>
        </w:tc>
        <w:tc>
          <w:tcPr>
            <w:tcW w:type="dxa" w:w="1984"/>
          </w:tcPr>
          <w:p>
            <w:pPr>
              <w:spacing w:line="240" w:lineRule="auto" w:after="0"/>
            </w:pPr>
            <w:r>
              <w:rPr>
                <w:sz w:val="20"/>
              </w:rPr>
            </w:r>
            <w:r>
              <w:rPr>
                <w:sz w:val="20"/>
              </w:rPr>
              <w:t>≈70 KB</w:t>
            </w:r>
          </w:p>
        </w:tc>
      </w:tr>
      <w:tr>
        <w:trPr>
          <w:cantSplit/>
        </w:trPr>
        <w:tc>
          <w:tcPr>
            <w:tcW w:type="dxa" w:w="1984"/>
          </w:tcPr>
          <w:p>
            <w:pPr>
              <w:spacing w:line="240" w:lineRule="auto" w:after="0"/>
            </w:pPr>
            <w:r>
              <w:rPr>
                <w:sz w:val="20"/>
              </w:rPr>
            </w:r>
            <w:r>
              <w:rPr>
                <w:sz w:val="20"/>
              </w:rPr>
              <w:t>S3</w:t>
            </w:r>
          </w:p>
        </w:tc>
        <w:tc>
          <w:tcPr>
            <w:tcW w:type="dxa" w:w="1984"/>
          </w:tcPr>
          <w:p>
            <w:pPr>
              <w:spacing w:line="240" w:lineRule="auto" w:after="0"/>
            </w:pPr>
            <w:r>
              <w:rPr>
                <w:sz w:val="20"/>
              </w:rPr>
            </w:r>
            <w:r>
              <w:rPr>
                <w:sz w:val="20"/>
              </w:rPr>
              <w:t>300</w:t>
            </w:r>
          </w:p>
        </w:tc>
        <w:tc>
          <w:tcPr>
            <w:tcW w:type="dxa" w:w="1984"/>
          </w:tcPr>
          <w:p>
            <w:pPr>
              <w:spacing w:line="240" w:lineRule="auto" w:after="0"/>
            </w:pPr>
            <w:r>
              <w:rPr>
                <w:sz w:val="20"/>
              </w:rPr>
            </w:r>
            <w:r>
              <w:rPr>
                <w:sz w:val="20"/>
              </w:rPr>
              <w:t>205.354</w:t>
            </w:r>
          </w:p>
        </w:tc>
        <w:tc>
          <w:tcPr>
            <w:tcW w:type="dxa" w:w="1984"/>
          </w:tcPr>
          <w:p>
            <w:pPr>
              <w:spacing w:line="240" w:lineRule="auto" w:after="0"/>
            </w:pPr>
            <w:r>
              <w:rPr>
                <w:sz w:val="20"/>
              </w:rPr>
            </w:r>
            <w:r>
              <w:rPr>
                <w:sz w:val="20"/>
              </w:rPr>
              <w:t>≈201 KB</w:t>
            </w:r>
          </w:p>
        </w:tc>
      </w:tr>
    </w:tbl>
    <w:p>
      <w:pPr>
        <w:ind w:firstLine="720"/>
        <w:jc w:val="both"/>
      </w:pPr>
      <w:r>
        <w:t xml:space="preserve">Jejak memori tumbuh secara linear terhadap ukuran katalog, dari 22 KB (30 </w:t>
      </w:r>
      <w:r>
        <w:rPr>
          <w:i/>
        </w:rPr>
        <w:t>tool</w:t>
      </w:r>
      <w:r>
        <w:t xml:space="preserve">) menjadi 201 KB (300 </w:t>
      </w:r>
      <w:r>
        <w:rPr>
          <w:i/>
        </w:rPr>
        <w:t>tool</w:t>
      </w:r>
      <w:r>
        <w:t xml:space="preserve">). Pertumbuhan linear ini wajar dan tidak menjadi </w:t>
      </w:r>
      <w:r>
        <w:rPr>
          <w:i/>
        </w:rPr>
        <w:t>bottleneck</w:t>
      </w:r>
      <w:r>
        <w:t xml:space="preserve">: bahkan pada katalog 300 </w:t>
      </w:r>
      <w:r>
        <w:rPr>
          <w:i/>
        </w:rPr>
        <w:t>tool</w:t>
      </w:r>
      <w:r>
        <w:t xml:space="preserve">, struktur metadata registry hanya menempati sekitar 201 KB memori — jumlah yang sangat kecil dibandingkan kapasitas memori server produksi. Dengan demikian, manfaat penghematan token yang besar diperoleh dengan </w:t>
      </w:r>
      <w:r>
        <w:rPr>
          <w:i/>
        </w:rPr>
        <w:t>overhead</w:t>
      </w:r>
      <w:r>
        <w:t xml:space="preserve"> memori yang dapat diabaikan, menjadikan Tool Registry solusi yang efisien secara ruang maupun token.</w:t>
      </w:r>
    </w:p>
    <w:p>
      <w:pPr>
        <w:pStyle w:val="Heading2"/>
      </w:pPr>
      <w:r>
        <w:t>4.7 Analisis Latency</w:t>
      </w:r>
    </w:p>
    <w:p>
      <w:pPr>
        <w:ind w:firstLine="720"/>
        <w:jc w:val="both"/>
      </w:pPr>
      <w:r>
        <w:t>Latensi respons diukur pada persentil ke-50 (p50) sebagai indikator pengalaman pengguna tipikal. Perbandingan latensi disajikan pada Gambar 4.5 dan Tabel 4.7.</w:t>
      </w:r>
    </w:p>
    <w:p>
      <w:pPr>
        <w:keepNext/>
        <w:spacing w:before="120"/>
        <w:jc w:val="center"/>
      </w:pPr>
      <w:r>
        <w:drawing>
          <wp:inline xmlns:a="http://schemas.openxmlformats.org/drawingml/2006/main" xmlns:pic="http://schemas.openxmlformats.org/drawingml/2006/picture">
            <wp:extent cx="4320000" cy="2400000"/>
            <wp:docPr id="5" name="Picture 5"/>
            <wp:cNvGraphicFramePr>
              <a:graphicFrameLocks noChangeAspect="1"/>
            </wp:cNvGraphicFramePr>
            <a:graphic>
              <a:graphicData uri="http://schemas.openxmlformats.org/drawingml/2006/picture">
                <pic:pic>
                  <pic:nvPicPr>
                    <pic:cNvPr id="0" name="latency_p50.png"/>
                    <pic:cNvPicPr/>
                  </pic:nvPicPr>
                  <pic:blipFill>
                    <a:blip r:embed="rId14"/>
                    <a:stretch>
                      <a:fillRect/>
                    </a:stretch>
                  </pic:blipFill>
                  <pic:spPr>
                    <a:xfrm>
                      <a:off x="0" y="0"/>
                      <a:ext cx="4320000" cy="2400000"/>
                    </a:xfrm>
                    <a:prstGeom prst="rect"/>
                  </pic:spPr>
                </pic:pic>
              </a:graphicData>
            </a:graphic>
          </wp:inline>
        </w:drawing>
      </w:r>
    </w:p>
    <w:p>
      <w:pPr>
        <w:pStyle w:val="Caption"/>
        <w:jc w:val="center"/>
      </w:pPr>
      <w:r>
        <w:t>Gambar 4.</w:t>
      </w:r>
      <w:fldSimple w:instr=" SEQ Gambar \* ARABIC ">
        <w:r>
          <w:t>1</w:t>
        </w:r>
      </w:fldSimple>
      <w:r>
        <w:t xml:space="preserve"> Perbandingan Latensi p50 Baseline dan Registry.</w:t>
      </w:r>
    </w:p>
    <w:p>
      <w:pPr>
        <w:pStyle w:val="Caption"/>
        <w:keepNext/>
        <w:jc w:val="center"/>
      </w:pPr>
      <w:r>
        <w:t>Tabel 4.</w:t>
      </w:r>
      <w:fldSimple w:instr=" SEQ Tabel \* ARABIC ">
        <w:r>
          <w:t>1</w:t>
        </w:r>
      </w:fldSimple>
      <w:r>
        <w:t xml:space="preserve"> Latensi p50 dan p95 per Skenario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Skenario</w:t>
            </w:r>
          </w:p>
        </w:tc>
        <w:tc>
          <w:tcPr>
            <w:tcW w:type="dxa" w:w="1587"/>
            <w:tcBorders>
              <w:top w:val="none"/>
              <w:bottom w:val="single" w:sz="8" w:space="0" w:color="000000"/>
              <w:left w:val="none"/>
              <w:right w:val="none"/>
            </w:tcBorders>
          </w:tcPr>
          <w:p>
            <w:pPr>
              <w:spacing w:line="240" w:lineRule="auto" w:after="0"/>
            </w:pPr>
            <w:r>
              <w:rPr>
                <w:b/>
                <w:sz w:val="20"/>
              </w:rPr>
            </w:r>
            <w:r>
              <w:rPr>
                <w:b/>
                <w:sz w:val="20"/>
              </w:rPr>
              <w:t>p50 Baseline</w:t>
            </w:r>
          </w:p>
        </w:tc>
        <w:tc>
          <w:tcPr>
            <w:tcW w:type="dxa" w:w="1587"/>
            <w:tcBorders>
              <w:top w:val="none"/>
              <w:bottom w:val="single" w:sz="8" w:space="0" w:color="000000"/>
              <w:left w:val="none"/>
              <w:right w:val="none"/>
            </w:tcBorders>
          </w:tcPr>
          <w:p>
            <w:pPr>
              <w:spacing w:line="240" w:lineRule="auto" w:after="0"/>
            </w:pPr>
            <w:r>
              <w:rPr>
                <w:b/>
                <w:sz w:val="20"/>
              </w:rPr>
            </w:r>
            <w:r>
              <w:rPr>
                <w:b/>
                <w:sz w:val="20"/>
              </w:rPr>
              <w:t>p50 Registry</w:t>
            </w:r>
          </w:p>
        </w:tc>
        <w:tc>
          <w:tcPr>
            <w:tcW w:type="dxa" w:w="1587"/>
            <w:tcBorders>
              <w:top w:val="none"/>
              <w:bottom w:val="single" w:sz="8" w:space="0" w:color="000000"/>
              <w:left w:val="none"/>
              <w:right w:val="none"/>
            </w:tcBorders>
          </w:tcPr>
          <w:p>
            <w:pPr>
              <w:spacing w:line="240" w:lineRule="auto" w:after="0"/>
            </w:pPr>
            <w:r>
              <w:rPr>
                <w:b/>
                <w:sz w:val="20"/>
              </w:rPr>
            </w:r>
            <w:r>
              <w:rPr>
                <w:b/>
                <w:sz w:val="20"/>
              </w:rPr>
              <w:t>p95 Baseline</w:t>
            </w:r>
          </w:p>
        </w:tc>
        <w:tc>
          <w:tcPr>
            <w:tcW w:type="dxa" w:w="1587"/>
            <w:tcBorders>
              <w:top w:val="none"/>
              <w:bottom w:val="single" w:sz="8" w:space="0" w:color="000000"/>
              <w:left w:val="none"/>
              <w:right w:val="none"/>
            </w:tcBorders>
          </w:tcPr>
          <w:p>
            <w:pPr>
              <w:spacing w:line="240" w:lineRule="auto" w:after="0"/>
            </w:pPr>
            <w:r>
              <w:rPr>
                <w:b/>
                <w:sz w:val="20"/>
              </w:rPr>
            </w:r>
            <w:r>
              <w:rPr>
                <w:b/>
                <w:sz w:val="20"/>
              </w:rPr>
              <w:t>p95 Registry</w:t>
            </w:r>
          </w:p>
        </w:tc>
      </w:tr>
      <w:tr>
        <w:trPr>
          <w:cantSplit/>
        </w:trPr>
        <w:tc>
          <w:tcPr>
            <w:tcW w:type="dxa" w:w="1587"/>
          </w:tcPr>
          <w:p>
            <w:pPr>
              <w:spacing w:line="240" w:lineRule="auto" w:after="0"/>
            </w:pPr>
            <w:r>
              <w:rPr>
                <w:sz w:val="20"/>
              </w:rPr>
            </w:r>
            <w:r>
              <w:rPr>
                <w:sz w:val="20"/>
              </w:rPr>
              <w:t>S1</w:t>
            </w:r>
          </w:p>
        </w:tc>
        <w:tc>
          <w:tcPr>
            <w:tcW w:type="dxa" w:w="1587"/>
          </w:tcPr>
          <w:p>
            <w:pPr>
              <w:spacing w:line="240" w:lineRule="auto" w:after="0"/>
            </w:pPr>
            <w:r>
              <w:rPr>
                <w:sz w:val="20"/>
              </w:rPr>
            </w:r>
            <w:r>
              <w:rPr>
                <w:sz w:val="20"/>
              </w:rPr>
              <w:t>833 ms</w:t>
            </w:r>
          </w:p>
        </w:tc>
        <w:tc>
          <w:tcPr>
            <w:tcW w:type="dxa" w:w="1587"/>
          </w:tcPr>
          <w:p>
            <w:pPr>
              <w:spacing w:line="240" w:lineRule="auto" w:after="0"/>
            </w:pPr>
            <w:r>
              <w:rPr>
                <w:sz w:val="20"/>
              </w:rPr>
            </w:r>
            <w:r>
              <w:rPr>
                <w:sz w:val="20"/>
              </w:rPr>
              <w:t>905 ms</w:t>
            </w:r>
          </w:p>
        </w:tc>
        <w:tc>
          <w:tcPr>
            <w:tcW w:type="dxa" w:w="1587"/>
          </w:tcPr>
          <w:p>
            <w:pPr>
              <w:spacing w:line="240" w:lineRule="auto" w:after="0"/>
            </w:pPr>
            <w:r>
              <w:rPr>
                <w:sz w:val="20"/>
              </w:rPr>
            </w:r>
            <w:r>
              <w:rPr>
                <w:sz w:val="20"/>
              </w:rPr>
              <w:t>1.311 ms</w:t>
            </w:r>
          </w:p>
        </w:tc>
        <w:tc>
          <w:tcPr>
            <w:tcW w:type="dxa" w:w="1587"/>
          </w:tcPr>
          <w:p>
            <w:pPr>
              <w:spacing w:line="240" w:lineRule="auto" w:after="0"/>
            </w:pPr>
            <w:r>
              <w:rPr>
                <w:sz w:val="20"/>
              </w:rPr>
            </w:r>
            <w:r>
              <w:rPr>
                <w:sz w:val="20"/>
              </w:rPr>
              <w:t>2.567 ms</w:t>
            </w:r>
          </w:p>
        </w:tc>
      </w:tr>
      <w:tr>
        <w:trPr>
          <w:cantSplit/>
        </w:trPr>
        <w:tc>
          <w:tcPr>
            <w:tcW w:type="dxa" w:w="1587"/>
          </w:tcPr>
          <w:p>
            <w:pPr>
              <w:spacing w:line="240" w:lineRule="auto" w:after="0"/>
            </w:pPr>
            <w:r>
              <w:rPr>
                <w:sz w:val="20"/>
              </w:rPr>
            </w:r>
            <w:r>
              <w:rPr>
                <w:sz w:val="20"/>
              </w:rPr>
              <w:t>S2</w:t>
            </w:r>
          </w:p>
        </w:tc>
        <w:tc>
          <w:tcPr>
            <w:tcW w:type="dxa" w:w="1587"/>
          </w:tcPr>
          <w:p>
            <w:pPr>
              <w:spacing w:line="240" w:lineRule="auto" w:after="0"/>
            </w:pPr>
            <w:r>
              <w:rPr>
                <w:sz w:val="20"/>
              </w:rPr>
            </w:r>
            <w:r>
              <w:rPr>
                <w:sz w:val="20"/>
              </w:rPr>
              <w:t>1.014 ms</w:t>
            </w:r>
          </w:p>
        </w:tc>
        <w:tc>
          <w:tcPr>
            <w:tcW w:type="dxa" w:w="1587"/>
          </w:tcPr>
          <w:p>
            <w:pPr>
              <w:spacing w:line="240" w:lineRule="auto" w:after="0"/>
            </w:pPr>
            <w:r>
              <w:rPr>
                <w:sz w:val="20"/>
              </w:rPr>
            </w:r>
            <w:r>
              <w:rPr>
                <w:sz w:val="20"/>
              </w:rPr>
              <w:t>910 ms</w:t>
            </w:r>
          </w:p>
        </w:tc>
        <w:tc>
          <w:tcPr>
            <w:tcW w:type="dxa" w:w="1587"/>
          </w:tcPr>
          <w:p>
            <w:pPr>
              <w:spacing w:line="240" w:lineRule="auto" w:after="0"/>
            </w:pPr>
            <w:r>
              <w:rPr>
                <w:sz w:val="20"/>
              </w:rPr>
            </w:r>
            <w:r>
              <w:rPr>
                <w:sz w:val="20"/>
              </w:rPr>
              <w:t>2.625 ms</w:t>
            </w:r>
          </w:p>
        </w:tc>
        <w:tc>
          <w:tcPr>
            <w:tcW w:type="dxa" w:w="1587"/>
          </w:tcPr>
          <w:p>
            <w:pPr>
              <w:spacing w:line="240" w:lineRule="auto" w:after="0"/>
            </w:pPr>
            <w:r>
              <w:rPr>
                <w:sz w:val="20"/>
              </w:rPr>
            </w:r>
            <w:r>
              <w:rPr>
                <w:sz w:val="20"/>
              </w:rPr>
              <w:t>1.369 ms</w:t>
            </w:r>
          </w:p>
        </w:tc>
      </w:tr>
      <w:tr>
        <w:trPr>
          <w:cantSplit/>
        </w:trPr>
        <w:tc>
          <w:tcPr>
            <w:tcW w:type="dxa" w:w="1587"/>
          </w:tcPr>
          <w:p>
            <w:pPr>
              <w:spacing w:line="240" w:lineRule="auto" w:after="0"/>
            </w:pPr>
            <w:r>
              <w:rPr>
                <w:sz w:val="20"/>
              </w:rPr>
            </w:r>
            <w:r>
              <w:rPr>
                <w:sz w:val="20"/>
              </w:rPr>
              <w:t>S3</w:t>
            </w:r>
          </w:p>
        </w:tc>
        <w:tc>
          <w:tcPr>
            <w:tcW w:type="dxa" w:w="1587"/>
          </w:tcPr>
          <w:p>
            <w:pPr>
              <w:spacing w:line="240" w:lineRule="auto" w:after="0"/>
            </w:pPr>
            <w:r>
              <w:rPr>
                <w:sz w:val="20"/>
              </w:rPr>
            </w:r>
            <w:r>
              <w:rPr>
                <w:sz w:val="20"/>
              </w:rPr>
              <w:t>992 ms</w:t>
            </w:r>
          </w:p>
        </w:tc>
        <w:tc>
          <w:tcPr>
            <w:tcW w:type="dxa" w:w="1587"/>
          </w:tcPr>
          <w:p>
            <w:pPr>
              <w:spacing w:line="240" w:lineRule="auto" w:after="0"/>
            </w:pPr>
            <w:r>
              <w:rPr>
                <w:sz w:val="20"/>
              </w:rPr>
            </w:r>
            <w:r>
              <w:rPr>
                <w:sz w:val="20"/>
              </w:rPr>
              <w:t>851 ms</w:t>
            </w:r>
          </w:p>
        </w:tc>
        <w:tc>
          <w:tcPr>
            <w:tcW w:type="dxa" w:w="1587"/>
          </w:tcPr>
          <w:p>
            <w:pPr>
              <w:spacing w:line="240" w:lineRule="auto" w:after="0"/>
            </w:pPr>
            <w:r>
              <w:rPr>
                <w:sz w:val="20"/>
              </w:rPr>
            </w:r>
            <w:r>
              <w:rPr>
                <w:sz w:val="20"/>
              </w:rPr>
              <w:t>1.548 ms</w:t>
            </w:r>
          </w:p>
        </w:tc>
        <w:tc>
          <w:tcPr>
            <w:tcW w:type="dxa" w:w="1587"/>
          </w:tcPr>
          <w:p>
            <w:pPr>
              <w:spacing w:line="240" w:lineRule="auto" w:after="0"/>
            </w:pPr>
            <w:r>
              <w:rPr>
                <w:sz w:val="20"/>
              </w:rPr>
            </w:r>
            <w:r>
              <w:rPr>
                <w:sz w:val="20"/>
              </w:rPr>
              <w:t>1.112 ms</w:t>
            </w:r>
          </w:p>
        </w:tc>
      </w:tr>
    </w:tbl>
    <w:p>
      <w:pPr>
        <w:ind w:firstLine="720"/>
        <w:jc w:val="both"/>
      </w:pPr>
      <w:r>
        <w:t xml:space="preserve">Perbaikan latensi bersifat moderat dan tidak sekuat penghematan token. Pada skenario besar S3, latensi p50 membaik dari 992 ms menjadi 851 ms (−14%), dan p95 membaik dari 1.548 ms menjadi 1.112 ms. Namun pada skenario kecil S1, latensi </w:t>
      </w:r>
      <w:r>
        <w:rPr>
          <w:i/>
        </w:rPr>
        <w:t>registry</w:t>
      </w:r>
      <w:r>
        <w:t xml:space="preserve"> justru sedikit lebih tinggi (905 ms vs 833 ms), karena </w:t>
      </w:r>
      <w:r>
        <w:rPr>
          <w:i/>
        </w:rPr>
        <w:t>overhead</w:t>
      </w:r>
      <w:r>
        <w:t xml:space="preserve"> komputasi penyaringan belum terkompensasi oleh penghematan token yang kecil. Pola ini menunjukkan bahwa manfaat latensi Tool Registry baru terasa pada katalog besar — tepat pada kondisi di mana </w:t>
      </w:r>
      <w:r>
        <w:rPr>
          <w:i/>
        </w:rPr>
        <w:t>bottleneck</w:t>
      </w:r>
      <w:r>
        <w:t xml:space="preserve"> token paling parah. Mengingat variabilitas latensi yang tinggi (dipengaruhi kondisi jaringan dan beban layanan), perbaikan latensi dilaporkan sebagai manfaat sekunder yang moderat, bukan sebagai klaim utama.</w:t>
      </w:r>
    </w:p>
    <w:p>
      <w:pPr>
        <w:pStyle w:val="Heading2"/>
      </w:pPr>
      <w:r>
        <w:t>4.8 Uji Statistik</w:t>
      </w:r>
    </w:p>
    <w:p>
      <w:pPr>
        <w:ind w:firstLine="720"/>
        <w:jc w:val="both"/>
      </w:pPr>
      <w:r>
        <w:t xml:space="preserve">Signifikansi penghematan token diuji menggunakan uji Wilcoxon </w:t>
      </w:r>
      <w:r>
        <w:rPr>
          <w:i/>
        </w:rPr>
        <w:t>signed-rank</w:t>
      </w:r>
      <w:r>
        <w:t xml:space="preserve"> berpasangan satu arah, dengan ukuran efek Cohen's d dan selang kepercayaan (</w:t>
      </w:r>
      <w:r>
        <w:rPr>
          <w:i/>
        </w:rPr>
        <w:t>confidence interval</w:t>
      </w:r>
      <w:r>
        <w:t>) 95%. Hasil uji disajikan pada Tabel 4.8.</w:t>
      </w:r>
    </w:p>
    <w:p>
      <w:pPr>
        <w:pStyle w:val="Caption"/>
        <w:keepNext/>
        <w:jc w:val="center"/>
      </w:pPr>
      <w:r>
        <w:t>Tabel 4.</w:t>
      </w:r>
      <w:fldSimple w:instr=" SEQ Tabel \* ARABIC ">
        <w:r>
          <w:t>1</w:t>
        </w:r>
      </w:fldSimple>
      <w:r>
        <w:t xml:space="preserve"> Hasil Uji Statistik Penghematan Token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323"/>
        <w:gridCol w:w="1323"/>
        <w:gridCol w:w="1323"/>
        <w:gridCol w:w="1323"/>
        <w:gridCol w:w="1323"/>
        <w:gridCol w:w="1323"/>
      </w:tblGrid>
      <w:tr>
        <w:trPr>
          <w:cantSplit/>
          <w:tblHeader/>
        </w:trPr>
        <w:tc>
          <w:tcPr>
            <w:tcW w:type="dxa" w:w="1323"/>
            <w:tcBorders>
              <w:top w:val="none"/>
              <w:bottom w:val="single" w:sz="8" w:space="0" w:color="000000"/>
              <w:left w:val="none"/>
              <w:right w:val="none"/>
            </w:tcBorders>
          </w:tcPr>
          <w:p>
            <w:pPr>
              <w:spacing w:line="240" w:lineRule="auto" w:after="0"/>
            </w:pPr>
            <w:r>
              <w:rPr>
                <w:b/>
                <w:sz w:val="20"/>
              </w:rPr>
            </w:r>
            <w:r>
              <w:rPr>
                <w:b/>
                <w:sz w:val="20"/>
              </w:rPr>
              <w:t>Skenario</w:t>
            </w:r>
          </w:p>
        </w:tc>
        <w:tc>
          <w:tcPr>
            <w:tcW w:type="dxa" w:w="1323"/>
            <w:tcBorders>
              <w:top w:val="none"/>
              <w:bottom w:val="single" w:sz="8" w:space="0" w:color="000000"/>
              <w:left w:val="none"/>
              <w:right w:val="none"/>
            </w:tcBorders>
          </w:tcPr>
          <w:p>
            <w:pPr>
              <w:spacing w:line="240" w:lineRule="auto" w:after="0"/>
            </w:pPr>
            <w:r>
              <w:rPr>
                <w:b/>
                <w:sz w:val="20"/>
              </w:rPr>
            </w:r>
            <w:r>
              <w:rPr>
                <w:b/>
                <w:sz w:val="20"/>
              </w:rPr>
              <w:t>n Pasangan</w:t>
            </w:r>
          </w:p>
        </w:tc>
        <w:tc>
          <w:tcPr>
            <w:tcW w:type="dxa" w:w="1323"/>
            <w:tcBorders>
              <w:top w:val="none"/>
              <w:bottom w:val="single" w:sz="8" w:space="0" w:color="000000"/>
              <w:left w:val="none"/>
              <w:right w:val="none"/>
            </w:tcBorders>
          </w:tcPr>
          <w:p>
            <w:pPr>
              <w:spacing w:line="240" w:lineRule="auto" w:after="0"/>
            </w:pPr>
            <w:r>
              <w:rPr>
                <w:b/>
                <w:sz w:val="20"/>
              </w:rPr>
            </w:r>
            <w:r>
              <w:rPr>
                <w:b/>
                <w:sz w:val="20"/>
              </w:rPr>
              <w:t>Rerata Penghematan</w:t>
            </w:r>
          </w:p>
        </w:tc>
        <w:tc>
          <w:tcPr>
            <w:tcW w:type="dxa" w:w="1323"/>
            <w:tcBorders>
              <w:top w:val="none"/>
              <w:bottom w:val="single" w:sz="8" w:space="0" w:color="000000"/>
              <w:left w:val="none"/>
              <w:right w:val="none"/>
            </w:tcBorders>
          </w:tcPr>
          <w:p>
            <w:pPr>
              <w:spacing w:line="240" w:lineRule="auto" w:after="0"/>
            </w:pPr>
            <w:r>
              <w:rPr>
                <w:b/>
                <w:sz w:val="20"/>
              </w:rPr>
            </w:r>
            <w:r>
              <w:rPr>
                <w:b/>
                <w:sz w:val="20"/>
              </w:rPr>
              <w:t>CI 95%</w:t>
            </w:r>
          </w:p>
        </w:tc>
        <w:tc>
          <w:tcPr>
            <w:tcW w:type="dxa" w:w="1323"/>
            <w:tcBorders>
              <w:top w:val="none"/>
              <w:bottom w:val="single" w:sz="8" w:space="0" w:color="000000"/>
              <w:left w:val="none"/>
              <w:right w:val="none"/>
            </w:tcBorders>
          </w:tcPr>
          <w:p>
            <w:pPr>
              <w:spacing w:line="240" w:lineRule="auto" w:after="0"/>
            </w:pPr>
            <w:r>
              <w:rPr>
                <w:b/>
                <w:sz w:val="20"/>
              </w:rPr>
            </w:r>
            <w:r>
              <w:rPr>
                <w:b/>
                <w:sz w:val="20"/>
              </w:rPr>
              <w:t>Wilcoxon p</w:t>
            </w:r>
          </w:p>
        </w:tc>
        <w:tc>
          <w:tcPr>
            <w:tcW w:type="dxa" w:w="1323"/>
            <w:tcBorders>
              <w:top w:val="none"/>
              <w:bottom w:val="single" w:sz="8" w:space="0" w:color="000000"/>
              <w:left w:val="none"/>
              <w:right w:val="none"/>
            </w:tcBorders>
          </w:tcPr>
          <w:p>
            <w:pPr>
              <w:spacing w:line="240" w:lineRule="auto" w:after="0"/>
            </w:pPr>
            <w:r>
              <w:rPr>
                <w:b/>
                <w:sz w:val="20"/>
              </w:rPr>
            </w:r>
            <w:r>
              <w:rPr>
                <w:b/>
                <w:sz w:val="20"/>
              </w:rPr>
              <w:t>Cohen's d</w:t>
            </w:r>
          </w:p>
        </w:tc>
      </w:tr>
      <w:tr>
        <w:trPr>
          <w:cantSplit/>
        </w:trPr>
        <w:tc>
          <w:tcPr>
            <w:tcW w:type="dxa" w:w="1323"/>
          </w:tcPr>
          <w:p>
            <w:pPr>
              <w:spacing w:line="240" w:lineRule="auto" w:after="0"/>
            </w:pPr>
            <w:r>
              <w:rPr>
                <w:sz w:val="20"/>
              </w:rPr>
            </w:r>
            <w:r>
              <w:rPr>
                <w:sz w:val="20"/>
              </w:rPr>
              <w:t>S1</w:t>
            </w:r>
          </w:p>
        </w:tc>
        <w:tc>
          <w:tcPr>
            <w:tcW w:type="dxa" w:w="1323"/>
          </w:tcPr>
          <w:p>
            <w:pPr>
              <w:spacing w:line="240" w:lineRule="auto" w:after="0"/>
            </w:pPr>
            <w:r>
              <w:rPr>
                <w:sz w:val="20"/>
              </w:rPr>
            </w:r>
            <w:r>
              <w:rPr>
                <w:sz w:val="20"/>
              </w:rPr>
              <w:t>16</w:t>
            </w:r>
          </w:p>
        </w:tc>
        <w:tc>
          <w:tcPr>
            <w:tcW w:type="dxa" w:w="1323"/>
          </w:tcPr>
          <w:p>
            <w:pPr>
              <w:spacing w:line="240" w:lineRule="auto" w:after="0"/>
            </w:pPr>
            <w:r>
              <w:rPr>
                <w:sz w:val="20"/>
              </w:rPr>
            </w:r>
            <w:r>
              <w:rPr>
                <w:sz w:val="20"/>
              </w:rPr>
              <w:t>1.534 token</w:t>
            </w:r>
          </w:p>
        </w:tc>
        <w:tc>
          <w:tcPr>
            <w:tcW w:type="dxa" w:w="1323"/>
          </w:tcPr>
          <w:p>
            <w:pPr>
              <w:spacing w:line="240" w:lineRule="auto" w:after="0"/>
            </w:pPr>
            <w:r>
              <w:rPr>
                <w:sz w:val="20"/>
              </w:rPr>
            </w:r>
            <w:r>
              <w:rPr>
                <w:sz w:val="20"/>
              </w:rPr>
              <w:t>[1.464, 1.604]</w:t>
            </w:r>
          </w:p>
        </w:tc>
        <w:tc>
          <w:tcPr>
            <w:tcW w:type="dxa" w:w="1323"/>
          </w:tcPr>
          <w:p>
            <w:pPr>
              <w:spacing w:line="240" w:lineRule="auto" w:after="0"/>
            </w:pPr>
            <w:r>
              <w:rPr>
                <w:sz w:val="20"/>
              </w:rPr>
            </w:r>
            <w:r>
              <w:rPr>
                <w:sz w:val="20"/>
              </w:rPr>
              <w:t>0,0002</w:t>
            </w:r>
          </w:p>
        </w:tc>
        <w:tc>
          <w:tcPr>
            <w:tcW w:type="dxa" w:w="1323"/>
          </w:tcPr>
          <w:p>
            <w:pPr>
              <w:spacing w:line="240" w:lineRule="auto" w:after="0"/>
            </w:pPr>
            <w:r>
              <w:rPr>
                <w:sz w:val="20"/>
              </w:rPr>
            </w:r>
            <w:r>
              <w:rPr>
                <w:sz w:val="20"/>
              </w:rPr>
              <w:t>11,71</w:t>
            </w:r>
          </w:p>
        </w:tc>
      </w:tr>
      <w:tr>
        <w:trPr>
          <w:cantSplit/>
        </w:trPr>
        <w:tc>
          <w:tcPr>
            <w:tcW w:type="dxa" w:w="1323"/>
          </w:tcPr>
          <w:p>
            <w:pPr>
              <w:spacing w:line="240" w:lineRule="auto" w:after="0"/>
            </w:pPr>
            <w:r>
              <w:rPr>
                <w:sz w:val="20"/>
              </w:rPr>
            </w:r>
            <w:r>
              <w:rPr>
                <w:sz w:val="20"/>
              </w:rPr>
              <w:t>S2</w:t>
            </w:r>
          </w:p>
        </w:tc>
        <w:tc>
          <w:tcPr>
            <w:tcW w:type="dxa" w:w="1323"/>
          </w:tcPr>
          <w:p>
            <w:pPr>
              <w:spacing w:line="240" w:lineRule="auto" w:after="0"/>
            </w:pPr>
            <w:r>
              <w:rPr>
                <w:sz w:val="20"/>
              </w:rPr>
            </w:r>
            <w:r>
              <w:rPr>
                <w:sz w:val="20"/>
              </w:rPr>
              <w:t>28</w:t>
            </w:r>
          </w:p>
        </w:tc>
        <w:tc>
          <w:tcPr>
            <w:tcW w:type="dxa" w:w="1323"/>
          </w:tcPr>
          <w:p>
            <w:pPr>
              <w:spacing w:line="240" w:lineRule="auto" w:after="0"/>
            </w:pPr>
            <w:r>
              <w:rPr>
                <w:sz w:val="20"/>
              </w:rPr>
            </w:r>
            <w:r>
              <w:rPr>
                <w:sz w:val="20"/>
              </w:rPr>
              <w:t>6.744 token</w:t>
            </w:r>
          </w:p>
        </w:tc>
        <w:tc>
          <w:tcPr>
            <w:tcW w:type="dxa" w:w="1323"/>
          </w:tcPr>
          <w:p>
            <w:pPr>
              <w:spacing w:line="240" w:lineRule="auto" w:after="0"/>
            </w:pPr>
            <w:r>
              <w:rPr>
                <w:sz w:val="20"/>
              </w:rPr>
            </w:r>
            <w:r>
              <w:rPr>
                <w:sz w:val="20"/>
              </w:rPr>
              <w:t>[6.735, 6.753]</w:t>
            </w:r>
          </w:p>
        </w:tc>
        <w:tc>
          <w:tcPr>
            <w:tcW w:type="dxa" w:w="1323"/>
          </w:tcPr>
          <w:p>
            <w:pPr>
              <w:spacing w:line="240" w:lineRule="auto" w:after="0"/>
            </w:pPr>
            <w:r>
              <w:rPr>
                <w:sz w:val="20"/>
              </w:rPr>
            </w:r>
            <w:r>
              <w:rPr>
                <w:sz w:val="20"/>
              </w:rPr>
              <w:t>&lt;0,0001</w:t>
            </w:r>
          </w:p>
        </w:tc>
        <w:tc>
          <w:tcPr>
            <w:tcW w:type="dxa" w:w="1323"/>
          </w:tcPr>
          <w:p>
            <w:pPr>
              <w:spacing w:line="240" w:lineRule="auto" w:after="0"/>
            </w:pPr>
            <w:r>
              <w:rPr>
                <w:sz w:val="20"/>
              </w:rPr>
            </w:r>
            <w:r>
              <w:rPr>
                <w:sz w:val="20"/>
              </w:rPr>
              <w:t>290,91</w:t>
            </w:r>
          </w:p>
        </w:tc>
      </w:tr>
      <w:tr>
        <w:trPr>
          <w:cantSplit/>
        </w:trPr>
        <w:tc>
          <w:tcPr>
            <w:tcW w:type="dxa" w:w="1323"/>
          </w:tcPr>
          <w:p>
            <w:pPr>
              <w:spacing w:line="240" w:lineRule="auto" w:after="0"/>
            </w:pPr>
            <w:r>
              <w:rPr>
                <w:sz w:val="20"/>
              </w:rPr>
            </w:r>
            <w:r>
              <w:rPr>
                <w:sz w:val="20"/>
              </w:rPr>
              <w:t>S3</w:t>
            </w:r>
          </w:p>
        </w:tc>
        <w:tc>
          <w:tcPr>
            <w:tcW w:type="dxa" w:w="1323"/>
          </w:tcPr>
          <w:p>
            <w:pPr>
              <w:spacing w:line="240" w:lineRule="auto" w:after="0"/>
            </w:pPr>
            <w:r>
              <w:rPr>
                <w:sz w:val="20"/>
              </w:rPr>
            </w:r>
            <w:r>
              <w:rPr>
                <w:sz w:val="20"/>
              </w:rPr>
              <w:t>49</w:t>
            </w:r>
          </w:p>
        </w:tc>
        <w:tc>
          <w:tcPr>
            <w:tcW w:type="dxa" w:w="1323"/>
          </w:tcPr>
          <w:p>
            <w:pPr>
              <w:spacing w:line="240" w:lineRule="auto" w:after="0"/>
            </w:pPr>
            <w:r>
              <w:rPr>
                <w:sz w:val="20"/>
              </w:rPr>
            </w:r>
            <w:r>
              <w:rPr>
                <w:sz w:val="20"/>
              </w:rPr>
              <w:t>22.654 token</w:t>
            </w:r>
          </w:p>
        </w:tc>
        <w:tc>
          <w:tcPr>
            <w:tcW w:type="dxa" w:w="1323"/>
          </w:tcPr>
          <w:p>
            <w:pPr>
              <w:spacing w:line="240" w:lineRule="auto" w:after="0"/>
            </w:pPr>
            <w:r>
              <w:rPr>
                <w:sz w:val="20"/>
              </w:rPr>
            </w:r>
            <w:r>
              <w:rPr>
                <w:sz w:val="20"/>
              </w:rPr>
              <w:t>[22.645, 22.662]</w:t>
            </w:r>
          </w:p>
        </w:tc>
        <w:tc>
          <w:tcPr>
            <w:tcW w:type="dxa" w:w="1323"/>
          </w:tcPr>
          <w:p>
            <w:pPr>
              <w:spacing w:line="240" w:lineRule="auto" w:after="0"/>
            </w:pPr>
            <w:r>
              <w:rPr>
                <w:sz w:val="20"/>
              </w:rPr>
            </w:r>
            <w:r>
              <w:rPr>
                <w:sz w:val="20"/>
              </w:rPr>
              <w:t>&lt;0,0001</w:t>
            </w:r>
          </w:p>
        </w:tc>
        <w:tc>
          <w:tcPr>
            <w:tcW w:type="dxa" w:w="1323"/>
          </w:tcPr>
          <w:p>
            <w:pPr>
              <w:spacing w:line="240" w:lineRule="auto" w:after="0"/>
            </w:pPr>
            <w:r>
              <w:rPr>
                <w:sz w:val="20"/>
              </w:rPr>
            </w:r>
            <w:r>
              <w:rPr>
                <w:sz w:val="20"/>
              </w:rPr>
              <w:t>782,01</w:t>
            </w:r>
          </w:p>
        </w:tc>
      </w:tr>
    </w:tbl>
    <w:p>
      <w:pPr>
        <w:ind w:firstLine="720"/>
        <w:jc w:val="both"/>
      </w:pPr>
      <w:r>
        <w:t xml:space="preserve">Penghematan token terbukti signifikan secara statistik pada seluruh skenario, dengan nilai p&lt;0,001 (S1) dan p&lt;0,0001 (S2 dan S3). Ukuran efek Cohen's d berkisar antara 11,71 hingga 782,01 — jauh melampaui ambang </w:t>
      </w:r>
      <w:r>
        <w:rPr>
          <w:i/>
        </w:rPr>
        <w:t>large effect</w:t>
      </w:r>
      <w:r>
        <w:t xml:space="preserve"> (0,8) — yang menandakan bahwa penghematan token bersifat hampir deterministik dan tidak mungkin terjadi secara kebetulan. Selang kepercayaan 95% yang sempit semakin menegaskan presisi estimasi penghematan. Adapun untuk dimensi akurasi, uji Wilcoxon </w:t>
      </w:r>
      <w:r>
        <w:rPr>
          <w:i/>
        </w:rPr>
        <w:t>signed-rank</w:t>
      </w:r>
      <w:r>
        <w:t xml:space="preserve"> menghasilkan p=0,28 (S1), p=0,50 (S2), dan p=0,09 (S3) — seluruhnya di atas α=0,05. Dengan demikian, peningkatan akurasi +6,3 pp bersifat directional namun belum signifikan secara statistik, kemungkinan akibat jumlah kueri yang terbatas dan sifat penilaian biner per kueri. Temuan ini memposisikan penghematan token sebagai kontribusi yang terbukti kuat, sedangkan perbaikan akurasi sebagai tren pendukung yang konsisten.</w:t>
      </w:r>
    </w:p>
    <w:p>
      <w:pPr>
        <w:pStyle w:val="Heading2"/>
      </w:pPr>
      <w:r>
        <w:t>4.9 Failure Analysis</w:t>
      </w:r>
    </w:p>
    <w:p>
      <w:pPr>
        <w:ind w:firstLine="720"/>
        <w:jc w:val="both"/>
      </w:pPr>
      <w:r>
        <w:t>Analisis kegagalan dilakukan terhadap kueri yang dipilih secara salah pada ketiga pengulangan (</w:t>
      </w:r>
      <w:r>
        <w:rPr>
          <w:i/>
        </w:rPr>
        <w:t>consistent failures</w:t>
      </w:r>
      <w:r>
        <w:t xml:space="preserve">) dalam mode </w:t>
      </w:r>
      <w:r>
        <w:rPr>
          <w:i/>
        </w:rPr>
        <w:t>registry</w:t>
      </w:r>
      <w:r>
        <w:t>. Pola kegagalan yang berulang lintas skenario dirangkum pada Tabel 4.9.</w:t>
      </w:r>
    </w:p>
    <w:p>
      <w:pPr>
        <w:pStyle w:val="Caption"/>
        <w:keepNext/>
        <w:jc w:val="center"/>
      </w:pPr>
      <w:r>
        <w:t>Tabel 4.</w:t>
      </w:r>
      <w:fldSimple w:instr=" SEQ Tabel \* ARABIC ">
        <w:r>
          <w:t>1</w:t>
        </w:r>
      </w:fldSimple>
      <w:r>
        <w:t xml:space="preserve"> Kueri yang Gagal Konsisten di Seluruh Pengulangan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46"/>
        <w:gridCol w:w="2646"/>
        <w:gridCol w:w="2646"/>
      </w:tblGrid>
      <w:tr>
        <w:trPr>
          <w:cantSplit/>
          <w:tblHeader/>
        </w:trPr>
        <w:tc>
          <w:tcPr>
            <w:tcW w:type="dxa" w:w="2646"/>
            <w:tcBorders>
              <w:top w:val="none"/>
              <w:bottom w:val="single" w:sz="8" w:space="0" w:color="000000"/>
              <w:left w:val="none"/>
              <w:right w:val="none"/>
            </w:tcBorders>
          </w:tcPr>
          <w:p>
            <w:pPr>
              <w:spacing w:line="240" w:lineRule="auto" w:after="0"/>
            </w:pPr>
            <w:r>
              <w:rPr>
                <w:b/>
                <w:sz w:val="20"/>
              </w:rPr>
            </w:r>
            <w:r>
              <w:rPr>
                <w:b/>
                <w:sz w:val="20"/>
              </w:rPr>
              <w:t>Tool yang Diharapkan</w:t>
            </w:r>
          </w:p>
        </w:tc>
        <w:tc>
          <w:tcPr>
            <w:tcW w:type="dxa" w:w="2646"/>
            <w:tcBorders>
              <w:top w:val="none"/>
              <w:bottom w:val="single" w:sz="8" w:space="0" w:color="000000"/>
              <w:left w:val="none"/>
              <w:right w:val="none"/>
            </w:tcBorders>
          </w:tcPr>
          <w:p>
            <w:pPr>
              <w:spacing w:line="240" w:lineRule="auto" w:after="0"/>
            </w:pPr>
            <w:r>
              <w:rPr>
                <w:b/>
                <w:sz w:val="20"/>
              </w:rPr>
            </w:r>
            <w:r>
              <w:rPr>
                <w:b/>
                <w:sz w:val="20"/>
              </w:rPr>
              <w:t>Tool yang Dipilih Model</w:t>
            </w:r>
          </w:p>
        </w:tc>
        <w:tc>
          <w:tcPr>
            <w:tcW w:type="dxa" w:w="2646"/>
            <w:tcBorders>
              <w:top w:val="none"/>
              <w:bottom w:val="single" w:sz="8" w:space="0" w:color="000000"/>
              <w:left w:val="none"/>
              <w:right w:val="none"/>
            </w:tcBorders>
          </w:tcPr>
          <w:p>
            <w:pPr>
              <w:spacing w:line="240" w:lineRule="auto" w:after="0"/>
            </w:pPr>
            <w:r>
              <w:rPr>
                <w:b/>
                <w:sz w:val="20"/>
              </w:rPr>
            </w:r>
            <w:r>
              <w:rPr>
                <w:b/>
                <w:sz w:val="20"/>
              </w:rPr>
              <w:t>Modul</w:t>
            </w:r>
          </w:p>
        </w:tc>
      </w:tr>
      <w:tr>
        <w:trPr>
          <w:cantSplit/>
        </w:trPr>
        <w:tc>
          <w:tcPr>
            <w:tcW w:type="dxa" w:w="2646"/>
          </w:tcPr>
          <w:p>
            <w:pPr>
              <w:spacing w:line="240" w:lineRule="auto" w:after="0"/>
            </w:pPr>
            <w:r>
              <w:rPr>
                <w:sz w:val="20"/>
              </w:rPr>
            </w:r>
            <w:r>
              <w:rPr>
                <w:rFonts w:ascii="Courier New" w:hAnsi="Courier New"/>
                <w:sz w:val="20"/>
              </w:rPr>
              <w:t>supplier_create_purchase_order</w:t>
            </w:r>
          </w:p>
        </w:tc>
        <w:tc>
          <w:tcPr>
            <w:tcW w:type="dxa" w:w="2646"/>
          </w:tcPr>
          <w:p>
            <w:pPr>
              <w:spacing w:line="240" w:lineRule="auto" w:after="0"/>
            </w:pPr>
            <w:r>
              <w:rPr>
                <w:sz w:val="20"/>
              </w:rPr>
            </w:r>
            <w:r>
              <w:rPr>
                <w:rFonts w:ascii="Courier New" w:hAnsi="Courier New"/>
                <w:sz w:val="20"/>
              </w:rPr>
              <w:t>supplier_read_tool</w:t>
            </w:r>
            <w:r>
              <w:rPr>
                <w:sz w:val="20"/>
              </w:rPr>
              <w:t xml:space="preserve"> / </w:t>
            </w:r>
            <w:r>
              <w:rPr>
                <w:rFonts w:ascii="Courier New" w:hAnsi="Courier New"/>
                <w:sz w:val="20"/>
              </w:rPr>
              <w:t>supplier_admin_tool</w:t>
            </w:r>
          </w:p>
        </w:tc>
        <w:tc>
          <w:tcPr>
            <w:tcW w:type="dxa" w:w="2646"/>
          </w:tcPr>
          <w:p>
            <w:pPr>
              <w:spacing w:line="240" w:lineRule="auto" w:after="0"/>
            </w:pPr>
            <w:r>
              <w:rPr>
                <w:sz w:val="20"/>
              </w:rPr>
            </w:r>
            <w:r>
              <w:rPr>
                <w:sz w:val="20"/>
              </w:rPr>
              <w:t>supplier</w:t>
            </w:r>
          </w:p>
        </w:tc>
      </w:tr>
      <w:tr>
        <w:trPr>
          <w:cantSplit/>
        </w:trPr>
        <w:tc>
          <w:tcPr>
            <w:tcW w:type="dxa" w:w="2646"/>
          </w:tcPr>
          <w:p>
            <w:pPr>
              <w:spacing w:line="240" w:lineRule="auto" w:after="0"/>
            </w:pPr>
            <w:r>
              <w:rPr>
                <w:sz w:val="20"/>
              </w:rPr>
            </w:r>
            <w:r>
              <w:rPr>
                <w:rFonts w:ascii="Courier New" w:hAnsi="Courier New"/>
                <w:sz w:val="20"/>
              </w:rPr>
              <w:t>accounting_generate_journal</w:t>
            </w:r>
          </w:p>
        </w:tc>
        <w:tc>
          <w:tcPr>
            <w:tcW w:type="dxa" w:w="2646"/>
          </w:tcPr>
          <w:p>
            <w:pPr>
              <w:spacing w:line="240" w:lineRule="auto" w:after="0"/>
            </w:pPr>
            <w:r>
              <w:rPr>
                <w:sz w:val="20"/>
              </w:rPr>
            </w:r>
            <w:r>
              <w:rPr>
                <w:rFonts w:ascii="Courier New" w:hAnsi="Courier New"/>
                <w:sz w:val="20"/>
              </w:rPr>
              <w:t>accounting_read_tool</w:t>
            </w:r>
            <w:r>
              <w:rPr>
                <w:sz w:val="20"/>
              </w:rPr>
              <w:t xml:space="preserve"> / </w:t>
            </w:r>
            <w:r>
              <w:rPr>
                <w:rFonts w:ascii="Courier New" w:hAnsi="Courier New"/>
                <w:sz w:val="20"/>
              </w:rPr>
              <w:t>accounting_admin_tool</w:t>
            </w:r>
          </w:p>
        </w:tc>
        <w:tc>
          <w:tcPr>
            <w:tcW w:type="dxa" w:w="2646"/>
          </w:tcPr>
          <w:p>
            <w:pPr>
              <w:spacing w:line="240" w:lineRule="auto" w:after="0"/>
            </w:pPr>
            <w:r>
              <w:rPr>
                <w:sz w:val="20"/>
              </w:rPr>
            </w:r>
            <w:r>
              <w:rPr>
                <w:sz w:val="20"/>
              </w:rPr>
              <w:t>accounting</w:t>
            </w:r>
          </w:p>
        </w:tc>
      </w:tr>
      <w:tr>
        <w:trPr>
          <w:cantSplit/>
        </w:trPr>
        <w:tc>
          <w:tcPr>
            <w:tcW w:type="dxa" w:w="2646"/>
          </w:tcPr>
          <w:p>
            <w:pPr>
              <w:spacing w:line="240" w:lineRule="auto" w:after="0"/>
            </w:pPr>
            <w:r>
              <w:rPr>
                <w:sz w:val="20"/>
              </w:rPr>
            </w:r>
            <w:r>
              <w:rPr>
                <w:rFonts w:ascii="Courier New" w:hAnsi="Courier New"/>
                <w:sz w:val="20"/>
              </w:rPr>
              <w:t>sales_daily_revenue</w:t>
            </w:r>
          </w:p>
        </w:tc>
        <w:tc>
          <w:tcPr>
            <w:tcW w:type="dxa" w:w="2646"/>
          </w:tcPr>
          <w:p>
            <w:pPr>
              <w:spacing w:line="240" w:lineRule="auto" w:after="0"/>
            </w:pPr>
            <w:r>
              <w:rPr>
                <w:sz w:val="20"/>
              </w:rPr>
            </w:r>
            <w:r>
              <w:rPr>
                <w:rFonts w:ascii="Courier New" w:hAnsi="Courier New"/>
                <w:sz w:val="20"/>
              </w:rPr>
              <w:t>sales_analytical_tool</w:t>
            </w:r>
          </w:p>
        </w:tc>
        <w:tc>
          <w:tcPr>
            <w:tcW w:type="dxa" w:w="2646"/>
          </w:tcPr>
          <w:p>
            <w:pPr>
              <w:spacing w:line="240" w:lineRule="auto" w:after="0"/>
            </w:pPr>
            <w:r>
              <w:rPr>
                <w:sz w:val="20"/>
              </w:rPr>
            </w:r>
            <w:r>
              <w:rPr>
                <w:sz w:val="20"/>
              </w:rPr>
              <w:t>sales</w:t>
            </w:r>
          </w:p>
        </w:tc>
      </w:tr>
      <w:tr>
        <w:trPr>
          <w:cantSplit/>
        </w:trPr>
        <w:tc>
          <w:tcPr>
            <w:tcW w:type="dxa" w:w="2646"/>
          </w:tcPr>
          <w:p>
            <w:pPr>
              <w:spacing w:line="240" w:lineRule="auto" w:after="0"/>
            </w:pPr>
            <w:r>
              <w:rPr>
                <w:sz w:val="20"/>
              </w:rPr>
            </w:r>
            <w:r>
              <w:rPr>
                <w:rFonts w:ascii="Courier New" w:hAnsi="Courier New"/>
                <w:sz w:val="20"/>
              </w:rPr>
              <w:t>inventory_check_stock</w:t>
            </w:r>
          </w:p>
        </w:tc>
        <w:tc>
          <w:tcPr>
            <w:tcW w:type="dxa" w:w="2646"/>
          </w:tcPr>
          <w:p>
            <w:pPr>
              <w:spacing w:line="240" w:lineRule="auto" w:after="0"/>
            </w:pPr>
            <w:r>
              <w:rPr>
                <w:sz w:val="20"/>
              </w:rPr>
            </w:r>
            <w:r>
              <w:rPr>
                <w:rFonts w:ascii="Courier New" w:hAnsi="Courier New"/>
                <w:sz w:val="20"/>
              </w:rPr>
              <w:t>inventory_admin_tool</w:t>
            </w:r>
          </w:p>
        </w:tc>
        <w:tc>
          <w:tcPr>
            <w:tcW w:type="dxa" w:w="2646"/>
          </w:tcPr>
          <w:p>
            <w:pPr>
              <w:spacing w:line="240" w:lineRule="auto" w:after="0"/>
            </w:pPr>
            <w:r>
              <w:rPr>
                <w:sz w:val="20"/>
              </w:rPr>
            </w:r>
            <w:r>
              <w:rPr>
                <w:sz w:val="20"/>
              </w:rPr>
              <w:t>inventory</w:t>
            </w:r>
          </w:p>
        </w:tc>
      </w:tr>
    </w:tbl>
    <w:p>
      <w:pPr>
        <w:ind w:firstLine="720"/>
        <w:jc w:val="both"/>
      </w:pPr>
      <w:r>
        <w:t xml:space="preserve">Temuan kunci dari Tabel 4.9 adalah bahwa pada seluruh kasus kegagalan, </w:t>
      </w:r>
      <w:r>
        <w:rPr>
          <w:i/>
        </w:rPr>
        <w:t>tool</w:t>
      </w:r>
      <w:r>
        <w:t xml:space="preserve"> yang dipilih model berada di </w:t>
      </w:r>
      <w:r>
        <w:rPr>
          <w:b/>
        </w:rPr>
        <w:t>modul yang sama</w:t>
      </w:r>
      <w:r>
        <w:t xml:space="preserve"> dengan </w:t>
      </w:r>
      <w:r>
        <w:rPr>
          <w:i/>
        </w:rPr>
        <w:t>tool</w:t>
      </w:r>
      <w:r>
        <w:t xml:space="preserve"> yang diharapkan. Hal ini membuktikan bahwa penyaringan modul oleh Tool Registry berfungsi dengan benar — registry berhasil mempersempit kandidat ke modul yang tepat — namun model gagal membedakan antar-</w:t>
      </w:r>
      <w:r>
        <w:rPr>
          <w:i/>
        </w:rPr>
        <w:t>tool</w:t>
      </w:r>
      <w:r>
        <w:t xml:space="preserve"> di dalam modul tersebut. Akar masalahnya adalah skema parameter </w:t>
      </w:r>
      <w:r>
        <w:rPr>
          <w:i/>
        </w:rPr>
        <w:t>tool</w:t>
      </w:r>
      <w:r>
        <w:t xml:space="preserve"> yang kosong (</w:t>
      </w:r>
      <w:r>
        <w:rPr>
          <w:rFonts w:ascii="Courier New" w:hAnsi="Courier New"/>
        </w:rPr>
        <w:t>properties: {}</w:t>
      </w:r>
      <w:r>
        <w:t xml:space="preserve">) pada eksperimen ini, sehingga model hanya dapat membedakan </w:t>
      </w:r>
      <w:r>
        <w:rPr>
          <w:i/>
        </w:rPr>
        <w:t>tool</w:t>
      </w:r>
      <w:r>
        <w:t xml:space="preserve"> berdasarkan deskripsi teks pendek; ketika beberapa </w:t>
      </w:r>
      <w:r>
        <w:rPr>
          <w:i/>
        </w:rPr>
        <w:t>tool</w:t>
      </w:r>
      <w:r>
        <w:t xml:space="preserve"> dalam satu modul memiliki deskripsi yang mirip, ambiguitas menjadi tinggi.</w:t>
      </w:r>
    </w:p>
    <w:p>
      <w:pPr>
        <w:ind w:firstLine="720"/>
        <w:jc w:val="both"/>
      </w:pPr>
      <w:r>
        <w:t xml:space="preserve">Penting ditegaskan bahwa kegagalan ini muncul baik pada mode </w:t>
      </w:r>
      <w:r>
        <w:rPr>
          <w:i/>
        </w:rPr>
        <w:t>baseline</w:t>
      </w:r>
      <w:r>
        <w:t xml:space="preserve"> maupun </w:t>
      </w:r>
      <w:r>
        <w:rPr>
          <w:i/>
        </w:rPr>
        <w:t>registry</w:t>
      </w:r>
      <w:r>
        <w:t xml:space="preserve"> — sehingga merupakan keterbatasan format deskripsi </w:t>
      </w:r>
      <w:r>
        <w:rPr>
          <w:i/>
        </w:rPr>
        <w:t>tool</w:t>
      </w:r>
      <w:r>
        <w:t xml:space="preserve">, </w:t>
      </w:r>
      <w:r>
        <w:rPr>
          <w:b/>
        </w:rPr>
        <w:t>bukan</w:t>
      </w:r>
      <w:r>
        <w:t xml:space="preserve"> kegagalan Tool Registry. Kegagalan ini berperan sebagai </w:t>
      </w:r>
      <w:r>
        <w:rPr>
          <w:i/>
        </w:rPr>
        <w:t>confounding variable</w:t>
      </w:r>
      <w:r>
        <w:t xml:space="preserve"> yang membatasi akurasi absolut kedua mode secara setara, dan menjadi dasar rekomendasi penyempurnaan deskripsi </w:t>
      </w:r>
      <w:r>
        <w:rPr>
          <w:i/>
        </w:rPr>
        <w:t>tool</w:t>
      </w:r>
      <w:r>
        <w:t xml:space="preserve"> yang dibahas pada Bab V.</w:t>
      </w:r>
    </w:p>
    <w:p>
      <w:pPr>
        <w:pStyle w:val="Heading2"/>
      </w:pPr>
      <w:r>
        <w:t>4.10 Validasi Multi-model</w:t>
      </w:r>
    </w:p>
    <w:p>
      <w:pPr>
        <w:ind w:firstLine="720"/>
        <w:jc w:val="both"/>
      </w:pPr>
      <w:r>
        <w:t xml:space="preserve">Untuk menguji generalisabilitas temuan ke penyedia LLM lain, dijalankan eksperimen pendahuluan menggunakan model MiniMax-M2.7 dan GLM-4.5-Flash melalui </w:t>
      </w:r>
      <w:r>
        <w:rPr>
          <w:i/>
        </w:rPr>
        <w:t>gateway</w:t>
      </w:r>
      <w:r>
        <w:t xml:space="preserve"> ADACODE yang berbasis antarmuka </w:t>
      </w:r>
      <w:r>
        <w:rPr>
          <w:i/>
        </w:rPr>
        <w:t>OpenAI-compatible</w:t>
      </w:r>
      <w:r>
        <w:t xml:space="preserve">. Namun, antarmuka tersebut tidak mereproduksi penghitungan token dan ekstraksi pemanggilan </w:t>
      </w:r>
      <w:r>
        <w:rPr>
          <w:i/>
        </w:rPr>
        <w:t>tool</w:t>
      </w:r>
      <w:r>
        <w:t xml:space="preserve"> secara setara dengan </w:t>
      </w:r>
      <w:r>
        <w:rPr>
          <w:i/>
        </w:rPr>
        <w:t>native function calling</w:t>
      </w:r>
      <w:r>
        <w:t xml:space="preserve"> Gemini: konsumsi token mode </w:t>
      </w:r>
      <w:r>
        <w:rPr>
          <w:i/>
        </w:rPr>
        <w:t>registry</w:t>
      </w:r>
      <w:r>
        <w:t xml:space="preserve"> tercatat nyaris identik dengan </w:t>
      </w:r>
      <w:r>
        <w:rPr>
          <w:i/>
        </w:rPr>
        <w:t>baseline</w:t>
      </w:r>
      <w:r>
        <w:t xml:space="preserve"> (mengindikasikan katalog penuh tetap dikirim oleh </w:t>
      </w:r>
      <w:r>
        <w:rPr>
          <w:i/>
        </w:rPr>
        <w:t>gateway</w:t>
      </w:r>
      <w:r>
        <w:t xml:space="preserve">), dan ekstraksi </w:t>
      </w:r>
      <w:r>
        <w:rPr>
          <w:i/>
        </w:rPr>
        <w:t>tool call</w:t>
      </w:r>
      <w:r>
        <w:t xml:space="preserve"> gagal terbaca pada mayoritas rekaman.</w:t>
      </w:r>
    </w:p>
    <w:p>
      <w:pPr>
        <w:ind w:firstLine="720"/>
        <w:jc w:val="both"/>
      </w:pPr>
      <w:r>
        <w:t xml:space="preserve">Oleh karena keterbatasan harness pengukuran tersebut, hasil multi-model belum dapat diperbandingkan secara valid dengan eksperimen resmi Gemini, sehingga tidak disertakan sebagai bukti generalisabilitas pada penelitian ini. Validasi multi-model yang memerlukan adaptasi harness pengukuran per penyedia diposisikan sebagai bagian dari </w:t>
      </w:r>
      <w:r>
        <w:rPr>
          <w:i/>
        </w:rPr>
        <w:t>future work</w:t>
      </w:r>
      <w:r>
        <w:t xml:space="preserve"> (Bab V). Keterbatasan ini sekaligus menegaskan bahwa hasil resmi penelitian ini bersifat spesifik terhadap mekanisme </w:t>
      </w:r>
      <w:r>
        <w:rPr>
          <w:i/>
        </w:rPr>
        <w:t>native function calling</w:t>
      </w:r>
      <w:r>
        <w:t xml:space="preserve"> Gemini 2.5 Flash Lite, sebagaimana dinyatakan pada batasan masalah.</w:t>
      </w:r>
    </w:p>
    <w:sectPr w:rsidR="00FC693F" w:rsidRPr="0006063C" w:rsidSect="00034616">
      <w:footerReference w:type="default" r:id="rId9"/>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