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 V KESIMPULAN</w:t>
      </w:r>
    </w:p>
    <w:p>
      <w:pPr>
        <w:pStyle w:val="Heading2"/>
      </w:pPr>
      <w:r>
        <w:t>5.1 Kesimpulan</w:t>
      </w:r>
    </w:p>
    <w:p>
      <w:pPr>
        <w:ind w:firstLine="720"/>
        <w:jc w:val="both"/>
      </w:pPr>
      <w:r>
        <w:t xml:space="preserve">Penelitian ini merancang, mengimplementasikan, dan mengevaluasi secara kuantitatif sebuah </w:t>
      </w:r>
      <w:r>
        <w:rPr>
          <w:i/>
        </w:rPr>
        <w:t>Tool Registry</w:t>
      </w:r>
      <w:r>
        <w:t xml:space="preserve"> deterministik berbasis metadata sebagai lapisan penyaringan </w:t>
      </w:r>
      <w:r>
        <w:rPr>
          <w:i/>
        </w:rPr>
        <w:t>tool</w:t>
      </w:r>
      <w:r>
        <w:t xml:space="preserve"> di hadapan AI Agent pada platform ERP restoran zerlo.id. Berdasarkan hasil eksperimen yang dipaparkan pada Bab IV — khususnya eksperimen resmi Gemini Native v2 dengan total n=558 rekaman — keempat rumusan masalah penelitian dapat dijawab sebagai berikut.</w:t>
      </w:r>
    </w:p>
    <w:p>
      <w:pPr>
        <w:ind w:firstLine="720"/>
        <w:jc w:val="both"/>
      </w:pPr>
      <w:r>
        <w:rPr>
          <w:b/>
        </w:rPr>
        <w:t>Rumusan masalah pertama</w:t>
      </w:r>
      <w:r>
        <w:t xml:space="preserve"> menyangkut perancangan Tool Registry yang mampu menyimpan metadata </w:t>
      </w:r>
      <w:r>
        <w:rPr>
          <w:i/>
        </w:rPr>
        <w:t>tool</w:t>
      </w:r>
      <w:r>
        <w:t xml:space="preserve"> secara terstruktur. Permasalahan ini terjawab melalui perancangan </w:t>
      </w:r>
      <w:r>
        <w:rPr>
          <w:i/>
        </w:rPr>
        <w:t>dataclass</w:t>
      </w:r>
      <w:r>
        <w:t xml:space="preserve"> </w:t>
      </w:r>
      <w:r>
        <w:rPr>
          <w:rFonts w:ascii="Courier New" w:hAnsi="Courier New"/>
        </w:rPr>
        <w:t>ToolMeta</w:t>
      </w:r>
      <w:r>
        <w:t xml:space="preserve"> yang menyimpan lima atribut metadata per </w:t>
      </w:r>
      <w:r>
        <w:rPr>
          <w:i/>
        </w:rPr>
        <w:t>tool</w:t>
      </w:r>
      <w:r>
        <w:t xml:space="preserve"> — modul (</w:t>
      </w:r>
      <w:r>
        <w:rPr>
          <w:i/>
        </w:rPr>
        <w:t>module</w:t>
      </w:r>
      <w:r>
        <w:t>), tipe operasi (</w:t>
      </w:r>
      <w:r>
        <w:rPr>
          <w:i/>
        </w:rPr>
        <w:t>op_type</w:t>
      </w:r>
      <w:r>
        <w:t>), kata kunci (</w:t>
      </w:r>
      <w:r>
        <w:rPr>
          <w:i/>
        </w:rPr>
        <w:t>keywords</w:t>
      </w:r>
      <w:r>
        <w:t>), peran (</w:t>
      </w:r>
      <w:r>
        <w:rPr>
          <w:i/>
        </w:rPr>
        <w:t>role</w:t>
      </w:r>
      <w:r>
        <w:t>), dan tingkat langganan (</w:t>
      </w:r>
      <w:r>
        <w:rPr>
          <w:i/>
        </w:rPr>
        <w:t>tier</w:t>
      </w:r>
      <w:r>
        <w:t xml:space="preserve">) — serta kelas </w:t>
      </w:r>
      <w:r>
        <w:rPr>
          <w:rFonts w:ascii="Courier New" w:hAnsi="Courier New"/>
        </w:rPr>
        <w:t>ToolRegistry</w:t>
      </w:r>
      <w:r>
        <w:t xml:space="preserve"> sebagai </w:t>
      </w:r>
      <w:r>
        <w:rPr>
          <w:i/>
        </w:rPr>
        <w:t>singleton</w:t>
      </w:r>
      <w:r>
        <w:t xml:space="preserve"> penyimpan katalog. Rancangan ini terbukti memadai untuk merepresentasikan seluruh </w:t>
      </w:r>
      <w:r>
        <w:rPr>
          <w:i/>
        </w:rPr>
        <w:t>tool</w:t>
      </w:r>
      <w:r>
        <w:t xml:space="preserve"> pada tiga skenario katalog (30, 100, dan 300 </w:t>
      </w:r>
      <w:r>
        <w:rPr>
          <w:i/>
        </w:rPr>
        <w:t>tools</w:t>
      </w:r>
      <w:r>
        <w:t>) tanpa perubahan struktur, sebagaimana diuraikan pada Bab III.</w:t>
      </w:r>
    </w:p>
    <w:p>
      <w:pPr>
        <w:ind w:firstLine="720"/>
        <w:jc w:val="both"/>
      </w:pPr>
      <w:r>
        <w:rPr>
          <w:b/>
        </w:rPr>
        <w:t>Rumusan masalah kedua</w:t>
      </w:r>
      <w:r>
        <w:t xml:space="preserve"> menyangkut mekanisme penyaringan </w:t>
      </w:r>
      <w:r>
        <w:rPr>
          <w:i/>
        </w:rPr>
        <w:t>tool</w:t>
      </w:r>
      <w:r>
        <w:t xml:space="preserve"> secara dinamis berdasarkan modul, peran, tingkat langganan, dan anggaran token. Permasalahan ini terjawab melalui fungsi </w:t>
      </w:r>
      <w:r>
        <w:rPr>
          <w:rFonts w:ascii="Courier New" w:hAnsi="Courier New"/>
        </w:rPr>
        <w:t>registry_filter()</w:t>
      </w:r>
      <w:r>
        <w:t xml:space="preserve"> yang menjalankan </w:t>
      </w:r>
      <w:r>
        <w:rPr>
          <w:i/>
        </w:rPr>
        <w:t>pipeline</w:t>
      </w:r>
      <w:r>
        <w:t xml:space="preserve"> penyaringan berbasis </w:t>
      </w:r>
      <w:r>
        <w:rPr>
          <w:i/>
        </w:rPr>
        <w:t>keyword scoring</w:t>
      </w:r>
      <w:r>
        <w:t xml:space="preserve"> dengan </w:t>
      </w:r>
      <w:r>
        <w:rPr>
          <w:i/>
        </w:rPr>
        <w:t>budget cap</w:t>
      </w:r>
      <w:r>
        <w:t xml:space="preserve"> maksimal 15 </w:t>
      </w:r>
      <w:r>
        <w:rPr>
          <w:i/>
        </w:rPr>
        <w:t>tools</w:t>
      </w:r>
      <w:r>
        <w:t xml:space="preserve"> per panggilan. Mekanisme ini bekerja secara deterministik dan ringan — tanpa ketergantungan pada model </w:t>
      </w:r>
      <w:r>
        <w:rPr>
          <w:i/>
        </w:rPr>
        <w:t>embedding</w:t>
      </w:r>
      <w:r>
        <w:t xml:space="preserve"> maupun basis data vektor — sehingga selaras dengan kebutuhan sistem ERP berukuran menengah seperti zerlo.id.</w:t>
      </w:r>
    </w:p>
    <w:p>
      <w:pPr>
        <w:ind w:firstLine="720"/>
        <w:jc w:val="both"/>
      </w:pPr>
      <w:r>
        <w:rPr>
          <w:b/>
        </w:rPr>
        <w:t>Rumusan masalah ketiga</w:t>
      </w:r>
      <w:r>
        <w:t xml:space="preserve"> menyangkut dampak Tool Registry terhadap penggunaan token, latensi, dan akurasi pemilihan </w:t>
      </w:r>
      <w:r>
        <w:rPr>
          <w:i/>
        </w:rPr>
        <w:t>tool</w:t>
      </w:r>
      <w:r>
        <w:t xml:space="preserve">. Hasil pengukuran menunjukkan bahwa kontribusi terkuat penelitian ini terletak pada </w:t>
      </w:r>
      <w:r>
        <w:rPr>
          <w:b/>
        </w:rPr>
        <w:t>penghematan token</w:t>
      </w:r>
      <w:r>
        <w:t xml:space="preserve">: konsumsi token rata-rata per kueri turun dari 2.426 menjadi 893 token pada skenario S1 (−63%), dari 7.985 menjadi 1.241 token pada S2 (−84%), dan dari 23.893 menjadi 1.239 token pada S3 (−95%). Penghematan ini terbukti signifikan secara statistik dengan uji Wilcoxon </w:t>
      </w:r>
      <w:r>
        <w:rPr>
          <w:i/>
        </w:rPr>
        <w:t>signed-rank</w:t>
      </w:r>
      <w:r>
        <w:t xml:space="preserve"> (p=0,0002 pada S1; p&lt;0,0001 pada S2 dan S3) dan ukuran efek Cohen's d yang sangat besar (11,71 hingga 782,01), jauh melampaui ambang </w:t>
      </w:r>
      <w:r>
        <w:rPr>
          <w:i/>
        </w:rPr>
        <w:t>large effect</w:t>
      </w:r>
      <w:r>
        <w:t xml:space="preserve">. Pada dimensi akurasi, mode </w:t>
      </w:r>
      <w:r>
        <w:rPr>
          <w:i/>
        </w:rPr>
        <w:t>registry</w:t>
      </w:r>
      <w:r>
        <w:t xml:space="preserve"> mencatat tren positif sebesar +6,3 persentase poin pada S1 (68,8% → 75,0%) dan S3 (71,4% → 77,6%), namun tanpa perubahan pada S2 (71,4% → 71,4%); peningkatan ini bersifat </w:t>
      </w:r>
      <w:r>
        <w:rPr>
          <w:i/>
        </w:rPr>
        <w:t>directional</w:t>
      </w:r>
      <w:r>
        <w:t xml:space="preserve"> dan </w:t>
      </w:r>
      <w:r>
        <w:rPr>
          <w:b/>
        </w:rPr>
        <w:t>belum signifikan</w:t>
      </w:r>
      <w:r>
        <w:t xml:space="preserve"> secara statistik (Wilcoxon p=0,28; 0,50; dan 0,09, seluruhnya di atas α=0,05), sehingga diposisikan sebagai tren pendukung, bukan klaim utama. Pada dimensi latensi, perbaikan bersifat moderat dan </w:t>
      </w:r>
      <w:r>
        <w:rPr>
          <w:i/>
        </w:rPr>
        <w:t>noisy</w:t>
      </w:r>
      <w:r>
        <w:t xml:space="preserve">: latensi p50 pada S3 turun dari 992 ms menjadi 851 ms (−14%), sedangkan pada S1 mode </w:t>
      </w:r>
      <w:r>
        <w:rPr>
          <w:i/>
        </w:rPr>
        <w:t>registry</w:t>
      </w:r>
      <w:r>
        <w:t xml:space="preserve"> justru sedikit lebih lambat — sehingga perbaikan latensi tidak dapat dinyatakan kuat.</w:t>
      </w:r>
    </w:p>
    <w:p>
      <w:pPr>
        <w:ind w:firstLine="720"/>
        <w:jc w:val="both"/>
      </w:pPr>
      <w:r>
        <w:rPr>
          <w:b/>
        </w:rPr>
        <w:t>Rumusan masalah keempat</w:t>
      </w:r>
      <w:r>
        <w:t xml:space="preserve"> menyangkut kemampuan Tool Registry mendukung skalabilitas AI Agent ketika katalog </w:t>
      </w:r>
      <w:r>
        <w:rPr>
          <w:i/>
        </w:rPr>
        <w:t>tool</w:t>
      </w:r>
      <w:r>
        <w:t xml:space="preserve"> bertambah. Permasalahan ini terjawab melalui temuan skalabilitas </w:t>
      </w:r>
      <w:r>
        <w:rPr>
          <w:i/>
        </w:rPr>
        <w:t>sub-linear</w:t>
      </w:r>
      <w:r>
        <w:t xml:space="preserve">: jumlah </w:t>
      </w:r>
      <w:r>
        <w:rPr>
          <w:i/>
        </w:rPr>
        <w:t>tool</w:t>
      </w:r>
      <w:r>
        <w:t xml:space="preserve"> yang terlihat oleh LLM tetap konstan pada batas anggaran (15 </w:t>
      </w:r>
      <w:r>
        <w:rPr>
          <w:i/>
        </w:rPr>
        <w:t>tools</w:t>
      </w:r>
      <w:r>
        <w:t xml:space="preserve"> pada S2 dan S3; 10,6 </w:t>
      </w:r>
      <w:r>
        <w:rPr>
          <w:i/>
        </w:rPr>
        <w:t>tools</w:t>
      </w:r>
      <w:r>
        <w:t xml:space="preserve"> rata-rata pada S1) meskipun ukuran katalog tumbuh dari 30 ke 100 ke 300 </w:t>
      </w:r>
      <w:r>
        <w:rPr>
          <w:i/>
        </w:rPr>
        <w:t>tools</w:t>
      </w:r>
      <w:r>
        <w:t xml:space="preserve">. Dengan demikian, konsumsi token mode </w:t>
      </w:r>
      <w:r>
        <w:rPr>
          <w:i/>
        </w:rPr>
        <w:t>registry</w:t>
      </w:r>
      <w:r>
        <w:t xml:space="preserve"> praktis stabil (893–1.241 token) sementara konsumsi </w:t>
      </w:r>
      <w:r>
        <w:rPr>
          <w:i/>
        </w:rPr>
        <w:t>baseline</w:t>
      </w:r>
      <w:r>
        <w:t xml:space="preserve"> meningkat hampir sepuluh kali lipat (2.426 → 23.893 token). Perilaku ini mengubah kompleksitas dari O(N) menjadi O(1) terhadap ukuran katalog, dengan </w:t>
      </w:r>
      <w:r>
        <w:rPr>
          <w:i/>
        </w:rPr>
        <w:t>overhead</w:t>
      </w:r>
      <w:r>
        <w:t xml:space="preserve"> memori yang tetap kecil dan linear (22 KB pada S1, 70 KB pada S2, 201 KB pada S3). Proyeksi deterministik pada skenario S4 (1.000 </w:t>
      </w:r>
      <w:r>
        <w:rPr>
          <w:i/>
        </w:rPr>
        <w:t>tools</w:t>
      </w:r>
      <w:r>
        <w:t>) memperkuat pola ini, dengan estimasi penghematan token mencapai −98%.</w:t>
      </w:r>
    </w:p>
    <w:p>
      <w:pPr>
        <w:ind w:firstLine="720"/>
        <w:jc w:val="both"/>
      </w:pPr>
      <w:r>
        <w:t xml:space="preserve">Secara keseluruhan, penelitian ini membuktikan bahwa Tool Registry deterministik berbasis metadata merupakan solusi </w:t>
      </w:r>
      <w:r>
        <w:rPr>
          <w:i/>
        </w:rPr>
        <w:t>tool management</w:t>
      </w:r>
      <w:r>
        <w:t xml:space="preserve"> yang efektif dan dapat diskalakan untuk AI Agent multi-modul. Kontribusi utama yang terbukti kuat secara statistik adalah penghematan token sebesar 63–95% yang memungkinkan platform zerlo.id diskalakan ke ratusan modul tanpa mengalami lonjakan biaya inferensi proporsional maupun degradasi konteks (</w:t>
      </w:r>
      <w:r>
        <w:rPr>
          <w:i/>
        </w:rPr>
        <w:t>context rot</w:t>
      </w:r>
      <w:r>
        <w:t>), sementara perbaikan akurasi dan latensi merupakan manfaat tambahan yang konsisten meskipun belum signifikan secara statistik.</w:t>
      </w:r>
    </w:p>
    <w:p>
      <w:pPr>
        <w:pStyle w:val="Heading2"/>
      </w:pPr>
      <w:r>
        <w:t>5.2 Keterbatasan dan Ancaman Terhadap Validitas</w:t>
      </w:r>
    </w:p>
    <w:p>
      <w:pPr>
        <w:ind w:firstLine="720"/>
        <w:jc w:val="both"/>
      </w:pPr>
      <w:r>
        <w:t>Hasil penelitian ini perlu ditafsirkan dalam kerangka keterbatasan eksperimen yang dirancang untuk kondisi terkontrol dan dapat direproduksi. Beberapa keterbatasan dan ancaman terhadap validitas diakui secara eksplisit demi menjaga kejujuran ilmiah.</w:t>
      </w:r>
    </w:p>
    <w:p>
      <w:pPr>
        <w:ind w:firstLine="720"/>
        <w:jc w:val="both"/>
      </w:pPr>
      <w:r>
        <w:rPr>
          <w:b/>
        </w:rPr>
        <w:t>Katalog dan skema *tool* yang sintetis.</w:t>
      </w:r>
      <w:r>
        <w:t xml:space="preserve"> Katalog </w:t>
      </w:r>
      <w:r>
        <w:rPr>
          <w:i/>
        </w:rPr>
        <w:t>tool</w:t>
      </w:r>
      <w:r>
        <w:t xml:space="preserve"> dibangun secara sintetis menggunakan generator berbasis modul dengan skema parameter dikosongkan (</w:t>
      </w:r>
      <w:r>
        <w:rPr>
          <w:rFonts w:ascii="Courier New" w:hAnsi="Courier New"/>
        </w:rPr>
        <w:t>properties: {}</w:t>
      </w:r>
      <w:r>
        <w:t xml:space="preserve">) dan deskripsi berpola seragam. Akibatnya, model hanya dapat membedakan </w:t>
      </w:r>
      <w:r>
        <w:rPr>
          <w:i/>
        </w:rPr>
        <w:t>tool</w:t>
      </w:r>
      <w:r>
        <w:t xml:space="preserve"> berdasarkan teks deskripsi pendek tanpa sinyal struktur parameter. Kondisi ini menekan akurasi absolut kedua mode secara setara sehingga akurasi yang terukur merupakan </w:t>
      </w:r>
      <w:r>
        <w:rPr>
          <w:i/>
        </w:rPr>
        <w:t>lower bound</w:t>
      </w:r>
      <w:r>
        <w:t xml:space="preserve">; klaim keunggulan </w:t>
      </w:r>
      <w:r>
        <w:rPr>
          <w:i/>
        </w:rPr>
        <w:t>registry</w:t>
      </w:r>
      <w:r>
        <w:t xml:space="preserve"> tetap valid karena kondisi ini berlaku identik pada </w:t>
      </w:r>
      <w:r>
        <w:rPr>
          <w:i/>
        </w:rPr>
        <w:t>baseline</w:t>
      </w:r>
      <w:r>
        <w:t xml:space="preserve"> maupun </w:t>
      </w:r>
      <w:r>
        <w:rPr>
          <w:i/>
        </w:rPr>
        <w:t>registry</w:t>
      </w:r>
      <w:r>
        <w:t>.</w:t>
      </w:r>
    </w:p>
    <w:p>
      <w:pPr>
        <w:ind w:firstLine="720"/>
        <w:jc w:val="both"/>
      </w:pPr>
      <w:r>
        <w:rPr>
          <w:b/>
        </w:rPr>
        <w:t>Kegagalan deterministik sebagai *confounding variable*.</w:t>
      </w:r>
      <w:r>
        <w:t xml:space="preserve"> Sebagaimana dianalisis pada Subbab 4.9, empat hingga lima pola kueri gagal secara konsisten di seluruh pengulangan pada kedua mode. Seluruh </w:t>
      </w:r>
      <w:r>
        <w:rPr>
          <w:i/>
        </w:rPr>
        <w:t>tool</w:t>
      </w:r>
      <w:r>
        <w:t xml:space="preserve"> yang keliru dipilih berada di modul yang sama dengan </w:t>
      </w:r>
      <w:r>
        <w:rPr>
          <w:i/>
        </w:rPr>
        <w:t>tool</w:t>
      </w:r>
      <w:r>
        <w:t xml:space="preserve"> yang diharapkan — membuktikan penyaringan modul berfungsi benar, namun model gagal membedakan antar-</w:t>
      </w:r>
      <w:r>
        <w:rPr>
          <w:i/>
        </w:rPr>
        <w:t>tool</w:t>
      </w:r>
      <w:r>
        <w:t xml:space="preserve"> intra-modul akibat deskripsi yang mirip. Kegagalan ini merupakan keterbatasan format deskripsi </w:t>
      </w:r>
      <w:r>
        <w:rPr>
          <w:i/>
        </w:rPr>
        <w:t>tool</w:t>
      </w:r>
      <w:r>
        <w:t>, bukan kegagalan Tool Registry.</w:t>
      </w:r>
    </w:p>
    <w:p>
      <w:pPr>
        <w:ind w:firstLine="720"/>
        <w:jc w:val="both"/>
      </w:pPr>
      <w:r>
        <w:rPr>
          <w:b/>
        </w:rPr>
        <w:t>Cakupan eksperimen yang terbatas.</w:t>
      </w:r>
      <w:r>
        <w:t xml:space="preserve"> Eksperimen utama menggunakan satu penyedia LLM (Gemini 2.5 Flash Lite), 100 kueri evaluasi, dan tiga pengulangan per kueri. Validasi multi-model pada MiniMax-M2.7 dan GLM-4.5-Flash melalui </w:t>
      </w:r>
      <w:r>
        <w:rPr>
          <w:i/>
        </w:rPr>
        <w:t>gateway</w:t>
      </w:r>
      <w:r>
        <w:t xml:space="preserve"> ADACODE tidak dapat diperbandingkan secara valid karena keterbatasan </w:t>
      </w:r>
      <w:r>
        <w:rPr>
          <w:i/>
        </w:rPr>
        <w:t>harness</w:t>
      </w:r>
      <w:r>
        <w:t xml:space="preserve"> pengukuran token dan ekstraksi pemanggilan </w:t>
      </w:r>
      <w:r>
        <w:rPr>
          <w:i/>
        </w:rPr>
        <w:t>tool</w:t>
      </w:r>
      <w:r>
        <w:t xml:space="preserve"> (Subbab 4.10). Pengukuran latensi juga mencakup latensi jaringan ke API sehingga bukan ukuran murni latensi inferensi. Hasil resmi penelitian ini, dengan demikian, bersifat spesifik terhadap mekanisme </w:t>
      </w:r>
      <w:r>
        <w:rPr>
          <w:i/>
        </w:rPr>
        <w:t>native function calling</w:t>
      </w:r>
      <w:r>
        <w:t xml:space="preserve"> Gemini 2.5 Flash Lite pada periode pengujian.</w:t>
      </w:r>
    </w:p>
    <w:p>
      <w:pPr>
        <w:ind w:firstLine="720"/>
        <w:jc w:val="both"/>
      </w:pPr>
      <w:r>
        <w:rPr>
          <w:b/>
        </w:rPr>
        <w:t>Validitas konstruk.</w:t>
      </w:r>
      <w:r>
        <w:t xml:space="preserve"> Akurasi didefinisikan secara biner sebagai kecocokan nama fungsi (</w:t>
      </w:r>
      <w:r>
        <w:rPr>
          <w:rFonts w:ascii="Courier New" w:hAnsi="Courier New"/>
        </w:rPr>
        <w:t>selected_tool == expected_tool</w:t>
      </w:r>
      <w:r>
        <w:t xml:space="preserve">), dengan asumsi setiap kueri memiliki tepat satu </w:t>
      </w:r>
      <w:r>
        <w:rPr>
          <w:i/>
        </w:rPr>
        <w:t>tool</w:t>
      </w:r>
      <w:r>
        <w:t xml:space="preserve"> yang benar — sebuah penyederhanaan terhadap kondisi nyata yang dapat melibatkan beberapa </w:t>
      </w:r>
      <w:r>
        <w:rPr>
          <w:i/>
        </w:rPr>
        <w:t>tool</w:t>
      </w:r>
      <w:r>
        <w:t xml:space="preserve"> alternatif atau rangkaian </w:t>
      </w:r>
      <w:r>
        <w:rPr>
          <w:i/>
        </w:rPr>
        <w:t>tool</w:t>
      </w:r>
      <w:r>
        <w:t xml:space="preserve">. Token usage yang diukur berasal dari </w:t>
      </w:r>
      <w:r>
        <w:rPr>
          <w:rFonts w:ascii="Courier New" w:hAnsi="Courier New"/>
        </w:rPr>
        <w:t>usage_metadata</w:t>
      </w:r>
      <w:r>
        <w:t xml:space="preserve"> API dan belum mencakup </w:t>
      </w:r>
      <w:r>
        <w:rPr>
          <w:i/>
        </w:rPr>
        <w:t>overhead</w:t>
      </w:r>
      <w:r>
        <w:t xml:space="preserve"> dari </w:t>
      </w:r>
      <w:r>
        <w:rPr>
          <w:i/>
        </w:rPr>
        <w:t>system prompt</w:t>
      </w:r>
      <w:r>
        <w:t xml:space="preserve"> maupun riwayat percakapan pada sistem </w:t>
      </w:r>
      <w:r>
        <w:rPr>
          <w:i/>
        </w:rPr>
        <w:t>production</w:t>
      </w:r>
      <w:r>
        <w:t>.</w:t>
      </w:r>
    </w:p>
    <w:p>
      <w:pPr>
        <w:ind w:firstLine="720"/>
        <w:jc w:val="both"/>
      </w:pPr>
      <w:r>
        <w:t>Tabel 5.1 merangkum pemetaan antara ancaman terhadap validitas, mitigasi yang diterapkan pada penelitian ini, dan arah penyempurnaan pada penelitian lanjutan.</w:t>
      </w:r>
    </w:p>
    <w:p>
      <w:pPr>
        <w:pStyle w:val="Caption"/>
        <w:keepNext/>
        <w:jc w:val="center"/>
      </w:pPr>
      <w:r>
        <w:t>Tabel 5.</w:t>
      </w:r>
      <w:fldSimple w:instr=" SEQ Tabel \r 1 \* ARABIC ">
        <w:r>
          <w:t>1</w:t>
        </w:r>
      </w:fldSimple>
      <w:r>
        <w:t xml:space="preserve"> Ancaman Terhadap Validitas, Mitigasi, dan Penelitian Lanjutan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2646"/>
        <w:gridCol w:w="2646"/>
        <w:gridCol w:w="2646"/>
      </w:tblGrid>
      <w:tr>
        <w:trPr>
          <w:cantSplit/>
          <w:tblHeader/>
        </w:trPr>
        <w:tc>
          <w:tcPr>
            <w:tcW w:type="dxa" w:w="2646"/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line="240" w:lineRule="auto"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Ancaman</w:t>
            </w:r>
          </w:p>
        </w:tc>
        <w:tc>
          <w:tcPr>
            <w:tcW w:type="dxa" w:w="2646"/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line="240" w:lineRule="auto"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Mitigasi pada Penelitian Ini</w:t>
            </w:r>
          </w:p>
        </w:tc>
        <w:tc>
          <w:tcPr>
            <w:tcW w:type="dxa" w:w="2646"/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line="240" w:lineRule="auto"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Penelitian Lanjutan</w:t>
            </w:r>
          </w:p>
        </w:tc>
      </w:tr>
      <w:tr>
        <w:trPr>
          <w:cantSplit/>
        </w:trPr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Katalog </w:t>
            </w:r>
            <w:r>
              <w:rPr>
                <w:i/>
                <w:sz w:val="20"/>
              </w:rPr>
              <w:t>tool</w:t>
            </w:r>
            <w:r>
              <w:rPr>
                <w:sz w:val="20"/>
              </w:rPr>
              <w:t xml:space="preserve"> sintetis</w:t>
            </w:r>
          </w:p>
        </w:tc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i/>
                <w:sz w:val="20"/>
              </w:rPr>
              <w:t>Tool</w:t>
            </w:r>
            <w:r>
              <w:rPr>
                <w:sz w:val="20"/>
              </w:rPr>
              <w:t xml:space="preserve"> menyerupai domain ERP; skema seragam dikontrol antar-mode</w:t>
            </w:r>
          </w:p>
        </w:tc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Uji dengan katalog </w:t>
            </w:r>
            <w:r>
              <w:rPr>
                <w:i/>
                <w:sz w:val="20"/>
              </w:rPr>
              <w:t>production</w:t>
            </w:r>
            <w:r>
              <w:rPr>
                <w:sz w:val="20"/>
              </w:rPr>
              <w:t xml:space="preserve"> zerlo.id yang sesungguhnya</w:t>
            </w:r>
          </w:p>
        </w:tc>
      </w:tr>
      <w:tr>
        <w:trPr>
          <w:cantSplit/>
        </w:trPr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>Skema parameter kosong</w:t>
            </w:r>
          </w:p>
        </w:tc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Kondisi identik pada </w:t>
            </w:r>
            <w:r>
              <w:rPr>
                <w:i/>
                <w:sz w:val="20"/>
              </w:rPr>
              <w:t>baseline</w:t>
            </w:r>
            <w:r>
              <w:rPr>
                <w:sz w:val="20"/>
              </w:rPr>
              <w:t xml:space="preserve"> dan </w:t>
            </w:r>
            <w:r>
              <w:rPr>
                <w:i/>
                <w:sz w:val="20"/>
              </w:rPr>
              <w:t>registry</w:t>
            </w:r>
            <w:r>
              <w:rPr>
                <w:sz w:val="20"/>
              </w:rPr>
              <w:t>; klaim tetap valid</w:t>
            </w:r>
          </w:p>
        </w:tc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>Tambahkan skema parameter lengkap untuk mengukur dampaknya</w:t>
            </w:r>
          </w:p>
        </w:tc>
      </w:tr>
      <w:tr>
        <w:trPr>
          <w:cantSplit/>
        </w:trPr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>Dataset evaluasi kecil</w:t>
            </w:r>
          </w:p>
        </w:tc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>100 kueri (50/30/20), 3 pengulangan, uji Wilcoxon + Cohen's d + CI 95%</w:t>
            </w:r>
          </w:p>
        </w:tc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>Perluas ke 300+ kueri dengan distribusi lebih representatif</w:t>
            </w:r>
          </w:p>
        </w:tc>
      </w:tr>
      <w:tr>
        <w:trPr>
          <w:cantSplit/>
        </w:trPr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>Satu penyedia LLM</w:t>
            </w:r>
          </w:p>
        </w:tc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Fokus pada Gemini sesuai </w:t>
            </w:r>
            <w:r>
              <w:rPr>
                <w:i/>
                <w:sz w:val="20"/>
              </w:rPr>
              <w:t>stack production</w:t>
            </w:r>
            <w:r>
              <w:rPr>
                <w:sz w:val="20"/>
              </w:rPr>
              <w:t xml:space="preserve"> zerlo.id</w:t>
            </w:r>
          </w:p>
        </w:tc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Validasi lintas model (Claude, GPT-4o, MiniMax) dengan </w:t>
            </w:r>
            <w:r>
              <w:rPr>
                <w:i/>
                <w:sz w:val="20"/>
              </w:rPr>
              <w:t>harness</w:t>
            </w:r>
            <w:r>
              <w:rPr>
                <w:sz w:val="20"/>
              </w:rPr>
              <w:t xml:space="preserve"> per-penyedia</w:t>
            </w:r>
          </w:p>
        </w:tc>
      </w:tr>
      <w:tr>
        <w:trPr>
          <w:cantSplit/>
        </w:trPr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>Kegagalan deterministik</w:t>
            </w:r>
          </w:p>
        </w:tc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Dianalisis per kueri; didokumentasikan sebagai </w:t>
            </w:r>
            <w:r>
              <w:rPr>
                <w:i/>
                <w:sz w:val="20"/>
              </w:rPr>
              <w:t>threat</w:t>
            </w:r>
          </w:p>
        </w:tc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i/>
                <w:sz w:val="20"/>
              </w:rPr>
              <w:t>Two-stage</w:t>
            </w:r>
            <w:r>
              <w:rPr>
                <w:sz w:val="20"/>
              </w:rPr>
              <w:t xml:space="preserve">: penyaringan </w:t>
            </w:r>
            <w:r>
              <w:rPr>
                <w:i/>
                <w:sz w:val="20"/>
              </w:rPr>
              <w:t>registry</w:t>
            </w:r>
            <w:r>
              <w:rPr>
                <w:sz w:val="20"/>
              </w:rPr>
              <w:t xml:space="preserve"> → </w:t>
            </w:r>
            <w:r>
              <w:rPr>
                <w:i/>
                <w:sz w:val="20"/>
              </w:rPr>
              <w:t>intent</w:t>
            </w:r>
            <w:r>
              <w:rPr>
                <w:sz w:val="20"/>
              </w:rPr>
              <w:t xml:space="preserve"> unik per </w:t>
            </w:r>
            <w:r>
              <w:rPr>
                <w:i/>
                <w:sz w:val="20"/>
              </w:rPr>
              <w:t>tool</w:t>
            </w:r>
          </w:p>
        </w:tc>
      </w:tr>
      <w:tr>
        <w:trPr>
          <w:cantSplit/>
        </w:trPr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>Latensi jaringan</w:t>
            </w:r>
          </w:p>
        </w:tc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Dilaporkan sebagai p50/p95 </w:t>
            </w:r>
            <w:r>
              <w:rPr>
                <w:i/>
                <w:sz w:val="20"/>
              </w:rPr>
              <w:t>wall-clock</w:t>
            </w:r>
            <w:r>
              <w:rPr>
                <w:sz w:val="20"/>
              </w:rPr>
              <w:t>; metrik komparatif tetap valid</w:t>
            </w:r>
          </w:p>
        </w:tc>
        <w:tc>
          <w:tcPr>
            <w:tcW w:type="dxa" w:w="2646"/>
          </w:tcPr>
          <w:p>
            <w:pPr>
              <w:spacing w:line="240" w:lineRule="auto" w:after="0"/>
            </w:pPr>
            <w:r>
              <w:rPr>
                <w:sz w:val="20"/>
              </w:rPr>
            </w:r>
            <w:r>
              <w:rPr>
                <w:sz w:val="20"/>
              </w:rPr>
              <w:t>Pisahkan latensi jaringan dari latensi inferensi</w:t>
            </w:r>
          </w:p>
        </w:tc>
      </w:tr>
    </w:tbl>
    <w:p>
      <w:pPr>
        <w:pStyle w:val="Heading2"/>
      </w:pPr>
      <w:r>
        <w:t>5.3 Saran / Future Work</w:t>
      </w:r>
    </w:p>
    <w:p>
      <w:pPr>
        <w:ind w:firstLine="720"/>
        <w:jc w:val="both"/>
      </w:pPr>
      <w:r>
        <w:t>Berdasarkan temuan dan keterbatasan di atas, beberapa arah penelitian lanjutan direkomendasikan.</w:t>
      </w:r>
    </w:p>
    <w:p>
      <w:pPr>
        <w:ind w:left="567" w:hanging="283"/>
        <w:jc w:val="both"/>
      </w:pPr>
      <w:r>
        <w:t xml:space="preserve">1. </w:t>
      </w:r>
      <w:r>
        <w:rPr>
          <w:b/>
        </w:rPr>
        <w:t>Integrasi *Tool RAG* berbasis vektor untuk skala ribuan *tool*.</w:t>
      </w:r>
      <w:r>
        <w:t xml:space="preserve"> Tool Registry deterministik efektif pada skala ratusan </w:t>
      </w:r>
      <w:r>
        <w:rPr>
          <w:i/>
        </w:rPr>
        <w:t>tool</w:t>
      </w:r>
      <w:r>
        <w:t xml:space="preserve">, tetapi pada skala ribuan </w:t>
      </w:r>
      <w:r>
        <w:rPr>
          <w:i/>
        </w:rPr>
        <w:t>tool</w:t>
      </w:r>
      <w:r>
        <w:t xml:space="preserve"> — sebagaimana dilaporkan MCP-Flow dengan 11.536 </w:t>
      </w:r>
      <w:r>
        <w:rPr>
          <w:i/>
        </w:rPr>
        <w:t>tools</w:t>
      </w:r>
      <w:r>
        <w:t xml:space="preserve"> [13] — penyaringan berbasis kata kunci dapat menjadi kurang presisi. Penggabungan dengan pendekatan </w:t>
      </w:r>
      <w:r>
        <w:rPr>
          <w:i/>
        </w:rPr>
        <w:t>Retrieval-Augmented Generation</w:t>
      </w:r>
      <w:r>
        <w:t xml:space="preserve"> berbasis </w:t>
      </w:r>
      <w:r>
        <w:rPr>
          <w:i/>
        </w:rPr>
        <w:t>embedding</w:t>
      </w:r>
      <w:r>
        <w:t xml:space="preserve"> seperti Gorilla [8] dan Toolshed [10] berpotensi mempertahankan presisi pada skala yang jauh lebih besar.</w:t>
      </w:r>
    </w:p>
    <w:p>
      <w:pPr>
        <w:ind w:left="567" w:hanging="283"/>
        <w:jc w:val="both"/>
      </w:pPr>
      <w:r>
        <w:t xml:space="preserve">2. </w:t>
      </w:r>
      <w:r>
        <w:rPr>
          <w:b/>
        </w:rPr>
        <w:t>Pendekatan hibrida *two-stage*: penyaringan *registry* diikuti deskripsi kaya per *tool*.</w:t>
      </w:r>
      <w:r>
        <w:t xml:space="preserve"> Eksperimen Gemini Rich (Subbab 4.1) menunjukkan bahwa </w:t>
      </w:r>
      <w:r>
        <w:rPr>
          <w:i/>
        </w:rPr>
        <w:t>template intent</w:t>
      </w:r>
      <w:r>
        <w:t xml:space="preserve"> generik justru menurunkan akurasi </w:t>
      </w:r>
      <w:r>
        <w:rPr>
          <w:i/>
        </w:rPr>
        <w:t>registry</w:t>
      </w:r>
      <w:r>
        <w:t xml:space="preserve"> sebesar 9–11 persentase poin karena identik untuk seluruh </w:t>
      </w:r>
      <w:r>
        <w:rPr>
          <w:i/>
        </w:rPr>
        <w:t>tool</w:t>
      </w:r>
      <w:r>
        <w:t xml:space="preserve"> dengan </w:t>
      </w:r>
      <w:r>
        <w:rPr>
          <w:i/>
        </w:rPr>
        <w:t>op_type</w:t>
      </w:r>
      <w:r>
        <w:t xml:space="preserve"> yang sama. Temuan ini menegaskan bahwa kualitas deskripsi berarti </w:t>
      </w:r>
      <w:r>
        <w:rPr>
          <w:b/>
        </w:rPr>
        <w:t>keunikan per *tool</w:t>
      </w:r>
      <w:r>
        <w:rPr>
          <w:i/>
        </w:rPr>
        <w:t xml:space="preserve">, bukan panjang teks. Penelitian lanjutan dapat menguji arsitektur dua tahap: tahap pertama menyaring kandidat dengan </w:t>
      </w:r>
      <w:r>
        <w:t>registry</w:t>
      </w:r>
      <w:r>
        <w:rPr>
          <w:i/>
        </w:rPr>
        <w:t xml:space="preserve"> (penghematan token besar), tahap kedua menyuntikkan </w:t>
      </w:r>
      <w:r>
        <w:t>docstring</w:t>
      </w:r>
      <w:r>
        <w:rPr>
          <w:i/>
        </w:rPr>
        <w:t xml:space="preserve"> unik per </w:t>
      </w:r>
      <w:r>
        <w:t>tool* hanya untuk kandidat terpilih — sehingga akurasi intra-modul meningkat tanpa membengkakkan token.</w:t>
      </w:r>
    </w:p>
    <w:p>
      <w:pPr>
        <w:ind w:left="567" w:hanging="283"/>
        <w:jc w:val="both"/>
      </w:pPr>
      <w:r>
        <w:t xml:space="preserve">3. </w:t>
      </w:r>
      <w:r>
        <w:rPr>
          <w:b/>
        </w:rPr>
        <w:t>Penambahan skema parameter lengkap.</w:t>
      </w:r>
      <w:r>
        <w:t xml:space="preserve"> Pengisian skema parameter yang bertipe dan bernama spesifik diharapkan dapat menaikkan </w:t>
      </w:r>
      <w:r>
        <w:rPr>
          <w:i/>
        </w:rPr>
        <w:t>ceiling</w:t>
      </w:r>
      <w:r>
        <w:t xml:space="preserve"> akurasi yang pada eksperimen ini tertahan oleh skema kosong, sekaligus mengatasi sebagian besar kegagalan deterministik intra-modul.</w:t>
      </w:r>
    </w:p>
    <w:p>
      <w:pPr>
        <w:ind w:left="567" w:hanging="283"/>
        <w:jc w:val="both"/>
      </w:pPr>
      <w:r>
        <w:t xml:space="preserve">4. </w:t>
      </w:r>
      <w:r>
        <w:rPr>
          <w:b/>
        </w:rPr>
        <w:t>Validasi multi-model dengan *harness* pengukuran per-penyedia.</w:t>
      </w:r>
      <w:r>
        <w:t xml:space="preserve"> Perbandingan lintas penyedia LLM (Claude Sonnet 4.6, GPT-4o, MiniMax-M2.7, GLM-4.5-Flash) memerlukan adaptasi </w:t>
      </w:r>
      <w:r>
        <w:rPr>
          <w:i/>
        </w:rPr>
        <w:t>harness</w:t>
      </w:r>
      <w:r>
        <w:t xml:space="preserve"> penghitungan token dan ekstraksi pemanggilan </w:t>
      </w:r>
      <w:r>
        <w:rPr>
          <w:i/>
        </w:rPr>
        <w:t>tool</w:t>
      </w:r>
      <w:r>
        <w:t xml:space="preserve"> agar setara dengan </w:t>
      </w:r>
      <w:r>
        <w:rPr>
          <w:i/>
        </w:rPr>
        <w:t>native function calling</w:t>
      </w:r>
      <w:r>
        <w:t xml:space="preserve"> Gemini, sehingga generalisabilitas temuan dapat diuji secara valid.</w:t>
      </w:r>
    </w:p>
    <w:p>
      <w:pPr>
        <w:ind w:left="567" w:hanging="283"/>
        <w:jc w:val="both"/>
      </w:pPr>
      <w:r>
        <w:t xml:space="preserve">5. </w:t>
      </w:r>
      <w:r>
        <w:rPr>
          <w:b/>
        </w:rPr>
        <w:t>Integrasi produksi penuh dan evaluasi berkelanjutan.</w:t>
      </w:r>
      <w:r>
        <w:t xml:space="preserve"> Penerapan Tool Registry pada lingkungan </w:t>
      </w:r>
      <w:r>
        <w:rPr>
          <w:i/>
        </w:rPr>
        <w:t>production</w:t>
      </w:r>
      <w:r>
        <w:t xml:space="preserve"> zerlo.id secara penuh — mencakup penyaringan berbasis </w:t>
      </w:r>
      <w:r>
        <w:rPr>
          <w:i/>
        </w:rPr>
        <w:t>role</w:t>
      </w:r>
      <w:r>
        <w:t xml:space="preserve"> (RBAC), </w:t>
      </w:r>
      <w:r>
        <w:rPr>
          <w:i/>
        </w:rPr>
        <w:t>gating</w:t>
      </w:r>
      <w:r>
        <w:t xml:space="preserve"> berdasarkan </w:t>
      </w:r>
      <w:r>
        <w:rPr>
          <w:i/>
        </w:rPr>
        <w:t>tier</w:t>
      </w:r>
      <w:r>
        <w:t xml:space="preserve"> langganan, dan 80+ </w:t>
      </w:r>
      <w:r>
        <w:rPr>
          <w:i/>
        </w:rPr>
        <w:t>tool</w:t>
      </w:r>
      <w:r>
        <w:t xml:space="preserve"> aktif — perlu dievaluasi menggunakan </w:t>
      </w:r>
      <w:r>
        <w:rPr>
          <w:i/>
        </w:rPr>
        <w:t>log</w:t>
      </w:r>
      <w:r>
        <w:t xml:space="preserve"> kueri pengguna nyata secara berkelanjutan, untuk memvalidasi temuan eksperimen pada distribusi kueri produksi yang sesungguhnya.</w:t>
      </w:r>
    </w:p>
    <w:sectPr w:rsidR="00FC693F" w:rsidRPr="0006063C" w:rsidSect="00034616">
      <w:footerReference w:type="default" r:id="rId9"/>
      <w:pgSz w:w="11906" w:h="16838"/>
      <w:pgMar w:top="1701" w:right="1701" w:bottom="1701" w:left="2268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jc w:val="center"/>
    </w:pPr>
    <w:rPr>
      <w:rFonts w:ascii="Times New Roman" w:hAnsi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