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DAFTAR PUSTAKA</w:t>
      </w:r>
    </w:p>
    <w:p>
      <w:pPr>
        <w:spacing w:after="0"/>
        <w:jc w:val="center"/>
      </w:pPr>
      <w:r>
        <w:rPr>
          <w:b w:val="0"/>
          <w:i w:val="0"/>
          <w:sz w:val="24"/>
        </w:rPr>
      </w:r>
    </w:p>
    <w:p>
      <w:pPr>
        <w:spacing w:line="240" w:lineRule="auto" w:after="120"/>
        <w:ind w:left="567" w:hanging="567"/>
        <w:jc w:val="both"/>
      </w:pPr>
      <w:r>
        <w:t xml:space="preserve">[1] </w:t>
      </w:r>
      <w:r>
        <w:t xml:space="preserve">OpenAI, "Function calling and other API updates," </w:t>
      </w:r>
      <w:r>
        <w:rPr>
          <w:i/>
        </w:rPr>
        <w:t>OpenAI Blog</w:t>
      </w:r>
      <w:r>
        <w:t>, Jun. 2023. [Online]. Tersedia: https://openai.com/index/function-calling-and-other-api-updates/</w:t>
      </w:r>
    </w:p>
    <w:p>
      <w:pPr>
        <w:spacing w:line="240" w:lineRule="auto" w:after="120"/>
        <w:ind w:left="567" w:hanging="567"/>
        <w:jc w:val="both"/>
      </w:pPr>
      <w:r>
        <w:t xml:space="preserve">[2] </w:t>
      </w:r>
      <w:r>
        <w:t xml:space="preserve">Google DeepMind, "Gemini API function calling," </w:t>
      </w:r>
      <w:r>
        <w:rPr>
          <w:i/>
        </w:rPr>
        <w:t>Google AI Developer Documentation</w:t>
      </w:r>
      <w:r>
        <w:t>, 2024. [Online]. Tersedia: https://ai.google.dev/gemini-api/docs/function-calling</w:t>
      </w:r>
    </w:p>
    <w:p>
      <w:pPr>
        <w:spacing w:line="240" w:lineRule="auto" w:after="120"/>
        <w:ind w:left="567" w:hanging="567"/>
        <w:jc w:val="both"/>
      </w:pPr>
      <w:r>
        <w:t xml:space="preserve">[3] </w:t>
      </w:r>
      <w:r>
        <w:t xml:space="preserve">T. Schick, J. Dwivedi-Yu, R. Dessi, R. Raileanu, M. Lomeli, E. Hambro, L. Zettlemoyer, N. Cancedda, dan T. Scialom, "Toolformer: Language models can teach themselves to use tools," in </w:t>
      </w:r>
      <w:r>
        <w:rPr>
          <w:i/>
        </w:rPr>
        <w:t>Proc. Adv. Neural Inf. Process. Syst. (NeurIPS)</w:t>
      </w:r>
      <w:r>
        <w:t>, 2023. arXiv:2302.04761.</w:t>
      </w:r>
    </w:p>
    <w:p>
      <w:pPr>
        <w:spacing w:line="240" w:lineRule="auto" w:after="120"/>
        <w:ind w:left="567" w:hanging="567"/>
        <w:jc w:val="both"/>
      </w:pPr>
      <w:r>
        <w:t xml:space="preserve">[4] </w:t>
      </w:r>
      <w:r>
        <w:t xml:space="preserve">S. Yao, J. Zhao, D. Yu, N. Du, I. Shafran, K. Narasimhan, dan Y. Cao, "ReAct: Synergizing reasoning and acting in language models," in </w:t>
      </w:r>
      <w:r>
        <w:rPr>
          <w:i/>
        </w:rPr>
        <w:t>Proc. Int. Conf. Learn. Representations (ICLR)</w:t>
      </w:r>
      <w:r>
        <w:t>, 2023. arXiv:2210.03629.</w:t>
      </w:r>
    </w:p>
    <w:p>
      <w:pPr>
        <w:spacing w:line="240" w:lineRule="auto" w:after="120"/>
        <w:ind w:left="567" w:hanging="567"/>
        <w:jc w:val="both"/>
      </w:pPr>
      <w:r>
        <w:t xml:space="preserve">[5] </w:t>
      </w:r>
      <w:r>
        <w:t xml:space="preserve">N.F. Liu, K. Lin, J. Hewitt, A. Paranjape, M. Bevilacqua, F. Petroni, dan P. Liang, "Lost in the middle: How language models use long contexts," </w:t>
      </w:r>
      <w:r>
        <w:rPr>
          <w:i/>
        </w:rPr>
        <w:t>Trans. Assoc. Comput. Linguistics</w:t>
      </w:r>
      <w:r>
        <w:t>, vol. 12, pp. 157–173, 2024. arXiv:2307.03172.</w:t>
      </w:r>
    </w:p>
    <w:p>
      <w:pPr>
        <w:spacing w:line="240" w:lineRule="auto" w:after="120"/>
        <w:ind w:left="567" w:hanging="567"/>
        <w:jc w:val="both"/>
      </w:pPr>
      <w:r>
        <w:t xml:space="preserve">[6] </w:t>
      </w:r>
      <w:r>
        <w:t xml:space="preserve">T.B. Lee, "How long contexts hurt AI performance," </w:t>
      </w:r>
      <w:r>
        <w:rPr>
          <w:i/>
        </w:rPr>
        <w:t>Understanding AI</w:t>
      </w:r>
      <w:r>
        <w:t xml:space="preserve"> (Newsletter), Nov. 2025. [Online]. Tersedia: https://www.understandingai.org/p/how-long-contexts-hurt-ai-performance</w:t>
      </w:r>
    </w:p>
    <w:p>
      <w:pPr>
        <w:spacing w:line="240" w:lineRule="auto" w:after="120"/>
        <w:ind w:left="567" w:hanging="567"/>
        <w:jc w:val="both"/>
      </w:pPr>
      <w:r>
        <w:t xml:space="preserve">[7] </w:t>
      </w:r>
      <w:r>
        <w:t xml:space="preserve">P. Rajasekaran, E. Dixon, C. Ryan, dan J. Hadfield, "Effective context engineering for AI agents," </w:t>
      </w:r>
      <w:r>
        <w:rPr>
          <w:i/>
        </w:rPr>
        <w:t>Anthropic Engineering Blog</w:t>
      </w:r>
      <w:r>
        <w:t>, Sep. 2025.</w:t>
      </w:r>
    </w:p>
    <w:p>
      <w:pPr>
        <w:spacing w:line="240" w:lineRule="auto" w:after="120"/>
        <w:ind w:left="567" w:hanging="567"/>
        <w:jc w:val="both"/>
      </w:pPr>
      <w:r>
        <w:t xml:space="preserve">[8] </w:t>
      </w:r>
      <w:r>
        <w:t xml:space="preserve">S.G. Patil, T. Zhang, X. Wang, dan J.E. Gonzalez, "Gorilla: Large language model connected with massive APIs," in </w:t>
      </w:r>
      <w:r>
        <w:rPr>
          <w:i/>
        </w:rPr>
        <w:t>Proc. Adv. Neural Inf. Process. Syst. (NeurIPS)</w:t>
      </w:r>
      <w:r>
        <w:t>, 2024. arXiv:2305.15334.</w:t>
      </w:r>
    </w:p>
    <w:p>
      <w:pPr>
        <w:spacing w:line="240" w:lineRule="auto" w:after="120"/>
        <w:ind w:left="567" w:hanging="567"/>
        <w:jc w:val="both"/>
      </w:pPr>
      <w:r>
        <w:t xml:space="preserve">[9] </w:t>
      </w:r>
      <w:r>
        <w:t xml:space="preserve">Y. Qin et al., "ToolLLM: Facilitating large language models to master 16000+ real-world APIs," in </w:t>
      </w:r>
      <w:r>
        <w:rPr>
          <w:i/>
        </w:rPr>
        <w:t>Proc. Int. Conf. Learn. Representations (ICLR)</w:t>
      </w:r>
      <w:r>
        <w:t>, 2024. arXiv:2307.16789.</w:t>
      </w:r>
    </w:p>
    <w:p>
      <w:pPr>
        <w:spacing w:line="240" w:lineRule="auto" w:after="120"/>
        <w:ind w:left="567" w:hanging="567"/>
        <w:jc w:val="both"/>
      </w:pPr>
      <w:r>
        <w:t xml:space="preserve">[10] </w:t>
      </w:r>
      <w:r>
        <w:t>E. Lumer, "Toolshed: Scale tool-equipped agents with advanced RAG-tool fusion and tool knowledge bases," arXiv:2410.14594, 2024.</w:t>
      </w:r>
    </w:p>
    <w:p>
      <w:pPr>
        <w:spacing w:line="240" w:lineRule="auto" w:after="120"/>
        <w:ind w:left="567" w:hanging="567"/>
        <w:jc w:val="both"/>
      </w:pPr>
      <w:r>
        <w:t xml:space="preserve">[11] </w:t>
      </w:r>
      <w:r>
        <w:t>N. Gaurav, A. Akarsh, A. Ranjan, dan M. Bajaj, "Dynamic ReAct: Scalable tool selection for large-scale MCP environments," arXiv:2509.20386, 2025.</w:t>
      </w:r>
    </w:p>
    <w:p>
      <w:pPr>
        <w:spacing w:line="240" w:lineRule="auto" w:after="120"/>
        <w:ind w:left="567" w:hanging="567"/>
        <w:jc w:val="both"/>
      </w:pPr>
      <w:r>
        <w:t xml:space="preserve">[12] </w:t>
      </w:r>
      <w:r>
        <w:t xml:space="preserve">J. Jia dan Q. Li, "AutoTool: Efficient tool selection for large language model agents," in </w:t>
      </w:r>
      <w:r>
        <w:rPr>
          <w:i/>
        </w:rPr>
        <w:t>Proc. AAAI Conf. Artif. Intell. (AAAI)</w:t>
      </w:r>
      <w:r>
        <w:t>, 2026. arXiv:2511.14650.</w:t>
      </w:r>
    </w:p>
    <w:p>
      <w:pPr>
        <w:spacing w:line="240" w:lineRule="auto" w:after="120"/>
        <w:ind w:left="567" w:hanging="567"/>
        <w:jc w:val="both"/>
      </w:pPr>
      <w:r>
        <w:t xml:space="preserve">[13] </w:t>
      </w:r>
      <w:r>
        <w:t xml:space="preserve">W. Wang, P. Niu, Z. Xu, et al., "MCP-Flow: Facilitating LLM agents to master real-world, diverse and scaling MCP tools," in </w:t>
      </w:r>
      <w:r>
        <w:rPr>
          <w:i/>
        </w:rPr>
        <w:t>Proc. Assoc. Comput. Linguistics (ACL)</w:t>
      </w:r>
      <w:r>
        <w:t>, 2026. arXiv:2510.24284.</w:t>
      </w:r>
    </w:p>
    <w:p>
      <w:pPr>
        <w:spacing w:line="240" w:lineRule="auto" w:after="120"/>
        <w:ind w:left="567" w:hanging="567"/>
        <w:jc w:val="both"/>
      </w:pPr>
      <w:r>
        <w:t xml:space="preserve">[14] </w:t>
      </w:r>
      <w:r>
        <w:t xml:space="preserve">P. CN, "Build scalable AI agent systems using Amazon Bedrock agent registry," </w:t>
      </w:r>
      <w:r>
        <w:rPr>
          <w:i/>
        </w:rPr>
        <w:t>AWS Machine Learning Blog</w:t>
      </w:r>
      <w:r>
        <w:t>, Apr. 2026.</w:t>
      </w:r>
    </w:p>
    <w:p>
      <w:pPr>
        <w:spacing w:line="240" w:lineRule="auto" w:after="120"/>
        <w:ind w:left="567" w:hanging="567"/>
        <w:jc w:val="both"/>
      </w:pPr>
      <w:r>
        <w:t xml:space="preserve">[15] </w:t>
      </w:r>
      <w:r>
        <w:t xml:space="preserve">A.R. Hevner, S.T. March, J. Park, dan S. Ram, "Design science in information systems research," </w:t>
      </w:r>
      <w:r>
        <w:rPr>
          <w:i/>
        </w:rPr>
        <w:t>MIS Quarterly</w:t>
      </w:r>
      <w:r>
        <w:t>, vol. 28, no. 1, pp. 75–105, Mar. 2004.</w:t>
      </w:r>
    </w:p>
    <w:p>
      <w:pPr>
        <w:spacing w:line="240" w:lineRule="auto" w:after="120"/>
        <w:ind w:left="567" w:hanging="567"/>
        <w:jc w:val="both"/>
      </w:pPr>
      <w:r>
        <w:t xml:space="preserve">[16] </w:t>
      </w:r>
      <w:r>
        <w:t xml:space="preserve">T.B. Lee, "Context rot: The emerging challenge that could hold back LLM progress," </w:t>
      </w:r>
      <w:r>
        <w:rPr>
          <w:i/>
        </w:rPr>
        <w:t>Understanding AI</w:t>
      </w:r>
      <w:r>
        <w:t xml:space="preserve"> (Newsletter), Nov. 2025. [Online]. Tersedia: https://www.understandingai.org/p/context-rot-the-emerging-challenge</w:t>
      </w:r>
    </w:p>
    <w:p>
      <w:pPr>
        <w:spacing w:line="240" w:lineRule="auto" w:after="120"/>
        <w:ind w:left="567" w:hanging="567"/>
        <w:jc w:val="both"/>
      </w:pPr>
      <w:r>
        <w:t xml:space="preserve">[17] </w:t>
      </w:r>
      <w:r>
        <w:t>"Context length alone hurts LLM performance despite perfect retrieval," arXiv:2510.05381, 2025.</w:t>
      </w:r>
    </w:p>
    <w:p>
      <w:pPr>
        <w:spacing w:line="240" w:lineRule="auto" w:after="120"/>
        <w:ind w:left="567" w:hanging="567"/>
        <w:jc w:val="both"/>
      </w:pPr>
      <w:r>
        <w:t xml:space="preserve">[18] </w:t>
      </w:r>
      <w:r>
        <w:t xml:space="preserve">Y. Qu et al., "Towards completeness-oriented tool retrieval for large language models," in </w:t>
      </w:r>
      <w:r>
        <w:rPr>
          <w:i/>
        </w:rPr>
        <w:t>Proc. ACM Int. Conf. Inf. Knowl. Manag. (CIKM)</w:t>
      </w:r>
      <w:r>
        <w:t>, 2024. arXiv:2405.16089.</w:t>
      </w:r>
    </w:p>
    <w:p>
      <w:pPr>
        <w:spacing w:line="240" w:lineRule="auto" w:after="120"/>
        <w:ind w:left="567" w:hanging="567"/>
        <w:jc w:val="both"/>
      </w:pPr>
      <w:r>
        <w:t xml:space="preserve">[19] </w:t>
      </w:r>
      <w:r>
        <w:t xml:space="preserve">S.G. Patil et al., "The Berkeley function calling leaderboard (BFCL): From tool use to agentic evaluation of large language models," in </w:t>
      </w:r>
      <w:r>
        <w:rPr>
          <w:i/>
        </w:rPr>
        <w:t>Proc. Int. Conf. Mach. Learn. (ICML)</w:t>
      </w:r>
      <w:r>
        <w:t>, 2025.</w:t>
      </w:r>
    </w:p>
    <w:p>
      <w:pPr>
        <w:spacing w:line="240" w:lineRule="auto" w:after="120"/>
        <w:ind w:left="567" w:hanging="567"/>
        <w:jc w:val="both"/>
      </w:pPr>
      <w:r>
        <w:t xml:space="preserve">[20] </w:t>
      </w:r>
      <w:r>
        <w:t>"ScaleMCP: Dynamic and auto-synchronizing model context protocol tools for LLM agents," arXiv:2505.06416, 2025.</w:t>
      </w:r>
    </w:p>
    <w:p>
      <w:pPr>
        <w:spacing w:line="240" w:lineRule="auto" w:after="120"/>
        <w:ind w:left="567" w:hanging="567"/>
        <w:jc w:val="both"/>
      </w:pPr>
      <w:r>
        <w:t xml:space="preserve">[21] </w:t>
      </w:r>
      <w:r>
        <w:t xml:space="preserve">TrueFoundry, "What is AI agent registry — A complete guide," </w:t>
      </w:r>
      <w:r>
        <w:rPr>
          <w:i/>
        </w:rPr>
        <w:t>TrueFoundry Blog</w:t>
      </w:r>
      <w:r>
        <w:t>, Sep. 2025. [Online]. Tersedia: https://www.truefoundry.com/blog/ai-agent-registry</w:t>
      </w:r>
    </w:p>
    <w:p>
      <w:pPr>
        <w:spacing w:line="240" w:lineRule="auto" w:after="120"/>
        <w:ind w:left="567" w:hanging="567"/>
        <w:jc w:val="both"/>
      </w:pPr>
      <w:r>
        <w:t xml:space="preserve">[22] </w:t>
      </w:r>
      <w:r>
        <w:t xml:space="preserve">I. Kolchinsky, "Tool RAG: The next breakthrough in scalable AI agents," </w:t>
      </w:r>
      <w:r>
        <w:rPr>
          <w:i/>
        </w:rPr>
        <w:t>Red Hat Emerging Technologies Blog</w:t>
      </w:r>
      <w:r>
        <w:t>, Nov. 2025.</w:t>
      </w:r>
    </w:p>
    <w:p>
      <w:pPr>
        <w:spacing w:line="240" w:lineRule="auto" w:after="120"/>
        <w:ind w:left="567" w:hanging="567"/>
        <w:jc w:val="both"/>
      </w:pPr>
      <w:r>
        <w:t xml:space="preserve">[23] </w:t>
      </w:r>
      <w:r>
        <w:t xml:space="preserve">Pydantic, "Pydantic AI — Toolsets," </w:t>
      </w:r>
      <w:r>
        <w:rPr>
          <w:i/>
        </w:rPr>
        <w:t>Pydantic AI Documentation</w:t>
      </w:r>
      <w:r>
        <w:t>, 2025. [Online]. Tersedia: https://ai.pydantic.dev/</w:t>
      </w:r>
    </w:p>
    <w:p>
      <w:pPr>
        <w:spacing w:line="240" w:lineRule="auto" w:after="120"/>
        <w:ind w:left="567" w:hanging="567"/>
        <w:jc w:val="both"/>
      </w:pPr>
      <w:r>
        <w:t xml:space="preserve">[24] </w:t>
      </w:r>
      <w:r>
        <w:t xml:space="preserve">C. Richardson, "Pattern: API gateway / Backends for frontends," </w:t>
      </w:r>
      <w:r>
        <w:rPr>
          <w:i/>
        </w:rPr>
        <w:t>microservices.io</w:t>
      </w:r>
      <w:r>
        <w:t>, 2014–2025. [Online]. Tersedia: https://microservices.io/patterns/apigateway.html</w:t>
      </w:r>
    </w:p>
    <w:sectPr w:rsidR="00FC693F" w:rsidRPr="0006063C" w:rsidSect="00034616">
      <w:footerReference w:type="default" r:id="rId9"/>
      <w:pgSz w:w="11906" w:h="16838"/>
      <w:pgMar w:top="1701" w:right="1701" w:bottom="1701" w:left="2268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120"/>
      <w:jc w:val="center"/>
    </w:pPr>
    <w:rPr>
      <w:rFonts w:ascii="Times New Roman" w:hAnsi="Times New Roman"/>
      <w:b w:val="0"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