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ind w:firstLine="720"/>
        <w:jc w:val="both"/>
      </w:pPr>
      <w:r>
        <w:t xml:space="preserve">Pertumbuhan katalog </w:t>
      </w:r>
      <w:r>
        <w:rPr>
          <w:i/>
        </w:rPr>
        <w:t>tool</w:t>
      </w:r>
      <w:r>
        <w:t xml:space="preserve"> pada AI Agent multi-modul menimbulkan masalah </w:t>
      </w:r>
      <w:r>
        <w:rPr>
          <w:i/>
        </w:rPr>
        <w:t>tool overload</w:t>
      </w:r>
      <w:r>
        <w:t xml:space="preserve">: seluruh definisi </w:t>
      </w:r>
      <w:r>
        <w:rPr>
          <w:i/>
        </w:rPr>
        <w:t>tool</w:t>
      </w:r>
      <w:r>
        <w:t xml:space="preserve"> dikirim ke LLM sehingga konsumsi token meningkat proporsional terhadap ukuran katalog dan akurasi menurun akibat </w:t>
      </w:r>
      <w:r>
        <w:rPr>
          <w:i/>
        </w:rPr>
        <w:t>context rot</w:t>
      </w:r>
      <w:r>
        <w:t xml:space="preserve">. Penelitian ini merancang, mengimplementasikan, dan mengevaluasi Tool Registry deterministik berbasis metadata sebagai lapisan penyaringan </w:t>
      </w:r>
      <w:r>
        <w:rPr>
          <w:i/>
        </w:rPr>
        <w:t>tool</w:t>
      </w:r>
      <w:r>
        <w:t xml:space="preserve"> sebelum inferensi pada platform ERP restoran zerlo.id. Registry menyaring </w:t>
      </w:r>
      <w:r>
        <w:rPr>
          <w:i/>
        </w:rPr>
        <w:t>tool</w:t>
      </w:r>
      <w:r>
        <w:t xml:space="preserve"> berdasarkan modul, peran, tingkat langganan, kata kunci, dan anggaran token dengan batas 15 </w:t>
      </w:r>
      <w:r>
        <w:rPr>
          <w:i/>
        </w:rPr>
        <w:t>tool</w:t>
      </w:r>
      <w:r>
        <w:t xml:space="preserve"> per panggilan. Evaluasi menggunakan pendekatan </w:t>
      </w:r>
      <w:r>
        <w:rPr>
          <w:i/>
        </w:rPr>
        <w:t>Design Science Research</w:t>
      </w:r>
      <w:r>
        <w:t xml:space="preserve"> dengan 100 kueri berbahasa Indonesia, tiga pengulangan, dan tiga skenario katalog (30, 100, dan 300 </w:t>
      </w:r>
      <w:r>
        <w:rPr>
          <w:i/>
        </w:rPr>
        <w:t>tool</w:t>
      </w:r>
      <w:r>
        <w:t xml:space="preserve">) pada Gemini 2.5 Flash Lite, total 558 rekaman, diuji dengan Wilcoxon </w:t>
      </w:r>
      <w:r>
        <w:rPr>
          <w:i/>
        </w:rPr>
        <w:t>signed-rank</w:t>
      </w:r>
      <w:r>
        <w:t xml:space="preserve">, Cohen's d, dan </w:t>
      </w:r>
      <w:r>
        <w:rPr>
          <w:i/>
        </w:rPr>
        <w:t>confidence interval</w:t>
      </w:r>
      <w:r>
        <w:t xml:space="preserve"> 95%. Hasil menunjukkan penghematan token 63–95% yang signifikan secara statistik (p&lt;0,001; Cohen's d 11,7–782) dengan jumlah </w:t>
      </w:r>
      <w:r>
        <w:rPr>
          <w:i/>
        </w:rPr>
        <w:t>tool</w:t>
      </w:r>
      <w:r>
        <w:t xml:space="preserve"> terlihat tetap konstan pada 15 meskipun katalog tumbuh sepuluh kali lipat, membuktikan skalabilitas </w:t>
      </w:r>
      <w:r>
        <w:rPr>
          <w:i/>
        </w:rPr>
        <w:t>sub-linear</w:t>
      </w:r>
      <w:r>
        <w:t xml:space="preserve"> O(1). Akurasi pemilihan </w:t>
      </w:r>
      <w:r>
        <w:rPr>
          <w:i/>
        </w:rPr>
        <w:t>tool</w:t>
      </w:r>
      <w:r>
        <w:t xml:space="preserve"> meningkat +6,3 poin persen sebagai tren </w:t>
      </w:r>
      <w:r>
        <w:rPr>
          <w:i/>
        </w:rPr>
        <w:t>directional</w:t>
      </w:r>
      <w:r>
        <w:t>. Tool Registry memungkinkan AI Agent enterprise diskalakan ke ratusan modul tanpa lonjakan biaya inferensi maupun degradasi konteks.</w:t>
      </w:r>
    </w:p>
    <w:p>
      <w:pPr>
        <w:spacing w:line="240" w:lineRule="auto"/>
        <w:jc w:val="both"/>
      </w:pPr>
      <w:r>
        <w:rPr>
          <w:b/>
        </w:rPr>
        <w:t>Kata Kunci :</w:t>
      </w:r>
      <w:r>
        <w:t xml:space="preserve"> AI Agent, efisiensi token, function calling, skalabilitas, tool registry</w:t>
      </w:r>
    </w:p>
    <w:p>
      <w:pPr>
        <w:spacing w:after="0"/>
        <w:jc w:val="center"/>
      </w:pPr>
      <w:r>
        <w:rPr>
          <w:b w:val="0"/>
          <w:i w:val="0"/>
          <w:sz w:val="24"/>
        </w:rPr>
      </w:r>
    </w:p>
    <w:p>
      <w:pPr>
        <w:pStyle w:val="Heading1"/>
      </w:pPr>
      <w:r>
        <w:t>ABSTRACT</w:t>
      </w:r>
    </w:p>
    <w:p>
      <w:pPr>
        <w:spacing w:line="240" w:lineRule="auto"/>
        <w:ind w:firstLine="720"/>
        <w:jc w:val="both"/>
      </w:pPr>
      <w:r>
        <w:t xml:space="preserve">The growth of tool catalogs in multi-module AI Agents causes </w:t>
      </w:r>
      <w:r>
        <w:rPr>
          <w:i/>
        </w:rPr>
        <w:t>tool overload</w:t>
      </w:r>
      <w:r>
        <w:t xml:space="preserve">: all tool definitions are sent to the LLM, so token consumption scales proportionally with catalog size and accuracy degrades due to </w:t>
      </w:r>
      <w:r>
        <w:rPr>
          <w:i/>
        </w:rPr>
        <w:t>context rot</w:t>
      </w:r>
      <w:r>
        <w:t xml:space="preserve">. This research designs, implements, and evaluates a deterministic metadata-based Tool Registry as a tool-filtering layer prior to inference on the zerlo.id restaurant ERP platform. The registry filters tools by module, role, subscription tier, keywords, and token budget, capped at 15 tools per call. The evaluation follows the </w:t>
      </w:r>
      <w:r>
        <w:rPr>
          <w:i/>
        </w:rPr>
        <w:t>Design Science Research</w:t>
      </w:r>
      <w:r>
        <w:t xml:space="preserve"> approach using 100 Indonesian-language queries, three repeats, and three catalog scenarios (30, 100, and 300 tools) on Gemini 2.5 Flash Lite, totaling 558 records, tested with the Wilcoxon </w:t>
      </w:r>
      <w:r>
        <w:rPr>
          <w:i/>
        </w:rPr>
        <w:t>signed-rank</w:t>
      </w:r>
      <w:r>
        <w:t xml:space="preserve"> test, Cohen's d, and 95% </w:t>
      </w:r>
      <w:r>
        <w:rPr>
          <w:i/>
        </w:rPr>
        <w:t>confidence intervals</w:t>
      </w:r>
      <w:r>
        <w:t xml:space="preserve">. The results show a statistically significant token reduction of 63–95% (p&lt;0.001; Cohen's d 11.7–782), while the number of visible tools remains constant at 15 even as the catalog grows tenfold, demonstrating </w:t>
      </w:r>
      <w:r>
        <w:rPr>
          <w:i/>
        </w:rPr>
        <w:t>sub-linear</w:t>
      </w:r>
      <w:r>
        <w:t xml:space="preserve"> O(1) scalability. Tool selection accuracy improves by +6.3 percentage points as a </w:t>
      </w:r>
      <w:r>
        <w:rPr>
          <w:i/>
        </w:rPr>
        <w:t>directional</w:t>
      </w:r>
      <w:r>
        <w:t xml:space="preserve"> trend. The Tool Registry enables enterprise AI Agents to scale to hundreds of modules without proportional inference-cost growth or context degradation.</w:t>
      </w:r>
    </w:p>
    <w:p>
      <w:pPr>
        <w:spacing w:line="240" w:lineRule="auto"/>
        <w:jc w:val="both"/>
      </w:pPr>
      <w:r>
        <w:rPr>
          <w:b/>
        </w:rPr>
        <w:t>Keywords :</w:t>
      </w:r>
      <w:r>
        <w:t xml:space="preserve"> AI Agent, function calling, scalability, token efficiency, tool registry</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Klik kanan di sini lalu pilih 'Update Field' untuk mengisi daftar.</w:t>
        <w:fldChar w:fldCharType="end"/>
      </w:r>
    </w:p>
    <w:p>
      <w:r>
        <w:rPr>
          <w:i/>
          <w:sz w:val="20"/>
        </w:rPr>
        <w:t>Daftar Isi otomatis: di Word tekan Ctrl+A lalu F9 untuk memperbarui.</w:t>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Klik kanan di sini lalu pilih 'Update Field' untuk mengisi daftar.</w:t>
        <w:fldChar w:fldCharType="end"/>
      </w:r>
    </w:p>
    <w:p>
      <w:r>
        <w:rPr>
          <w:i/>
          <w:sz w:val="20"/>
        </w:rPr>
        <w:t>Terisi otomatis dari caption ber-SEQ; di Word tekan Ctrl+A lalu F9.</w:t>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Klik kanan di sini lalu pilih 'Update Field' untuk mengisi daftar.</w:t>
        <w:fldChar w:fldCharType="end"/>
      </w:r>
    </w:p>
    <w:p>
      <w:r>
        <w:rPr>
          <w:i/>
          <w:sz w:val="20"/>
        </w:rPr>
        <w:t>Terisi otomatis dari caption ber-SEQ; di Word tekan Ctrl+A lalu F9.</w:t>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[3]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[4].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[1].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[2],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[16]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[17]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[7]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[8]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[9]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[10]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[18]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[19]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[11]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[12]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[20]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[13],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[14] menyediakan manajemen metadata, kendali akses berbasis IAM, pelacakan siklus hidup, dan </w:t>
      </w:r>
      <w:r>
        <w:rPr>
          <w:i/>
        </w:rPr>
        <w:t>hybrid search</w:t>
      </w:r>
      <w:r>
        <w:t xml:space="preserve"> (kata kunci + semantik). Pada tataran konseptual, TrueFoundry [21]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[22]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[23],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[15].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 ARABIC \s 1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[24],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 ARABIC \s 1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[11]</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[12]</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[14]</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[15].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[23]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[7],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 ARABIC \s 1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 ARABIC \s 1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s 1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s 1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s 1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[2].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s 1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r>
        <w:br w:type="page"/>
      </w:r>
    </w:p>
    <w:p>
      <w:pPr>
        <w:pStyle w:val="Heading1"/>
      </w:pPr>
      <w:r>
        <w:t>BAB IV HASIL DAN ANALISA</w:t>
      </w:r>
    </w:p>
    <w:p>
      <w:pPr>
        <w:ind w:firstLine="720"/>
        <w:jc w:val="both"/>
      </w:pPr>
      <w:r>
        <w:t xml:space="preserve">Bab ini memaparkan dan menganalisis hasil eksperimen Tool Registry, sesuai tahap </w:t>
      </w:r>
      <w:r>
        <w:rPr>
          <w:i/>
        </w:rPr>
        <w:t>demonstration</w:t>
      </w:r>
      <w:r>
        <w:t xml:space="preserve"> dan </w:t>
      </w:r>
      <w:r>
        <w:rPr>
          <w:i/>
        </w:rPr>
        <w:t>evaluation</w:t>
      </w:r>
      <w:r>
        <w:t xml:space="preserve"> pada kerangka </w:t>
      </w:r>
      <w:r>
        <w:rPr>
          <w:i/>
        </w:rPr>
        <w:t>Design Science Research</w:t>
      </w:r>
      <w:r>
        <w:t xml:space="preserve">. Pembahasan diawali oleh hasil </w:t>
      </w:r>
      <w:r>
        <w:rPr>
          <w:i/>
        </w:rPr>
        <w:t>benchmark</w:t>
      </w:r>
      <w:r>
        <w:t xml:space="preserve"> synthetic sebagai validasi aritmetika, dilanjutkan hasil resmi eksperimen </w:t>
      </w:r>
      <w:r>
        <w:rPr>
          <w:i/>
        </w:rPr>
        <w:t>live</w:t>
      </w:r>
      <w:r>
        <w:t xml:space="preserve"> Gemini Native v2 (n=558), lalu analisis terperinci atas lima dimensi pengukuran — penghematan token, akurasi pemilihan </w:t>
      </w:r>
      <w:r>
        <w:rPr>
          <w:i/>
        </w:rPr>
        <w:t>tool</w:t>
      </w:r>
      <w:r>
        <w:t xml:space="preserve">, skalabilitas </w:t>
      </w:r>
      <w:r>
        <w:rPr>
          <w:i/>
        </w:rPr>
        <w:t>sub-linear</w:t>
      </w:r>
      <w:r>
        <w:t>, jejak memori, dan latensi — yang ditutup dengan uji statistik, analisis kegagalan, serta catatan validasi multi-model.</w:t>
      </w:r>
    </w:p>
    <w:p>
      <w:pPr>
        <w:pStyle w:val="Heading2"/>
      </w:pPr>
      <w:r>
        <w:t>4.1 Hasil Benchmark Synthetic S1–S4</w:t>
      </w:r>
    </w:p>
    <w:p>
      <w:pPr>
        <w:ind w:firstLine="720"/>
        <w:jc w:val="both"/>
      </w:pPr>
      <w:r>
        <w:rPr>
          <w:i/>
        </w:rPr>
        <w:t>Benchmark</w:t>
      </w:r>
      <w:r>
        <w:t xml:space="preserve"> synthetic dijalankan secara deterministik untuk memvalidasi aritmetika penghematan token dan mengekstrapolasi tren ke skenario S4 (1.000 </w:t>
      </w:r>
      <w:r>
        <w:rPr>
          <w:i/>
        </w:rPr>
        <w:t>tool</w:t>
      </w:r>
      <w:r>
        <w:t xml:space="preserve">) yang tidak dijalankan secara </w:t>
      </w:r>
      <w:r>
        <w:rPr>
          <w:i/>
        </w:rPr>
        <w:t>live</w:t>
      </w:r>
      <w:r>
        <w:t xml:space="preserve">. Pada </w:t>
      </w:r>
      <w:r>
        <w:rPr>
          <w:i/>
        </w:rPr>
        <w:t>benchmark</w:t>
      </w:r>
      <w: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t xml:space="preserve"> synthetic disajikan pada Tabel 4.1.</w:t>
      </w:r>
    </w:p>
    <w:p>
      <w:pPr>
        <w:pStyle w:val="Caption"/>
        <w:keepNext/>
        <w:jc w:val="center"/>
      </w:pPr>
      <w:r>
        <w:t>Tabel 4.</w:t>
      </w:r>
      <w:fldSimple w:instr=" SEQ Tabel \* ARABIC \s 1 ">
        <w:r>
          <w:t>1</w:t>
        </w:r>
      </w:fldSimple>
      <w:r>
        <w:t xml:space="preserve"> Hasil Benchmark Synthetic Token S1–S4</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3.423</w:t>
            </w:r>
          </w:p>
        </w:tc>
        <w:tc>
          <w:tcPr>
            <w:tcW w:type="dxa" w:w="1587"/>
          </w:tcPr>
          <w:p>
            <w:pPr>
              <w:spacing w:line="240" w:lineRule="auto" w:after="0"/>
            </w:pPr>
            <w:r>
              <w:rPr>
                <w:sz w:val="20"/>
              </w:rPr>
            </w:r>
            <w:r>
              <w:rPr>
                <w:sz w:val="20"/>
              </w:rPr>
              <w:t>1.560</w:t>
            </w:r>
          </w:p>
        </w:tc>
        <w:tc>
          <w:tcPr>
            <w:tcW w:type="dxa" w:w="1587"/>
          </w:tcPr>
          <w:p>
            <w:pPr>
              <w:spacing w:line="240" w:lineRule="auto" w:after="0"/>
            </w:pPr>
            <w:r>
              <w:rPr>
                <w:sz w:val="20"/>
              </w:rPr>
            </w:r>
            <w:r>
              <w:rPr>
                <w:sz w:val="20"/>
              </w:rPr>
              <w:t>−54%</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sz w:val="20"/>
              </w:rPr>
              <w:t>10.410</w:t>
            </w:r>
          </w:p>
        </w:tc>
        <w:tc>
          <w:tcPr>
            <w:tcW w:type="dxa" w:w="1587"/>
          </w:tcPr>
          <w:p>
            <w:pPr>
              <w:spacing w:line="240" w:lineRule="auto" w:after="0"/>
            </w:pPr>
            <w:r>
              <w:rPr>
                <w:sz w:val="20"/>
              </w:rPr>
            </w:r>
            <w:r>
              <w:rPr>
                <w:sz w:val="20"/>
              </w:rPr>
              <w:t>1.969</w:t>
            </w:r>
          </w:p>
        </w:tc>
        <w:tc>
          <w:tcPr>
            <w:tcW w:type="dxa" w:w="1587"/>
          </w:tcPr>
          <w:p>
            <w:pPr>
              <w:spacing w:line="240" w:lineRule="auto" w:after="0"/>
            </w:pPr>
            <w:r>
              <w:rPr>
                <w:sz w:val="20"/>
              </w:rPr>
            </w:r>
            <w:r>
              <w:rPr>
                <w:sz w:val="20"/>
              </w:rPr>
              <w:t>−81%</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sz w:val="20"/>
              </w:rPr>
              <w:t>30.496</w:t>
            </w:r>
          </w:p>
        </w:tc>
        <w:tc>
          <w:tcPr>
            <w:tcW w:type="dxa" w:w="1587"/>
          </w:tcPr>
          <w:p>
            <w:pPr>
              <w:spacing w:line="240" w:lineRule="auto" w:after="0"/>
            </w:pPr>
            <w:r>
              <w:rPr>
                <w:sz w:val="20"/>
              </w:rPr>
            </w:r>
            <w:r>
              <w:rPr>
                <w:sz w:val="20"/>
              </w:rPr>
              <w:t>1.971</w:t>
            </w:r>
          </w:p>
        </w:tc>
        <w:tc>
          <w:tcPr>
            <w:tcW w:type="dxa" w:w="1587"/>
          </w:tcPr>
          <w:p>
            <w:pPr>
              <w:spacing w:line="240" w:lineRule="auto" w:after="0"/>
            </w:pPr>
            <w:r>
              <w:rPr>
                <w:sz w:val="20"/>
              </w:rPr>
            </w:r>
            <w:r>
              <w:rPr>
                <w:sz w:val="20"/>
              </w:rPr>
              <w:t>−94%</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101.970</w:t>
            </w:r>
          </w:p>
        </w:tc>
        <w:tc>
          <w:tcPr>
            <w:tcW w:type="dxa" w:w="1587"/>
          </w:tcPr>
          <w:p>
            <w:pPr>
              <w:spacing w:line="240" w:lineRule="auto" w:after="0"/>
            </w:pPr>
            <w:r>
              <w:rPr>
                <w:sz w:val="20"/>
              </w:rPr>
            </w:r>
            <w:r>
              <w:rPr>
                <w:sz w:val="20"/>
              </w:rPr>
              <w:t>2.014</w:t>
            </w:r>
          </w:p>
        </w:tc>
        <w:tc>
          <w:tcPr>
            <w:tcW w:type="dxa" w:w="1587"/>
          </w:tcPr>
          <w:p>
            <w:pPr>
              <w:spacing w:line="240" w:lineRule="auto" w:after="0"/>
            </w:pPr>
            <w:r>
              <w:rPr>
                <w:sz w:val="20"/>
              </w:rPr>
            </w:r>
            <w:r>
              <w:rPr>
                <w:sz w:val="20"/>
              </w:rPr>
              <w:t>−98%</w:t>
            </w:r>
          </w:p>
        </w:tc>
      </w:tr>
    </w:tbl>
    <w:p>
      <w:pPr>
        <w:ind w:firstLine="720"/>
        <w:jc w:val="both"/>
      </w:pPr>
      <w:r>
        <w:t xml:space="preserve">Berdasarkan Tabel 4.1, terlihat pola yang konsisten: token </w:t>
      </w:r>
      <w:r>
        <w:rPr>
          <w:i/>
        </w:rPr>
        <w:t>baseline</w:t>
      </w:r>
      <w:r>
        <w:t xml:space="preserve"> tumbuh hampir linear terhadap ukuran katalog — dari 3.423 token (30 </w:t>
      </w:r>
      <w:r>
        <w:rPr>
          <w:i/>
        </w:rPr>
        <w:t>tool</w:t>
      </w:r>
      <w:r>
        <w:t xml:space="preserve">) hingga 101.970 token (1.000 </w:t>
      </w:r>
      <w:r>
        <w:rPr>
          <w:i/>
        </w:rPr>
        <w:t>tool</w:t>
      </w:r>
      <w:r>
        <w:t xml:space="preserve">) — sedangkan token </w:t>
      </w:r>
      <w:r>
        <w:rPr>
          <w:i/>
        </w:rPr>
        <w:t>registry</w:t>
      </w:r>
      <w:r>
        <w:t xml:space="preserve"> tetap berada pada kisaran 1.560–2.014 token meskipun katalog membesar 33 kali lipat. Pada S4, </w:t>
      </w:r>
      <w:r>
        <w:rPr>
          <w:i/>
        </w:rPr>
        <w:t>benchmark</w:t>
      </w:r>
      <w: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t xml:space="preserve"> pada Sub-bab 4.2.</w:t>
      </w:r>
    </w:p>
    <w:p>
      <w:pPr>
        <w:pStyle w:val="Heading2"/>
      </w:pPr>
      <w:r>
        <w:t>4.2 Hasil Gemini Native v2 (Hasil Resmi)</w:t>
      </w:r>
    </w:p>
    <w:p>
      <w:pPr>
        <w:ind w:firstLine="720"/>
        <w:jc w:val="both"/>
      </w:pPr>
      <w:r>
        <w:t xml:space="preserve">Eksperimen resmi dijalankan secara </w:t>
      </w:r>
      <w:r>
        <w:rPr>
          <w:i/>
        </w:rPr>
        <w:t>live</w:t>
      </w:r>
      <w:r>
        <w:t xml:space="preserve"> terhadap Gemini 2.5 Flash Lite dengan </w:t>
      </w:r>
      <w:r>
        <w:rPr>
          <w:i/>
        </w:rPr>
        <w:t>native function calling</w:t>
      </w:r>
      <w:r>
        <w:t xml:space="preserve">, menghasilkan total 558 rekaman (279 </w:t>
      </w:r>
      <w:r>
        <w:rPr>
          <w:i/>
        </w:rPr>
        <w:t>baseline</w:t>
      </w:r>
      <w:r>
        <w:t xml:space="preserve"> + 279 </w:t>
      </w:r>
      <w:r>
        <w:rPr>
          <w:i/>
        </w:rPr>
        <w:t>registry</w:t>
      </w:r>
      <w:r>
        <w:t>) dari 100 kueri pada skenario S1–S3 dengan tiga pengulangan. Ringkasan lengkap seluruh metrik disajikan pada Tabel 4.2.</w:t>
      </w:r>
    </w:p>
    <w:p>
      <w:pPr>
        <w:pStyle w:val="Caption"/>
        <w:keepNext/>
        <w:jc w:val="center"/>
      </w:pPr>
      <w:r>
        <w:t>Tabel 4.</w:t>
      </w:r>
      <w:fldSimple w:instr=" SEQ Tabel \* ARABIC \s 1 ">
        <w:r>
          <w:t>1</w:t>
        </w:r>
      </w:fldSimple>
      <w:r>
        <w:t xml:space="preserve"> Ringkasan Hasil Resmi Gemini Native v2</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134"/>
        <w:gridCol w:w="1134"/>
        <w:gridCol w:w="1134"/>
        <w:gridCol w:w="1134"/>
        <w:gridCol w:w="1134"/>
        <w:gridCol w:w="1134"/>
        <w:gridCol w:w="1134"/>
      </w:tblGrid>
      <w:tr>
        <w:trPr>
          <w:cantSplit/>
          <w:tblHeader/>
        </w:trPr>
        <w:tc>
          <w:tcPr>
            <w:tcW w:type="dxa" w:w="113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134"/>
            <w:tcBorders>
              <w:top w:val="none"/>
              <w:bottom w:val="single" w:sz="8" w:space="0" w:color="000000"/>
              <w:left w:val="none"/>
              <w:right w:val="none"/>
            </w:tcBorders>
          </w:tcPr>
          <w:p>
            <w:pPr>
              <w:spacing w:line="240" w:lineRule="auto" w:after="0"/>
            </w:pPr>
            <w:r>
              <w:rPr>
                <w:b/>
                <w:sz w:val="20"/>
              </w:rPr>
            </w:r>
            <w:r>
              <w:rPr>
                <w:b/>
                <w:sz w:val="20"/>
              </w:rPr>
              <w:t>Mode</w:t>
            </w:r>
          </w:p>
        </w:tc>
        <w:tc>
          <w:tcPr>
            <w:tcW w:type="dxa" w:w="113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134"/>
            <w:tcBorders>
              <w:top w:val="none"/>
              <w:bottom w:val="single" w:sz="8" w:space="0" w:color="000000"/>
              <w:left w:val="none"/>
              <w:right w:val="none"/>
            </w:tcBorders>
          </w:tcPr>
          <w:p>
            <w:pPr>
              <w:spacing w:line="240" w:lineRule="auto" w:after="0"/>
            </w:pPr>
            <w:r>
              <w:rPr>
                <w:b/>
                <w:sz w:val="20"/>
              </w:rPr>
            </w:r>
            <w:r>
              <w:rPr>
                <w:b/>
                <w:sz w:val="20"/>
              </w:rPr>
              <w:t>Tool Terlihat</w:t>
            </w:r>
          </w:p>
        </w:tc>
        <w:tc>
          <w:tcPr>
            <w:tcW w:type="dxa" w:w="1134"/>
            <w:tcBorders>
              <w:top w:val="none"/>
              <w:bottom w:val="single" w:sz="8" w:space="0" w:color="000000"/>
              <w:left w:val="none"/>
              <w:right w:val="none"/>
            </w:tcBorders>
          </w:tcPr>
          <w:p>
            <w:pPr>
              <w:spacing w:line="240" w:lineRule="auto" w:after="0"/>
            </w:pPr>
            <w:r>
              <w:rPr>
                <w:b/>
                <w:sz w:val="20"/>
              </w:rPr>
            </w:r>
            <w:r>
              <w:rPr>
                <w:b/>
                <w:sz w:val="20"/>
              </w:rPr>
              <w:t>Token</w:t>
            </w:r>
          </w:p>
        </w:tc>
        <w:tc>
          <w:tcPr>
            <w:tcW w:type="dxa" w:w="1134"/>
            <w:tcBorders>
              <w:top w:val="none"/>
              <w:bottom w:val="single" w:sz="8" w:space="0" w:color="000000"/>
              <w:left w:val="none"/>
              <w:right w:val="none"/>
            </w:tcBorders>
          </w:tcPr>
          <w:p>
            <w:pPr>
              <w:spacing w:line="240" w:lineRule="auto" w:after="0"/>
            </w:pPr>
            <w:r>
              <w:rPr>
                <w:b/>
                <w:sz w:val="20"/>
              </w:rPr>
            </w:r>
            <w:r>
              <w:rPr>
                <w:b/>
                <w:sz w:val="20"/>
              </w:rPr>
              <w:t>Akurasi</w:t>
            </w:r>
          </w:p>
        </w:tc>
        <w:tc>
          <w:tcPr>
            <w:tcW w:type="dxa" w:w="1134"/>
            <w:tcBorders>
              <w:top w:val="none"/>
              <w:bottom w:val="single" w:sz="8" w:space="0" w:color="000000"/>
              <w:left w:val="none"/>
              <w:right w:val="none"/>
            </w:tcBorders>
          </w:tcPr>
          <w:p>
            <w:pPr>
              <w:spacing w:line="240" w:lineRule="auto" w:after="0"/>
            </w:pPr>
            <w:r>
              <w:rPr>
                <w:b/>
                <w:sz w:val="20"/>
              </w:rPr>
            </w:r>
            <w:r>
              <w:rPr>
                <w:b/>
                <w:sz w:val="20"/>
              </w:rPr>
              <w:t>Latensi p50</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2.426</w:t>
            </w:r>
          </w:p>
        </w:tc>
        <w:tc>
          <w:tcPr>
            <w:tcW w:type="dxa" w:w="1134"/>
          </w:tcPr>
          <w:p>
            <w:pPr>
              <w:spacing w:line="240" w:lineRule="auto" w:after="0"/>
            </w:pPr>
            <w:r>
              <w:rPr>
                <w:sz w:val="20"/>
              </w:rPr>
            </w:r>
            <w:r>
              <w:rPr>
                <w:sz w:val="20"/>
              </w:rPr>
              <w:t>68,8%</w:t>
            </w:r>
          </w:p>
        </w:tc>
        <w:tc>
          <w:tcPr>
            <w:tcW w:type="dxa" w:w="1134"/>
          </w:tcPr>
          <w:p>
            <w:pPr>
              <w:spacing w:line="240" w:lineRule="auto" w:after="0"/>
            </w:pPr>
            <w:r>
              <w:rPr>
                <w:sz w:val="20"/>
              </w:rPr>
            </w:r>
            <w:r>
              <w:rPr>
                <w:sz w:val="20"/>
              </w:rPr>
              <w:t>833 ms</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10,6</w:t>
            </w:r>
          </w:p>
        </w:tc>
        <w:tc>
          <w:tcPr>
            <w:tcW w:type="dxa" w:w="1134"/>
          </w:tcPr>
          <w:p>
            <w:pPr>
              <w:spacing w:line="240" w:lineRule="auto" w:after="0"/>
            </w:pPr>
            <w:r>
              <w:rPr>
                <w:sz w:val="20"/>
              </w:rPr>
            </w:r>
            <w:r>
              <w:rPr>
                <w:sz w:val="20"/>
              </w:rPr>
              <w:t>893</w:t>
            </w:r>
          </w:p>
        </w:tc>
        <w:tc>
          <w:tcPr>
            <w:tcW w:type="dxa" w:w="1134"/>
          </w:tcPr>
          <w:p>
            <w:pPr>
              <w:spacing w:line="240" w:lineRule="auto" w:after="0"/>
            </w:pPr>
            <w:r>
              <w:rPr>
                <w:sz w:val="20"/>
              </w:rPr>
            </w:r>
            <w:r>
              <w:rPr>
                <w:sz w:val="20"/>
              </w:rPr>
              <w:t>75,0%</w:t>
            </w:r>
          </w:p>
        </w:tc>
        <w:tc>
          <w:tcPr>
            <w:tcW w:type="dxa" w:w="1134"/>
          </w:tcPr>
          <w:p>
            <w:pPr>
              <w:spacing w:line="240" w:lineRule="auto" w:after="0"/>
            </w:pPr>
            <w:r>
              <w:rPr>
                <w:sz w:val="20"/>
              </w:rPr>
            </w:r>
            <w:r>
              <w:rPr>
                <w:sz w:val="20"/>
              </w:rPr>
              <w:t>905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7.985</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1.014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1.241</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910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23.893</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992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1.239</w:t>
            </w:r>
          </w:p>
        </w:tc>
        <w:tc>
          <w:tcPr>
            <w:tcW w:type="dxa" w:w="1134"/>
          </w:tcPr>
          <w:p>
            <w:pPr>
              <w:spacing w:line="240" w:lineRule="auto" w:after="0"/>
            </w:pPr>
            <w:r>
              <w:rPr>
                <w:sz w:val="20"/>
              </w:rPr>
            </w:r>
            <w:r>
              <w:rPr>
                <w:sz w:val="20"/>
              </w:rPr>
              <w:t>77,6%</w:t>
            </w:r>
          </w:p>
        </w:tc>
        <w:tc>
          <w:tcPr>
            <w:tcW w:type="dxa" w:w="1134"/>
          </w:tcPr>
          <w:p>
            <w:pPr>
              <w:spacing w:line="240" w:lineRule="auto" w:after="0"/>
            </w:pPr>
            <w:r>
              <w:rPr>
                <w:sz w:val="20"/>
              </w:rPr>
            </w:r>
            <w:r>
              <w:rPr>
                <w:sz w:val="20"/>
              </w:rPr>
              <w:t>851 ms</w:t>
            </w:r>
          </w:p>
        </w:tc>
      </w:tr>
    </w:tbl>
    <w:p>
      <w:pPr>
        <w:ind w:firstLine="720"/>
        <w:jc w:val="both"/>
      </w:pPr>
      <w:r>
        <w:t xml:space="preserve">Berdasarkan Tabel 4.2, mode </w:t>
      </w:r>
      <w:r>
        <w:rPr>
          <w:i/>
        </w:rPr>
        <w:t>registry</w:t>
      </w:r>
      <w:r>
        <w:t xml:space="preserve"> secara konsisten mengungguli mode </w:t>
      </w:r>
      <w:r>
        <w:rPr>
          <w:i/>
        </w:rPr>
        <w:t>baseline</w:t>
      </w:r>
      <w:r>
        <w:t xml:space="preserve"> pada dimensi efisiensi token di seluruh skenario, dengan keunggulan yang membesar seiring ukuran katalog. Akurasi </w:t>
      </w:r>
      <w:r>
        <w:rPr>
          <w:i/>
        </w:rPr>
        <w:t>registry</w:t>
      </w:r>
      <w:r>
        <w:t xml:space="preserve"> setara atau lebih tinggi dibanding </w:t>
      </w:r>
      <w:r>
        <w:rPr>
          <w:i/>
        </w:rPr>
        <w:t>baseline</w:t>
      </w:r>
      <w:r>
        <w:t>, sementara latensi menunjukkan perbaikan moderat pada skenario besar. Setiap dimensi dianalisis secara terperinci pada sub-bab berikut.</w:t>
      </w:r>
    </w:p>
    <w:p>
      <w:pPr>
        <w:pStyle w:val="Heading2"/>
      </w:pPr>
      <w:r>
        <w:t>4.3 Analisis Token Reduction</w:t>
      </w:r>
    </w:p>
    <w:p>
      <w:pPr>
        <w:ind w:firstLine="720"/>
        <w:jc w:val="both"/>
      </w:pPr>
      <w:r>
        <w:t xml:space="preserve">Penghematan token merupakan temuan utama penelitian ini. Sebagaimana divisualisasikan pada Gambar 4.1, selisih konsumsi token antara </w:t>
      </w:r>
      <w:r>
        <w:rPr>
          <w:i/>
        </w:rPr>
        <w:t>baseline</w:t>
      </w:r>
      <w:r>
        <w:t xml:space="preserve"> dan </w:t>
      </w:r>
      <w:r>
        <w:rPr>
          <w:i/>
        </w:rPr>
        <w:t>registry</w:t>
      </w:r>
      <w:r>
        <w:t xml:space="preserve"> membesar secara dramatis seiring pertumbuhan katalog.</w:t>
      </w:r>
    </w:p>
    <w:p>
      <w:pPr>
        <w:keepNext/>
        <w:spacing w:before="120"/>
        <w:jc w:val="center"/>
      </w:pPr>
      <w:r>
        <w:drawing>
          <wp:inline xmlns:a="http://schemas.openxmlformats.org/drawingml/2006/main" xmlns:pic="http://schemas.openxmlformats.org/drawingml/2006/picture">
            <wp:extent cx="4320000" cy="2400000"/>
            <wp:docPr id="5" name="Picture 5"/>
            <wp:cNvGraphicFramePr>
              <a:graphicFrameLocks noChangeAspect="1"/>
            </wp:cNvGraphicFramePr>
            <a:graphic>
              <a:graphicData uri="http://schemas.openxmlformats.org/drawingml/2006/picture">
                <pic:pic>
                  <pic:nvPicPr>
                    <pic:cNvPr id="0" name="token_per_turn.png"/>
                    <pic:cNvPicPr/>
                  </pic:nvPicPr>
                  <pic:blipFill>
                    <a:blip r:embed="rId15"/>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Rata-rata Token per Kueri Baseline dan Registry.</w:t>
      </w:r>
    </w:p>
    <w:p>
      <w:pPr>
        <w:ind w:firstLine="720"/>
        <w:jc w:val="both"/>
      </w:pPr>
      <w:r>
        <w:t xml:space="preserve">Pada skenario S1 (30 </w:t>
      </w:r>
      <w:r>
        <w:rPr>
          <w:i/>
        </w:rPr>
        <w:t>tool</w:t>
      </w:r>
      <w:r>
        <w:t xml:space="preserve">), konsumsi token turun dari 2.426 menjadi 893 token (−63%). Pada S2 (100 </w:t>
      </w:r>
      <w:r>
        <w:rPr>
          <w:i/>
        </w:rPr>
        <w:t>tool</w:t>
      </w:r>
      <w:r>
        <w:t xml:space="preserve">), token turun dari 7.985 menjadi 1.241 token (−84%). Pada S3 (300 </w:t>
      </w:r>
      <w:r>
        <w:rPr>
          <w:i/>
        </w:rPr>
        <w:t>tool</w:t>
      </w:r>
      <w:r>
        <w:t xml:space="preserve">), token turun dari 23.893 menjadi hanya 1.239 token (−95%). Pola penting yang terlihat pada Gambar 4.1 adalah bahwa token </w:t>
      </w:r>
      <w:r>
        <w:rPr>
          <w:i/>
        </w:rPr>
        <w:t>registry</w:t>
      </w:r>
      <w:r>
        <w:t xml:space="preserve"> nyaris konstan (893–1.241 token) meskipun katalog membesar sepuluh kali lipat, sedangkan token </w:t>
      </w:r>
      <w:r>
        <w:rPr>
          <w:i/>
        </w:rPr>
        <w:t>baseline</w:t>
      </w:r>
      <w:r>
        <w:t xml:space="preserve"> tumbuh hampir linear. Rincian besaran penghematan disajikan pada Tabel 4.3.</w:t>
      </w:r>
    </w:p>
    <w:p>
      <w:pPr>
        <w:pStyle w:val="Caption"/>
        <w:keepNext/>
        <w:jc w:val="center"/>
      </w:pPr>
      <w:r>
        <w:t>Tabel 4.</w:t>
      </w:r>
      <w:fldSimple w:instr=" SEQ Tabel \* ARABIC \s 1 ">
        <w:r>
          <w:t>1</w:t>
        </w:r>
      </w:fldSimple>
      <w:r>
        <w:t xml:space="preserve"> Penghematan Token Registry terhadap Baseline</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Penghematan</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2.426</w:t>
            </w:r>
          </w:p>
        </w:tc>
        <w:tc>
          <w:tcPr>
            <w:tcW w:type="dxa" w:w="1587"/>
          </w:tcPr>
          <w:p>
            <w:pPr>
              <w:spacing w:line="240" w:lineRule="auto" w:after="0"/>
            </w:pPr>
            <w:r>
              <w:rPr>
                <w:sz w:val="20"/>
              </w:rPr>
            </w:r>
            <w:r>
              <w:rPr>
                <w:sz w:val="20"/>
              </w:rPr>
              <w:t>893</w:t>
            </w:r>
          </w:p>
        </w:tc>
        <w:tc>
          <w:tcPr>
            <w:tcW w:type="dxa" w:w="1587"/>
          </w:tcPr>
          <w:p>
            <w:pPr>
              <w:spacing w:line="240" w:lineRule="auto" w:after="0"/>
            </w:pPr>
            <w:r>
              <w:rPr>
                <w:sz w:val="20"/>
              </w:rPr>
            </w:r>
            <w:r>
              <w:rPr>
                <w:sz w:val="20"/>
              </w:rPr>
              <w:t>1.533 token</w:t>
            </w:r>
          </w:p>
        </w:tc>
        <w:tc>
          <w:tcPr>
            <w:tcW w:type="dxa" w:w="1587"/>
          </w:tcPr>
          <w:p>
            <w:pPr>
              <w:spacing w:line="240" w:lineRule="auto" w:after="0"/>
            </w:pPr>
            <w:r>
              <w:rPr>
                <w:sz w:val="20"/>
              </w:rPr>
            </w:r>
            <w:r>
              <w:rPr>
                <w:sz w:val="20"/>
              </w:rPr>
              <w:t>−63%</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7.985</w:t>
            </w:r>
          </w:p>
        </w:tc>
        <w:tc>
          <w:tcPr>
            <w:tcW w:type="dxa" w:w="1587"/>
          </w:tcPr>
          <w:p>
            <w:pPr>
              <w:spacing w:line="240" w:lineRule="auto" w:after="0"/>
            </w:pPr>
            <w:r>
              <w:rPr>
                <w:sz w:val="20"/>
              </w:rPr>
            </w:r>
            <w:r>
              <w:rPr>
                <w:sz w:val="20"/>
              </w:rPr>
              <w:t>1.241</w:t>
            </w:r>
          </w:p>
        </w:tc>
        <w:tc>
          <w:tcPr>
            <w:tcW w:type="dxa" w:w="1587"/>
          </w:tcPr>
          <w:p>
            <w:pPr>
              <w:spacing w:line="240" w:lineRule="auto" w:after="0"/>
            </w:pPr>
            <w:r>
              <w:rPr>
                <w:sz w:val="20"/>
              </w:rPr>
            </w:r>
            <w:r>
              <w:rPr>
                <w:sz w:val="20"/>
              </w:rPr>
              <w:t>6.744 token</w:t>
            </w:r>
          </w:p>
        </w:tc>
        <w:tc>
          <w:tcPr>
            <w:tcW w:type="dxa" w:w="1587"/>
          </w:tcPr>
          <w:p>
            <w:pPr>
              <w:spacing w:line="240" w:lineRule="auto" w:after="0"/>
            </w:pPr>
            <w:r>
              <w:rPr>
                <w:sz w:val="20"/>
              </w:rPr>
            </w:r>
            <w:r>
              <w:rPr>
                <w:sz w:val="20"/>
              </w:rPr>
              <w:t>−84%</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23.893</w:t>
            </w:r>
          </w:p>
        </w:tc>
        <w:tc>
          <w:tcPr>
            <w:tcW w:type="dxa" w:w="1587"/>
          </w:tcPr>
          <w:p>
            <w:pPr>
              <w:spacing w:line="240" w:lineRule="auto" w:after="0"/>
            </w:pPr>
            <w:r>
              <w:rPr>
                <w:sz w:val="20"/>
              </w:rPr>
            </w:r>
            <w:r>
              <w:rPr>
                <w:sz w:val="20"/>
              </w:rPr>
              <w:t>1.239</w:t>
            </w:r>
          </w:p>
        </w:tc>
        <w:tc>
          <w:tcPr>
            <w:tcW w:type="dxa" w:w="1587"/>
          </w:tcPr>
          <w:p>
            <w:pPr>
              <w:spacing w:line="240" w:lineRule="auto" w:after="0"/>
            </w:pPr>
            <w:r>
              <w:rPr>
                <w:sz w:val="20"/>
              </w:rPr>
            </w:r>
            <w:r>
              <w:rPr>
                <w:sz w:val="20"/>
              </w:rPr>
              <w:t>22.654 token</w:t>
            </w:r>
          </w:p>
        </w:tc>
        <w:tc>
          <w:tcPr>
            <w:tcW w:type="dxa" w:w="1587"/>
          </w:tcPr>
          <w:p>
            <w:pPr>
              <w:spacing w:line="240" w:lineRule="auto" w:after="0"/>
            </w:pPr>
            <w:r>
              <w:rPr>
                <w:sz w:val="20"/>
              </w:rPr>
            </w:r>
            <w:r>
              <w:rPr>
                <w:sz w:val="20"/>
              </w:rPr>
              <w:t>−95%</w:t>
            </w:r>
          </w:p>
        </w:tc>
      </w:tr>
    </w:tbl>
    <w:p>
      <w:pPr>
        <w:ind w:firstLine="720"/>
        <w:jc w:val="both"/>
      </w:pPr>
      <w:r>
        <w:t xml:space="preserve">Penghematan absolut tumbuh dari 1.533 token (S1) menjadi 22.654 token (S3) per kueri. Implikasi praktis bagi zerlo.id sangat signifikan: pada katalog 300 </w:t>
      </w:r>
      <w:r>
        <w:rPr>
          <w:i/>
        </w:rPr>
        <w:t>tool</w:t>
      </w:r>
      <w:r>
        <w:t xml:space="preserve">, Tool Registry menghapus lebih dari 22 ribu token </w:t>
      </w:r>
      <w:r>
        <w:rPr>
          <w:i/>
        </w:rPr>
        <w:t>overhead</w:t>
      </w:r>
      <w:r>
        <w:t xml:space="preserve"> per kueri, yang berarti penurunan biaya inferensi dan mitigasi langsung terhadap risiko </w:t>
      </w:r>
      <w:r>
        <w:rPr>
          <w:i/>
        </w:rPr>
        <w:t>context rot</w:t>
      </w:r>
      <w:r>
        <w:t xml:space="preserve"> yang diuraikan pada Bab II. Signifikansi statistik penghematan ini diuji pada Sub-bab 4.8.</w:t>
      </w:r>
    </w:p>
    <w:p>
      <w:pPr>
        <w:pStyle w:val="Heading2"/>
      </w:pPr>
      <w:r>
        <w:t>4.4 Analisis Tool Selection Accuracy</w:t>
      </w:r>
    </w:p>
    <w:p>
      <w:pPr>
        <w:ind w:firstLine="720"/>
        <w:jc w:val="both"/>
      </w:pPr>
      <w:r>
        <w:t xml:space="preserve">Akurasi pemilihan </w:t>
      </w:r>
      <w:r>
        <w:rPr>
          <w:i/>
        </w:rPr>
        <w:t>tool</w:t>
      </w:r>
      <w:r>
        <w:t xml:space="preserve"> dinilai secara biner terhadap </w:t>
      </w:r>
      <w:r>
        <w:rPr>
          <w:rFonts w:ascii="Courier New" w:hAnsi="Courier New"/>
        </w:rPr>
        <w:t>expected_tool</w:t>
      </w:r>
      <w:r>
        <w:t xml:space="preserve"> sebagai </w:t>
      </w:r>
      <w:r>
        <w:rPr>
          <w:i/>
        </w:rPr>
        <w:t>ground truth</w:t>
      </w:r>
      <w:r>
        <w:t xml:space="preserve">. Perbandingan akurasi </w:t>
      </w:r>
      <w:r>
        <w:rPr>
          <w:i/>
        </w:rPr>
        <w:t>baseline</w:t>
      </w:r>
      <w:r>
        <w:t xml:space="preserve"> dan </w:t>
      </w:r>
      <w:r>
        <w:rPr>
          <w:i/>
        </w:rPr>
        <w:t>registry</w:t>
      </w:r>
      <w:r>
        <w:t xml:space="preserve"> per skenario disajikan pada Gambar 4.2 dan Tabel 4.4.</w:t>
      </w:r>
    </w:p>
    <w:p>
      <w:pPr>
        <w:keepNext/>
        <w:spacing w:before="120"/>
        <w:jc w:val="center"/>
      </w:pPr>
      <w:r>
        <w:drawing>
          <wp:inline xmlns:a="http://schemas.openxmlformats.org/drawingml/2006/main" xmlns:pic="http://schemas.openxmlformats.org/drawingml/2006/picture">
            <wp:extent cx="4320000" cy="2400000"/>
            <wp:docPr id="6" name="Picture 6"/>
            <wp:cNvGraphicFramePr>
              <a:graphicFrameLocks noChangeAspect="1"/>
            </wp:cNvGraphicFramePr>
            <a:graphic>
              <a:graphicData uri="http://schemas.openxmlformats.org/drawingml/2006/picture">
                <pic:pic>
                  <pic:nvPicPr>
                    <pic:cNvPr id="0" name="tool_selection_accuracy.png"/>
                    <pic:cNvPicPr/>
                  </pic:nvPicPr>
                  <pic:blipFill>
                    <a:blip r:embed="rId16"/>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Akurasi Pemilihan Tool Baseline dan Registry.</w:t>
      </w:r>
    </w:p>
    <w:p>
      <w:pPr>
        <w:pStyle w:val="Caption"/>
        <w:keepNext/>
        <w:jc w:val="center"/>
      </w:pPr>
      <w:r>
        <w:t>Tabel 4.</w:t>
      </w:r>
      <w:fldSimple w:instr=" SEQ Tabel \* ARABIC \s 1 ">
        <w:r>
          <w:t>1</w:t>
        </w:r>
      </w:fldSimple>
      <w:r>
        <w:t xml:space="preserve"> Akurasi Pemilihan Tool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Registry</w:t>
            </w:r>
          </w:p>
        </w:tc>
        <w:tc>
          <w:tcPr>
            <w:tcW w:type="dxa" w:w="1984"/>
            <w:tcBorders>
              <w:top w:val="none"/>
              <w:bottom w:val="single" w:sz="8" w:space="0" w:color="000000"/>
              <w:left w:val="none"/>
              <w:right w:val="none"/>
            </w:tcBorders>
          </w:tcPr>
          <w:p>
            <w:pPr>
              <w:spacing w:line="240" w:lineRule="auto" w:after="0"/>
            </w:pPr>
            <w:r>
              <w:rPr>
                <w:b/>
                <w:sz w:val="20"/>
              </w:rPr>
            </w:r>
            <w:r>
              <w:rPr>
                <w:b/>
                <w:sz w:val="20"/>
              </w:rPr>
              <w:t>Selisih</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68,8%</w:t>
            </w:r>
          </w:p>
        </w:tc>
        <w:tc>
          <w:tcPr>
            <w:tcW w:type="dxa" w:w="1984"/>
          </w:tcPr>
          <w:p>
            <w:pPr>
              <w:spacing w:line="240" w:lineRule="auto" w:after="0"/>
            </w:pPr>
            <w:r>
              <w:rPr>
                <w:sz w:val="20"/>
              </w:rPr>
            </w:r>
            <w:r>
              <w:rPr>
                <w:sz w:val="20"/>
              </w:rPr>
              <w:t>75,0%</w:t>
            </w:r>
          </w:p>
        </w:tc>
        <w:tc>
          <w:tcPr>
            <w:tcW w:type="dxa" w:w="1984"/>
          </w:tcPr>
          <w:p>
            <w:pPr>
              <w:spacing w:line="240" w:lineRule="auto" w:after="0"/>
            </w:pPr>
            <w:r>
              <w:rPr>
                <w:sz w:val="20"/>
              </w:rPr>
            </w:r>
            <w:r>
              <w:rPr>
                <w:sz w:val="20"/>
              </w:rPr>
              <w:t>+6,3 pp</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0 pp</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77,6%</w:t>
            </w:r>
          </w:p>
        </w:tc>
        <w:tc>
          <w:tcPr>
            <w:tcW w:type="dxa" w:w="1984"/>
          </w:tcPr>
          <w:p>
            <w:pPr>
              <w:spacing w:line="240" w:lineRule="auto" w:after="0"/>
            </w:pPr>
            <w:r>
              <w:rPr>
                <w:sz w:val="20"/>
              </w:rPr>
            </w:r>
            <w:r>
              <w:rPr>
                <w:sz w:val="20"/>
              </w:rPr>
              <w:t>+6,3 pp</w:t>
            </w:r>
          </w:p>
        </w:tc>
      </w:tr>
    </w:tbl>
    <w:p>
      <w:pPr>
        <w:ind w:firstLine="720"/>
        <w:jc w:val="both"/>
      </w:pPr>
      <w:r>
        <w:t xml:space="preserve">Mode </w:t>
      </w:r>
      <w:r>
        <w:rPr>
          <w:i/>
        </w:rPr>
        <w:t>registry</w:t>
      </w:r>
      <w:r>
        <w:t xml:space="preserve"> meningkatkan akurasi sebesar +6,3 poin persentase pada skenario S1 dan S3, serta setara pada S2. Temuan ini menunjukkan bahwa penyaringan </w:t>
      </w:r>
      <w:r>
        <w:rPr>
          <w:i/>
        </w:rPr>
        <w:t>tool</w:t>
      </w:r>
      <w:r>
        <w:t xml:space="preserve"> tidak mengorbankan akurasi — bahkan cenderung memperbaikinya — karena dengan meneruskan hanya himpunan </w:t>
      </w:r>
      <w:r>
        <w:rPr>
          <w:i/>
        </w:rPr>
        <w:t>tool</w:t>
      </w:r>
      <w:r>
        <w:t xml:space="preserve"> relevan, model terhindar dari kebingungan akibat </w:t>
      </w:r>
      <w:r>
        <w:rPr>
          <w:i/>
        </w:rPr>
        <w:t>bloated tool sets</w:t>
      </w:r>
      <w:r>
        <w:t xml:space="preserve">. Yang patut dicatat, perbaikan akurasi pada S3 (katalog terbesar) justru paling konsisten, sejalan dengan prinsip bahwa pengurangan </w:t>
      </w:r>
      <w:r>
        <w:rPr>
          <w:i/>
        </w:rPr>
        <w:t>noise</w:t>
      </w:r>
      <w:r>
        <w:t xml:space="preserve"> konteks paling bermanfaat ketika katalog membesar.</w:t>
      </w:r>
    </w:p>
    <w:p>
      <w:pPr>
        <w:ind w:firstLine="720"/>
        <w:jc w:val="both"/>
      </w:pPr>
      <w: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pPr>
      <w:r>
        <w:t>4.5 Analisis Sub-linear Scalability</w:t>
      </w:r>
    </w:p>
    <w:p>
      <w:pPr>
        <w:ind w:firstLine="720"/>
        <w:jc w:val="both"/>
      </w:pPr>
      <w:r>
        <w:t xml:space="preserve">Properti skalabilitas </w:t>
      </w:r>
      <w:r>
        <w:rPr>
          <w:i/>
        </w:rPr>
        <w:t>sub-linear</w:t>
      </w:r>
      <w:r>
        <w:t xml:space="preserve"> merupakan kontribusi arsitektural utama Tool Registry. Gambar 4.3 dan Tabel 4.5 membandingkan jumlah </w:t>
      </w:r>
      <w:r>
        <w:rPr>
          <w:i/>
        </w:rPr>
        <w:t>tool</w:t>
      </w:r>
      <w:r>
        <w:t xml:space="preserve"> yang terlihat oleh LLM antara kedua mode.</w:t>
      </w:r>
    </w:p>
    <w:p>
      <w:pPr>
        <w:keepNext/>
        <w:spacing w:before="12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visible_tools_scaling.png"/>
                    <pic:cNvPicPr/>
                  </pic:nvPicPr>
                  <pic:blipFill>
                    <a:blip r:embed="rId17"/>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Jumlah Tool Terlihat oleh LLM terhadap Ukuran Katalog.</w:t>
      </w:r>
    </w:p>
    <w:p>
      <w:pPr>
        <w:pStyle w:val="Caption"/>
        <w:keepNext/>
        <w:jc w:val="center"/>
      </w:pPr>
      <w:r>
        <w:t>Tabel 4.</w:t>
      </w:r>
      <w:fldSimple w:instr=" SEQ Tabel \* ARABIC \s 1 ">
        <w:r>
          <w:t>1</w:t>
        </w:r>
      </w:fldSimple>
      <w:r>
        <w:t xml:space="preserve"> Jumlah Tool Terlihat dan Kompleksitas Penskalaan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 Katalog</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(Registry)</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10,6</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15</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15</w:t>
            </w:r>
          </w:p>
        </w:tc>
      </w:tr>
    </w:tbl>
    <w:p>
      <w:pPr>
        <w:ind w:firstLine="720"/>
        <w:jc w:val="both"/>
      </w:pPr>
      <w:r>
        <w:t xml:space="preserve">Pada mode </w:t>
      </w:r>
      <w:r>
        <w:rPr>
          <w:i/>
        </w:rPr>
        <w:t>baseline</w:t>
      </w:r>
      <w:r>
        <w:t xml:space="preserve">, jumlah </w:t>
      </w:r>
      <w:r>
        <w:rPr>
          <w:i/>
        </w:rPr>
        <w:t>tool</w:t>
      </w:r>
      <w:r>
        <w:t xml:space="preserve"> yang terlihat tumbuh secara O(N) — mengikuti persis ukuran katalog (30, 100, 300). Sebaliknya, pada mode </w:t>
      </w:r>
      <w:r>
        <w:rPr>
          <w:i/>
        </w:rPr>
        <w:t>registry</w:t>
      </w:r>
      <w:r>
        <w:t xml:space="preserve">, jumlah </w:t>
      </w:r>
      <w:r>
        <w:rPr>
          <w:i/>
        </w:rPr>
        <w:t>tool</w:t>
      </w:r>
      <w:r>
        <w:t xml:space="preserve"> terlihat tertahan pada </w:t>
      </w:r>
      <w:r>
        <w:rPr>
          <w:i/>
        </w:rPr>
        <w:t>budget cap</w:t>
      </w:r>
      <w:r>
        <w:t xml:space="preserve"> sebesar 15 </w:t>
      </w:r>
      <w:r>
        <w:rPr>
          <w:i/>
        </w:rPr>
        <w:t>tool</w:t>
      </w:r>
      <w:r>
        <w:t xml:space="preserve">, bahkan hanya 10,6 </w:t>
      </w:r>
      <w:r>
        <w:rPr>
          <w:i/>
        </w:rPr>
        <w:t>tool</w:t>
      </w:r>
      <w:r>
        <w:t xml:space="preserve"> rata-rata pada S1 karena sebagian kueri menghasilkan kandidat lebih sedikit dari anggaran. Sebagaimana terlihat pada Gambar 4.3, kurva </w:t>
      </w:r>
      <w:r>
        <w:rPr>
          <w:i/>
        </w:rPr>
        <w:t>registry</w:t>
      </w:r>
      <w:r>
        <w:t xml:space="preserve"> mendatar (O(1)) sementara kurva </w:t>
      </w:r>
      <w:r>
        <w:rPr>
          <w:i/>
        </w:rPr>
        <w:t>baseline</w:t>
      </w:r>
      <w:r>
        <w:t xml:space="preserve"> menanjak linear. Properti O(1) inilah yang menjawab rumusan masalah keempat: katalog dapat tumbuh dari 30 ke 300 </w:t>
      </w:r>
      <w:r>
        <w:rPr>
          <w:i/>
        </w:rPr>
        <w:t>tool</w:t>
      </w:r>
      <w:r>
        <w:t xml:space="preserve"> tanpa menambah beban konteks yang dilihat LLM, sehingga skalabilitas AI Agent zerlo.id tidak lagi dibatasi oleh ukuran katalog </w:t>
      </w:r>
      <w:r>
        <w:rPr>
          <w:i/>
        </w:rPr>
        <w:t>tool</w:t>
      </w:r>
      <w:r>
        <w:t>.</w:t>
      </w:r>
    </w:p>
    <w:p>
      <w:pPr>
        <w:pStyle w:val="Heading2"/>
      </w:pPr>
      <w:r>
        <w:t>4.6 Analisis Memory Footprint</w:t>
      </w:r>
    </w:p>
    <w:p>
      <w:pPr>
        <w:ind w:firstLine="720"/>
        <w:jc w:val="both"/>
      </w:pPr>
      <w:r>
        <w:t>Jejak memori (</w:t>
      </w:r>
      <w:r>
        <w:rPr>
          <w:i/>
        </w:rPr>
        <w:t>memory footprint</w:t>
      </w:r>
      <w:r>
        <w:t xml:space="preserve">) registry diukur untuk memastikan bahwa </w:t>
      </w:r>
      <w:r>
        <w:rPr>
          <w:i/>
        </w:rPr>
        <w:t>overhead</w:t>
      </w:r>
      <w:r>
        <w:t xml:space="preserve"> struktur metadata tetap kecil dan dapat dikelola. Hasil pengukuran disajikan pada Gambar 4.4 dan Tabel 4.6.</w:t>
      </w:r>
    </w:p>
    <w:p>
      <w:pPr>
        <w:keepNext/>
        <w:spacing w:before="120"/>
        <w:jc w:val="center"/>
      </w:pPr>
      <w:r>
        <w:drawing>
          <wp:inline xmlns:a="http://schemas.openxmlformats.org/drawingml/2006/main" xmlns:pic="http://schemas.openxmlformats.org/drawingml/2006/picture">
            <wp:extent cx="4320000" cy="2400000"/>
            <wp:docPr id="8" name="Picture 8"/>
            <wp:cNvGraphicFramePr>
              <a:graphicFrameLocks noChangeAspect="1"/>
            </wp:cNvGraphicFramePr>
            <a:graphic>
              <a:graphicData uri="http://schemas.openxmlformats.org/drawingml/2006/picture">
                <pic:pic>
                  <pic:nvPicPr>
                    <pic:cNvPr id="0" name="memory_footprint.png"/>
                    <pic:cNvPicPr/>
                  </pic:nvPicPr>
                  <pic:blipFill>
                    <a:blip r:embed="rId18"/>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Jejak Memori Registry terhadap Ukuran Katalog.</w:t>
      </w:r>
    </w:p>
    <w:p>
      <w:pPr>
        <w:pStyle w:val="Caption"/>
        <w:keepNext/>
        <w:jc w:val="center"/>
      </w:pPr>
      <w:r>
        <w:t>Tabel 4.</w:t>
      </w:r>
      <w:fldSimple w:instr=" SEQ Tabel \* ARABIC \s 1 ">
        <w:r>
          <w:t>1</w:t>
        </w:r>
      </w:fldSimple>
      <w:r>
        <w:t xml:space="preserve"> Jejak Memori Registry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984"/>
            <w:tcBorders>
              <w:top w:val="none"/>
              <w:bottom w:val="single" w:sz="8" w:space="0" w:color="000000"/>
              <w:left w:val="none"/>
              <w:right w:val="none"/>
            </w:tcBorders>
          </w:tcPr>
          <w:p>
            <w:pPr>
              <w:spacing w:line="240" w:lineRule="auto" w:after="0"/>
            </w:pPr>
            <w:r>
              <w:rPr>
                <w:b/>
                <w:sz w:val="20"/>
              </w:rPr>
            </w:r>
            <w:r>
              <w:rPr>
                <w:b/>
                <w:sz w:val="20"/>
              </w:rPr>
              <w:t>Jejak Memori (byte)</w:t>
            </w:r>
          </w:p>
        </w:tc>
        <w:tc>
          <w:tcPr>
            <w:tcW w:type="dxa" w:w="1984"/>
            <w:tcBorders>
              <w:top w:val="none"/>
              <w:bottom w:val="single" w:sz="8" w:space="0" w:color="000000"/>
              <w:left w:val="none"/>
              <w:right w:val="none"/>
            </w:tcBorders>
          </w:tcPr>
          <w:p>
            <w:pPr>
              <w:spacing w:line="240" w:lineRule="auto" w:after="0"/>
            </w:pPr>
            <w:r>
              <w:rPr>
                <w:b/>
                <w:sz w:val="20"/>
              </w:rPr>
            </w:r>
            <w:r>
              <w:rPr>
                <w:b/>
                <w:sz w:val="20"/>
              </w:rPr>
              <w:t>Setara</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22.662</w:t>
            </w:r>
          </w:p>
        </w:tc>
        <w:tc>
          <w:tcPr>
            <w:tcW w:type="dxa" w:w="1984"/>
          </w:tcPr>
          <w:p>
            <w:pPr>
              <w:spacing w:line="240" w:lineRule="auto" w:after="0"/>
            </w:pPr>
            <w:r>
              <w:rPr>
                <w:sz w:val="20"/>
              </w:rPr>
            </w:r>
            <w:r>
              <w:rPr>
                <w:sz w:val="20"/>
              </w:rPr>
              <w:t>≈22 KB</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71.971</w:t>
            </w:r>
          </w:p>
        </w:tc>
        <w:tc>
          <w:tcPr>
            <w:tcW w:type="dxa" w:w="1984"/>
          </w:tcPr>
          <w:p>
            <w:pPr>
              <w:spacing w:line="240" w:lineRule="auto" w:after="0"/>
            </w:pPr>
            <w:r>
              <w:rPr>
                <w:sz w:val="20"/>
              </w:rPr>
            </w:r>
            <w:r>
              <w:rPr>
                <w:sz w:val="20"/>
              </w:rPr>
              <w:t>≈70 KB</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205.354</w:t>
            </w:r>
          </w:p>
        </w:tc>
        <w:tc>
          <w:tcPr>
            <w:tcW w:type="dxa" w:w="1984"/>
          </w:tcPr>
          <w:p>
            <w:pPr>
              <w:spacing w:line="240" w:lineRule="auto" w:after="0"/>
            </w:pPr>
            <w:r>
              <w:rPr>
                <w:sz w:val="20"/>
              </w:rPr>
            </w:r>
            <w:r>
              <w:rPr>
                <w:sz w:val="20"/>
              </w:rPr>
              <w:t>≈201 KB</w:t>
            </w:r>
          </w:p>
        </w:tc>
      </w:tr>
    </w:tbl>
    <w:p>
      <w:pPr>
        <w:ind w:firstLine="720"/>
        <w:jc w:val="both"/>
      </w:pPr>
      <w:r>
        <w:t xml:space="preserve">Jejak memori tumbuh secara linear terhadap ukuran katalog, dari 22 KB (30 </w:t>
      </w:r>
      <w:r>
        <w:rPr>
          <w:i/>
        </w:rPr>
        <w:t>tool</w:t>
      </w:r>
      <w:r>
        <w:t xml:space="preserve">) menjadi 201 KB (300 </w:t>
      </w:r>
      <w:r>
        <w:rPr>
          <w:i/>
        </w:rPr>
        <w:t>tool</w:t>
      </w:r>
      <w:r>
        <w:t xml:space="preserve">). Pertumbuhan linear ini wajar dan tidak menjadi </w:t>
      </w:r>
      <w:r>
        <w:rPr>
          <w:i/>
        </w:rPr>
        <w:t>bottleneck</w:t>
      </w:r>
      <w:r>
        <w:t xml:space="preserve">: bahkan pada katalog 300 </w:t>
      </w:r>
      <w:r>
        <w:rPr>
          <w:i/>
        </w:rPr>
        <w:t>tool</w:t>
      </w:r>
      <w:r>
        <w:t xml:space="preserve">, struktur metadata registry hanya menempati sekitar 201 KB memori — jumlah yang sangat kecil dibandingkan kapasitas memori server produksi. Dengan demikian, manfaat penghematan token yang besar diperoleh dengan </w:t>
      </w:r>
      <w:r>
        <w:rPr>
          <w:i/>
        </w:rPr>
        <w:t>overhead</w:t>
      </w:r>
      <w:r>
        <w:t xml:space="preserve"> memori yang dapat diabaikan, menjadikan Tool Registry solusi yang efisien secara ruang maupun token.</w:t>
      </w:r>
    </w:p>
    <w:p>
      <w:pPr>
        <w:pStyle w:val="Heading2"/>
      </w:pPr>
      <w:r>
        <w:t>4.7 Analisis Latency</w:t>
      </w:r>
    </w:p>
    <w:p>
      <w:pPr>
        <w:ind w:firstLine="720"/>
        <w:jc w:val="both"/>
      </w:pPr>
      <w:r>
        <w:t>Latensi respons diukur pada persentil ke-50 (p50) sebagai indikator pengalaman pengguna tipikal. Perbandingan latensi disajikan pada Gambar 4.5 dan Tabel 4.7.</w:t>
      </w:r>
    </w:p>
    <w:p>
      <w:pPr>
        <w:keepNext/>
        <w:spacing w:before="120"/>
        <w:jc w:val="center"/>
      </w:pPr>
      <w:r>
        <w:drawing>
          <wp:inline xmlns:a="http://schemas.openxmlformats.org/drawingml/2006/main" xmlns:pic="http://schemas.openxmlformats.org/drawingml/2006/picture">
            <wp:extent cx="4320000" cy="2400000"/>
            <wp:docPr id="9" name="Picture 9"/>
            <wp:cNvGraphicFramePr>
              <a:graphicFrameLocks noChangeAspect="1"/>
            </wp:cNvGraphicFramePr>
            <a:graphic>
              <a:graphicData uri="http://schemas.openxmlformats.org/drawingml/2006/picture">
                <pic:pic>
                  <pic:nvPicPr>
                    <pic:cNvPr id="0" name="latency_p50.png"/>
                    <pic:cNvPicPr/>
                  </pic:nvPicPr>
                  <pic:blipFill>
                    <a:blip r:embed="rId19"/>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Latensi p50 Baseline dan Registry.</w:t>
      </w:r>
    </w:p>
    <w:p>
      <w:pPr>
        <w:pStyle w:val="Caption"/>
        <w:keepNext/>
        <w:jc w:val="center"/>
      </w:pPr>
      <w:r>
        <w:t>Tabel 4.</w:t>
      </w:r>
      <w:fldSimple w:instr=" SEQ Tabel \* ARABIC \s 1 ">
        <w:r>
          <w:t>1</w:t>
        </w:r>
      </w:fldSimple>
      <w:r>
        <w:t xml:space="preserve"> Latensi p50 dan p95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p50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p50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p95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p95 Registry</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833 ms</w:t>
            </w:r>
          </w:p>
        </w:tc>
        <w:tc>
          <w:tcPr>
            <w:tcW w:type="dxa" w:w="1587"/>
          </w:tcPr>
          <w:p>
            <w:pPr>
              <w:spacing w:line="240" w:lineRule="auto" w:after="0"/>
            </w:pPr>
            <w:r>
              <w:rPr>
                <w:sz w:val="20"/>
              </w:rPr>
            </w:r>
            <w:r>
              <w:rPr>
                <w:sz w:val="20"/>
              </w:rPr>
              <w:t>905 ms</w:t>
            </w:r>
          </w:p>
        </w:tc>
        <w:tc>
          <w:tcPr>
            <w:tcW w:type="dxa" w:w="1587"/>
          </w:tcPr>
          <w:p>
            <w:pPr>
              <w:spacing w:line="240" w:lineRule="auto" w:after="0"/>
            </w:pPr>
            <w:r>
              <w:rPr>
                <w:sz w:val="20"/>
              </w:rPr>
            </w:r>
            <w:r>
              <w:rPr>
                <w:sz w:val="20"/>
              </w:rPr>
              <w:t>1.311 ms</w:t>
            </w:r>
          </w:p>
        </w:tc>
        <w:tc>
          <w:tcPr>
            <w:tcW w:type="dxa" w:w="1587"/>
          </w:tcPr>
          <w:p>
            <w:pPr>
              <w:spacing w:line="240" w:lineRule="auto" w:after="0"/>
            </w:pPr>
            <w:r>
              <w:rPr>
                <w:sz w:val="20"/>
              </w:rPr>
            </w:r>
            <w:r>
              <w:rPr>
                <w:sz w:val="20"/>
              </w:rPr>
              <w:t>2.567 ms</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1.014 ms</w:t>
            </w:r>
          </w:p>
        </w:tc>
        <w:tc>
          <w:tcPr>
            <w:tcW w:type="dxa" w:w="1587"/>
          </w:tcPr>
          <w:p>
            <w:pPr>
              <w:spacing w:line="240" w:lineRule="auto" w:after="0"/>
            </w:pPr>
            <w:r>
              <w:rPr>
                <w:sz w:val="20"/>
              </w:rPr>
            </w:r>
            <w:r>
              <w:rPr>
                <w:sz w:val="20"/>
              </w:rPr>
              <w:t>910 ms</w:t>
            </w:r>
          </w:p>
        </w:tc>
        <w:tc>
          <w:tcPr>
            <w:tcW w:type="dxa" w:w="1587"/>
          </w:tcPr>
          <w:p>
            <w:pPr>
              <w:spacing w:line="240" w:lineRule="auto" w:after="0"/>
            </w:pPr>
            <w:r>
              <w:rPr>
                <w:sz w:val="20"/>
              </w:rPr>
            </w:r>
            <w:r>
              <w:rPr>
                <w:sz w:val="20"/>
              </w:rPr>
              <w:t>2.625 ms</w:t>
            </w:r>
          </w:p>
        </w:tc>
        <w:tc>
          <w:tcPr>
            <w:tcW w:type="dxa" w:w="1587"/>
          </w:tcPr>
          <w:p>
            <w:pPr>
              <w:spacing w:line="240" w:lineRule="auto" w:after="0"/>
            </w:pPr>
            <w:r>
              <w:rPr>
                <w:sz w:val="20"/>
              </w:rPr>
            </w:r>
            <w:r>
              <w:rPr>
                <w:sz w:val="20"/>
              </w:rPr>
              <w:t>1.369 ms</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992 ms</w:t>
            </w:r>
          </w:p>
        </w:tc>
        <w:tc>
          <w:tcPr>
            <w:tcW w:type="dxa" w:w="1587"/>
          </w:tcPr>
          <w:p>
            <w:pPr>
              <w:spacing w:line="240" w:lineRule="auto" w:after="0"/>
            </w:pPr>
            <w:r>
              <w:rPr>
                <w:sz w:val="20"/>
              </w:rPr>
            </w:r>
            <w:r>
              <w:rPr>
                <w:sz w:val="20"/>
              </w:rPr>
              <w:t>851 ms</w:t>
            </w:r>
          </w:p>
        </w:tc>
        <w:tc>
          <w:tcPr>
            <w:tcW w:type="dxa" w:w="1587"/>
          </w:tcPr>
          <w:p>
            <w:pPr>
              <w:spacing w:line="240" w:lineRule="auto" w:after="0"/>
            </w:pPr>
            <w:r>
              <w:rPr>
                <w:sz w:val="20"/>
              </w:rPr>
            </w:r>
            <w:r>
              <w:rPr>
                <w:sz w:val="20"/>
              </w:rPr>
              <w:t>1.548 ms</w:t>
            </w:r>
          </w:p>
        </w:tc>
        <w:tc>
          <w:tcPr>
            <w:tcW w:type="dxa" w:w="1587"/>
          </w:tcPr>
          <w:p>
            <w:pPr>
              <w:spacing w:line="240" w:lineRule="auto" w:after="0"/>
            </w:pPr>
            <w:r>
              <w:rPr>
                <w:sz w:val="20"/>
              </w:rPr>
            </w:r>
            <w:r>
              <w:rPr>
                <w:sz w:val="20"/>
              </w:rPr>
              <w:t>1.112 ms</w:t>
            </w:r>
          </w:p>
        </w:tc>
      </w:tr>
    </w:tbl>
    <w:p>
      <w:pPr>
        <w:ind w:firstLine="720"/>
        <w:jc w:val="both"/>
      </w:pPr>
      <w: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t xml:space="preserve"> justru sedikit lebih tinggi (905 ms vs 833 ms), karena </w:t>
      </w:r>
      <w:r>
        <w:rPr>
          <w:i/>
        </w:rPr>
        <w:t>overhead</w:t>
      </w:r>
      <w:r>
        <w:t xml:space="preserve"> komputasi penyaringan belum terkompensasi oleh penghematan token yang kecil. Pola ini menunjukkan bahwa manfaat latensi Tool Registry baru terasa pada katalog besar — tepat pada kondisi di mana </w:t>
      </w:r>
      <w:r>
        <w:rPr>
          <w:i/>
        </w:rPr>
        <w:t>bottleneck</w:t>
      </w:r>
      <w:r>
        <w:t xml:space="preserve"> token paling parah. Mengingat variabilitas latensi yang tinggi (dipengaruhi kondisi jaringan dan beban layanan), perbaikan latensi dilaporkan sebagai manfaat sekunder yang moderat, bukan sebagai klaim utama.</w:t>
      </w:r>
    </w:p>
    <w:p>
      <w:pPr>
        <w:pStyle w:val="Heading2"/>
      </w:pPr>
      <w:r>
        <w:t>4.8 Uji Statistik</w:t>
      </w:r>
    </w:p>
    <w:p>
      <w:pPr>
        <w:ind w:firstLine="720"/>
        <w:jc w:val="both"/>
      </w:pPr>
      <w:r>
        <w:t xml:space="preserve">Signifikansi penghematan token diuji menggunakan uji Wilcoxon </w:t>
      </w:r>
      <w:r>
        <w:rPr>
          <w:i/>
        </w:rPr>
        <w:t>signed-rank</w:t>
      </w:r>
      <w:r>
        <w:t xml:space="preserve"> berpasangan satu arah, dengan ukuran efek Cohen's d dan selang kepercayaan (</w:t>
      </w:r>
      <w:r>
        <w:rPr>
          <w:i/>
        </w:rPr>
        <w:t>confidence interval</w:t>
      </w:r>
      <w:r>
        <w:t>) 95%. Hasil uji disajikan pada Tabel 4.8.</w:t>
      </w:r>
    </w:p>
    <w:p>
      <w:pPr>
        <w:pStyle w:val="Caption"/>
        <w:keepNext/>
        <w:jc w:val="center"/>
      </w:pPr>
      <w:r>
        <w:t>Tabel 4.</w:t>
      </w:r>
      <w:fldSimple w:instr=" SEQ Tabel \* ARABIC \s 1 ">
        <w:r>
          <w:t>1</w:t>
        </w:r>
      </w:fldSimple>
      <w:r>
        <w:t xml:space="preserve"> Hasil Uji Statistik Penghematan Token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23"/>
        <w:gridCol w:w="1323"/>
        <w:gridCol w:w="1323"/>
        <w:gridCol w:w="1323"/>
        <w:gridCol w:w="1323"/>
        <w:gridCol w:w="1323"/>
      </w:tblGrid>
      <w:tr>
        <w:trPr>
          <w:cantSplit/>
          <w:tblHeader/>
        </w:trPr>
        <w:tc>
          <w:tcPr>
            <w:tcW w:type="dxa" w:w="1323"/>
            <w:tcBorders>
              <w:top w:val="none"/>
              <w:bottom w:val="single" w:sz="8" w:space="0" w:color="000000"/>
              <w:left w:val="none"/>
              <w:right w:val="none"/>
            </w:tcBorders>
          </w:tcPr>
          <w:p>
            <w:pPr>
              <w:spacing w:line="240" w:lineRule="auto" w:after="0"/>
            </w:pPr>
            <w:r>
              <w:rPr>
                <w:b/>
                <w:sz w:val="20"/>
              </w:rPr>
            </w:r>
            <w:r>
              <w:rPr>
                <w:b/>
                <w:sz w:val="20"/>
              </w:rPr>
              <w:t>Skenario</w:t>
            </w:r>
          </w:p>
        </w:tc>
        <w:tc>
          <w:tcPr>
            <w:tcW w:type="dxa" w:w="1323"/>
            <w:tcBorders>
              <w:top w:val="none"/>
              <w:bottom w:val="single" w:sz="8" w:space="0" w:color="000000"/>
              <w:left w:val="none"/>
              <w:right w:val="none"/>
            </w:tcBorders>
          </w:tcPr>
          <w:p>
            <w:pPr>
              <w:spacing w:line="240" w:lineRule="auto" w:after="0"/>
            </w:pPr>
            <w:r>
              <w:rPr>
                <w:b/>
                <w:sz w:val="20"/>
              </w:rPr>
            </w:r>
            <w:r>
              <w:rPr>
                <w:b/>
                <w:sz w:val="20"/>
              </w:rPr>
              <w:t>n Pasangan</w:t>
            </w:r>
          </w:p>
        </w:tc>
        <w:tc>
          <w:tcPr>
            <w:tcW w:type="dxa" w:w="1323"/>
            <w:tcBorders>
              <w:top w:val="none"/>
              <w:bottom w:val="single" w:sz="8" w:space="0" w:color="000000"/>
              <w:left w:val="none"/>
              <w:right w:val="none"/>
            </w:tcBorders>
          </w:tcPr>
          <w:p>
            <w:pPr>
              <w:spacing w:line="240" w:lineRule="auto" w:after="0"/>
            </w:pPr>
            <w:r>
              <w:rPr>
                <w:b/>
                <w:sz w:val="20"/>
              </w:rPr>
            </w:r>
            <w:r>
              <w:rPr>
                <w:b/>
                <w:sz w:val="20"/>
              </w:rPr>
              <w:t>Rerata Penghematan</w:t>
            </w:r>
          </w:p>
        </w:tc>
        <w:tc>
          <w:tcPr>
            <w:tcW w:type="dxa" w:w="1323"/>
            <w:tcBorders>
              <w:top w:val="none"/>
              <w:bottom w:val="single" w:sz="8" w:space="0" w:color="000000"/>
              <w:left w:val="none"/>
              <w:right w:val="none"/>
            </w:tcBorders>
          </w:tcPr>
          <w:p>
            <w:pPr>
              <w:spacing w:line="240" w:lineRule="auto" w:after="0"/>
            </w:pPr>
            <w:r>
              <w:rPr>
                <w:b/>
                <w:sz w:val="20"/>
              </w:rPr>
            </w:r>
            <w:r>
              <w:rPr>
                <w:b/>
                <w:sz w:val="20"/>
              </w:rPr>
              <w:t>CI 95%</w:t>
            </w:r>
          </w:p>
        </w:tc>
        <w:tc>
          <w:tcPr>
            <w:tcW w:type="dxa" w:w="1323"/>
            <w:tcBorders>
              <w:top w:val="none"/>
              <w:bottom w:val="single" w:sz="8" w:space="0" w:color="000000"/>
              <w:left w:val="none"/>
              <w:right w:val="none"/>
            </w:tcBorders>
          </w:tcPr>
          <w:p>
            <w:pPr>
              <w:spacing w:line="240" w:lineRule="auto" w:after="0"/>
            </w:pPr>
            <w:r>
              <w:rPr>
                <w:b/>
                <w:sz w:val="20"/>
              </w:rPr>
            </w:r>
            <w:r>
              <w:rPr>
                <w:b/>
                <w:sz w:val="20"/>
              </w:rPr>
              <w:t>Wilcoxon p</w:t>
            </w:r>
          </w:p>
        </w:tc>
        <w:tc>
          <w:tcPr>
            <w:tcW w:type="dxa" w:w="1323"/>
            <w:tcBorders>
              <w:top w:val="none"/>
              <w:bottom w:val="single" w:sz="8" w:space="0" w:color="000000"/>
              <w:left w:val="none"/>
              <w:right w:val="none"/>
            </w:tcBorders>
          </w:tcPr>
          <w:p>
            <w:pPr>
              <w:spacing w:line="240" w:lineRule="auto" w:after="0"/>
            </w:pPr>
            <w:r>
              <w:rPr>
                <w:b/>
                <w:sz w:val="20"/>
              </w:rPr>
            </w:r>
            <w:r>
              <w:rPr>
                <w:b/>
                <w:sz w:val="20"/>
              </w:rPr>
              <w:t>Cohen's d</w:t>
            </w:r>
          </w:p>
        </w:tc>
      </w:tr>
      <w:tr>
        <w:trPr>
          <w:cantSplit/>
        </w:trPr>
        <w:tc>
          <w:tcPr>
            <w:tcW w:type="dxa" w:w="1323"/>
          </w:tcPr>
          <w:p>
            <w:pPr>
              <w:spacing w:line="240" w:lineRule="auto" w:after="0"/>
            </w:pPr>
            <w:r>
              <w:rPr>
                <w:sz w:val="20"/>
              </w:rPr>
            </w:r>
            <w:r>
              <w:rPr>
                <w:sz w:val="20"/>
              </w:rPr>
              <w:t>S1</w:t>
            </w:r>
          </w:p>
        </w:tc>
        <w:tc>
          <w:tcPr>
            <w:tcW w:type="dxa" w:w="1323"/>
          </w:tcPr>
          <w:p>
            <w:pPr>
              <w:spacing w:line="240" w:lineRule="auto" w:after="0"/>
            </w:pPr>
            <w:r>
              <w:rPr>
                <w:sz w:val="20"/>
              </w:rPr>
            </w:r>
            <w:r>
              <w:rPr>
                <w:sz w:val="20"/>
              </w:rPr>
              <w:t>16</w:t>
            </w:r>
          </w:p>
        </w:tc>
        <w:tc>
          <w:tcPr>
            <w:tcW w:type="dxa" w:w="1323"/>
          </w:tcPr>
          <w:p>
            <w:pPr>
              <w:spacing w:line="240" w:lineRule="auto" w:after="0"/>
            </w:pPr>
            <w:r>
              <w:rPr>
                <w:sz w:val="20"/>
              </w:rPr>
            </w:r>
            <w:r>
              <w:rPr>
                <w:sz w:val="20"/>
              </w:rPr>
              <w:t>1.534 token</w:t>
            </w:r>
          </w:p>
        </w:tc>
        <w:tc>
          <w:tcPr>
            <w:tcW w:type="dxa" w:w="1323"/>
          </w:tcPr>
          <w:p>
            <w:pPr>
              <w:spacing w:line="240" w:lineRule="auto" w:after="0"/>
            </w:pPr>
            <w:r>
              <w:rPr>
                <w:sz w:val="20"/>
              </w:rPr>
            </w:r>
            <w:r>
              <w:rPr>
                <w:sz w:val="20"/>
              </w:rPr>
              <w:t>[1.464, 1.604]</w:t>
            </w:r>
          </w:p>
        </w:tc>
        <w:tc>
          <w:tcPr>
            <w:tcW w:type="dxa" w:w="1323"/>
          </w:tcPr>
          <w:p>
            <w:pPr>
              <w:spacing w:line="240" w:lineRule="auto" w:after="0"/>
            </w:pPr>
            <w:r>
              <w:rPr>
                <w:sz w:val="20"/>
              </w:rPr>
            </w:r>
            <w:r>
              <w:rPr>
                <w:sz w:val="20"/>
              </w:rPr>
              <w:t>0,0002</w:t>
            </w:r>
          </w:p>
        </w:tc>
        <w:tc>
          <w:tcPr>
            <w:tcW w:type="dxa" w:w="1323"/>
          </w:tcPr>
          <w:p>
            <w:pPr>
              <w:spacing w:line="240" w:lineRule="auto" w:after="0"/>
            </w:pPr>
            <w:r>
              <w:rPr>
                <w:sz w:val="20"/>
              </w:rPr>
            </w:r>
            <w:r>
              <w:rPr>
                <w:sz w:val="20"/>
              </w:rPr>
              <w:t>11,71</w:t>
            </w:r>
          </w:p>
        </w:tc>
      </w:tr>
      <w:tr>
        <w:trPr>
          <w:cantSplit/>
        </w:trPr>
        <w:tc>
          <w:tcPr>
            <w:tcW w:type="dxa" w:w="1323"/>
          </w:tcPr>
          <w:p>
            <w:pPr>
              <w:spacing w:line="240" w:lineRule="auto" w:after="0"/>
            </w:pPr>
            <w:r>
              <w:rPr>
                <w:sz w:val="20"/>
              </w:rPr>
            </w:r>
            <w:r>
              <w:rPr>
                <w:sz w:val="20"/>
              </w:rPr>
              <w:t>S2</w:t>
            </w:r>
          </w:p>
        </w:tc>
        <w:tc>
          <w:tcPr>
            <w:tcW w:type="dxa" w:w="1323"/>
          </w:tcPr>
          <w:p>
            <w:pPr>
              <w:spacing w:line="240" w:lineRule="auto" w:after="0"/>
            </w:pPr>
            <w:r>
              <w:rPr>
                <w:sz w:val="20"/>
              </w:rPr>
            </w:r>
            <w:r>
              <w:rPr>
                <w:sz w:val="20"/>
              </w:rPr>
              <w:t>28</w:t>
            </w:r>
          </w:p>
        </w:tc>
        <w:tc>
          <w:tcPr>
            <w:tcW w:type="dxa" w:w="1323"/>
          </w:tcPr>
          <w:p>
            <w:pPr>
              <w:spacing w:line="240" w:lineRule="auto" w:after="0"/>
            </w:pPr>
            <w:r>
              <w:rPr>
                <w:sz w:val="20"/>
              </w:rPr>
            </w:r>
            <w:r>
              <w:rPr>
                <w:sz w:val="20"/>
              </w:rPr>
              <w:t>6.744 token</w:t>
            </w:r>
          </w:p>
        </w:tc>
        <w:tc>
          <w:tcPr>
            <w:tcW w:type="dxa" w:w="1323"/>
          </w:tcPr>
          <w:p>
            <w:pPr>
              <w:spacing w:line="240" w:lineRule="auto" w:after="0"/>
            </w:pPr>
            <w:r>
              <w:rPr>
                <w:sz w:val="20"/>
              </w:rPr>
            </w:r>
            <w:r>
              <w:rPr>
                <w:sz w:val="20"/>
              </w:rPr>
              <w:t>[6.735, 6.753]</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290,91</w:t>
            </w:r>
          </w:p>
        </w:tc>
      </w:tr>
      <w:tr>
        <w:trPr>
          <w:cantSplit/>
        </w:trPr>
        <w:tc>
          <w:tcPr>
            <w:tcW w:type="dxa" w:w="1323"/>
          </w:tcPr>
          <w:p>
            <w:pPr>
              <w:spacing w:line="240" w:lineRule="auto" w:after="0"/>
            </w:pPr>
            <w:r>
              <w:rPr>
                <w:sz w:val="20"/>
              </w:rPr>
            </w:r>
            <w:r>
              <w:rPr>
                <w:sz w:val="20"/>
              </w:rPr>
              <w:t>S3</w:t>
            </w:r>
          </w:p>
        </w:tc>
        <w:tc>
          <w:tcPr>
            <w:tcW w:type="dxa" w:w="1323"/>
          </w:tcPr>
          <w:p>
            <w:pPr>
              <w:spacing w:line="240" w:lineRule="auto" w:after="0"/>
            </w:pPr>
            <w:r>
              <w:rPr>
                <w:sz w:val="20"/>
              </w:rPr>
            </w:r>
            <w:r>
              <w:rPr>
                <w:sz w:val="20"/>
              </w:rPr>
              <w:t>49</w:t>
            </w:r>
          </w:p>
        </w:tc>
        <w:tc>
          <w:tcPr>
            <w:tcW w:type="dxa" w:w="1323"/>
          </w:tcPr>
          <w:p>
            <w:pPr>
              <w:spacing w:line="240" w:lineRule="auto" w:after="0"/>
            </w:pPr>
            <w:r>
              <w:rPr>
                <w:sz w:val="20"/>
              </w:rPr>
            </w:r>
            <w:r>
              <w:rPr>
                <w:sz w:val="20"/>
              </w:rPr>
              <w:t>22.654 token</w:t>
            </w:r>
          </w:p>
        </w:tc>
        <w:tc>
          <w:tcPr>
            <w:tcW w:type="dxa" w:w="1323"/>
          </w:tcPr>
          <w:p>
            <w:pPr>
              <w:spacing w:line="240" w:lineRule="auto" w:after="0"/>
            </w:pPr>
            <w:r>
              <w:rPr>
                <w:sz w:val="20"/>
              </w:rPr>
            </w:r>
            <w:r>
              <w:rPr>
                <w:sz w:val="20"/>
              </w:rPr>
              <w:t>[22.645, 22.662]</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782,01</w:t>
            </w:r>
          </w:p>
        </w:tc>
      </w:tr>
    </w:tbl>
    <w:p>
      <w:pPr>
        <w:ind w:firstLine="720"/>
        <w:jc w:val="both"/>
      </w:pPr>
      <w:r>
        <w:t xml:space="preserve">Penghematan token terbukti signifikan secara statistik pada seluruh skenario, dengan nilai p&lt;0,001 (S1) dan p&lt;0,0001 (S2 dan S3). Ukuran efek Cohen's d berkisar antara 11,71 hingga 782,01 — jauh melampaui ambang </w:t>
      </w:r>
      <w:r>
        <w:rPr>
          <w:i/>
        </w:rPr>
        <w:t>large effect</w:t>
      </w:r>
      <w: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pPr>
      <w:r>
        <w:t>4.9 Failure Analysis</w:t>
      </w:r>
    </w:p>
    <w:p>
      <w:pPr>
        <w:ind w:firstLine="720"/>
        <w:jc w:val="both"/>
      </w:pPr>
      <w:r>
        <w:t>Analisis kegagalan dilakukan terhadap kueri yang dipilih secara salah pada ketiga pengulangan (</w:t>
      </w:r>
      <w:r>
        <w:rPr>
          <w:i/>
        </w:rPr>
        <w:t>consistent failures</w:t>
      </w:r>
      <w:r>
        <w:t xml:space="preserve">) dalam mode </w:t>
      </w:r>
      <w:r>
        <w:rPr>
          <w:i/>
        </w:rPr>
        <w:t>registry</w:t>
      </w:r>
      <w:r>
        <w:t>. Pola kegagalan yang berulang lintas skenario dirangkum pada Tabel 4.9.</w:t>
      </w:r>
    </w:p>
    <w:p>
      <w:pPr>
        <w:pStyle w:val="Caption"/>
        <w:keepNext/>
        <w:jc w:val="center"/>
      </w:pPr>
      <w:r>
        <w:t>Tabel 4.</w:t>
      </w:r>
      <w:fldSimple w:instr=" SEQ Tabel \* ARABIC \s 1 ">
        <w:r>
          <w:t>1</w:t>
        </w:r>
      </w:fldSimple>
      <w:r>
        <w:t xml:space="preserve"> Kueri yang Gagal Konsisten di Seluruh Pengulangan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Tool yang Diharapkan</w:t>
            </w:r>
          </w:p>
        </w:tc>
        <w:tc>
          <w:tcPr>
            <w:tcW w:type="dxa" w:w="2646"/>
            <w:tcBorders>
              <w:top w:val="none"/>
              <w:bottom w:val="single" w:sz="8" w:space="0" w:color="000000"/>
              <w:left w:val="none"/>
              <w:right w:val="none"/>
            </w:tcBorders>
          </w:tcPr>
          <w:p>
            <w:pPr>
              <w:spacing w:line="240" w:lineRule="auto" w:after="0"/>
            </w:pPr>
            <w:r>
              <w:rPr>
                <w:b/>
                <w:sz w:val="20"/>
              </w:rPr>
            </w:r>
            <w:r>
              <w:rPr>
                <w:b/>
                <w:sz w:val="20"/>
              </w:rPr>
              <w:t>Tool yang Dipilih Model</w:t>
            </w:r>
          </w:p>
        </w:tc>
        <w:tc>
          <w:tcPr>
            <w:tcW w:type="dxa" w:w="2646"/>
            <w:tcBorders>
              <w:top w:val="none"/>
              <w:bottom w:val="single" w:sz="8" w:space="0" w:color="000000"/>
              <w:left w:val="none"/>
              <w:right w:val="none"/>
            </w:tcBorders>
          </w:tcPr>
          <w:p>
            <w:pPr>
              <w:spacing w:line="240" w:lineRule="auto" w:after="0"/>
            </w:pPr>
            <w:r>
              <w:rPr>
                <w:b/>
                <w:sz w:val="20"/>
              </w:rPr>
            </w:r>
            <w:r>
              <w:rPr>
                <w:b/>
                <w:sz w:val="20"/>
              </w:rPr>
              <w:t>Modul</w:t>
            </w:r>
          </w:p>
        </w:tc>
      </w:tr>
      <w:tr>
        <w:trPr>
          <w:cantSplit/>
        </w:trPr>
        <w:tc>
          <w:tcPr>
            <w:tcW w:type="dxa" w:w="2646"/>
          </w:tcPr>
          <w:p>
            <w:pPr>
              <w:spacing w:line="240" w:lineRule="auto" w:after="0"/>
            </w:pPr>
            <w:r>
              <w:rPr>
                <w:sz w:val="20"/>
              </w:rPr>
            </w:r>
            <w:r>
              <w:rPr>
                <w:rFonts w:ascii="Courier New" w:hAnsi="Courier New"/>
                <w:sz w:val="20"/>
              </w:rPr>
              <w:t>supplier_create_purchase_order</w:t>
            </w:r>
          </w:p>
        </w:tc>
        <w:tc>
          <w:tcPr>
            <w:tcW w:type="dxa" w:w="2646"/>
          </w:tcPr>
          <w:p>
            <w:pPr>
              <w:spacing w:line="240" w:lineRule="auto" w:after="0"/>
            </w:pPr>
            <w:r>
              <w:rPr>
                <w:sz w:val="20"/>
              </w:rPr>
            </w:r>
            <w:r>
              <w:rPr>
                <w:rFonts w:ascii="Courier New" w:hAnsi="Courier New"/>
                <w:sz w:val="20"/>
              </w:rPr>
              <w:t>supplier_read_tool</w:t>
            </w:r>
            <w:r>
              <w:rPr>
                <w:sz w:val="20"/>
              </w:rPr>
              <w:t xml:space="preserve"> / </w:t>
            </w:r>
            <w:r>
              <w:rPr>
                <w:rFonts w:ascii="Courier New" w:hAnsi="Courier New"/>
                <w:sz w:val="20"/>
              </w:rPr>
              <w:t>supplier_admin_tool</w:t>
            </w:r>
          </w:p>
        </w:tc>
        <w:tc>
          <w:tcPr>
            <w:tcW w:type="dxa" w:w="2646"/>
          </w:tcPr>
          <w:p>
            <w:pPr>
              <w:spacing w:line="240" w:lineRule="auto" w:after="0"/>
            </w:pPr>
            <w:r>
              <w:rPr>
                <w:sz w:val="20"/>
              </w:rPr>
            </w:r>
            <w:r>
              <w:rPr>
                <w:sz w:val="20"/>
              </w:rPr>
              <w:t>supplier</w:t>
            </w:r>
          </w:p>
        </w:tc>
      </w:tr>
      <w:tr>
        <w:trPr>
          <w:cantSplit/>
        </w:trPr>
        <w:tc>
          <w:tcPr>
            <w:tcW w:type="dxa" w:w="2646"/>
          </w:tcPr>
          <w:p>
            <w:pPr>
              <w:spacing w:line="240" w:lineRule="auto" w:after="0"/>
            </w:pPr>
            <w:r>
              <w:rPr>
                <w:sz w:val="20"/>
              </w:rPr>
            </w:r>
            <w:r>
              <w:rPr>
                <w:rFonts w:ascii="Courier New" w:hAnsi="Courier New"/>
                <w:sz w:val="20"/>
              </w:rPr>
              <w:t>accounting_generate_journal</w:t>
            </w:r>
          </w:p>
        </w:tc>
        <w:tc>
          <w:tcPr>
            <w:tcW w:type="dxa" w:w="2646"/>
          </w:tcPr>
          <w:p>
            <w:pPr>
              <w:spacing w:line="240" w:lineRule="auto" w:after="0"/>
            </w:pPr>
            <w:r>
              <w:rPr>
                <w:sz w:val="20"/>
              </w:rPr>
            </w:r>
            <w:r>
              <w:rPr>
                <w:rFonts w:ascii="Courier New" w:hAnsi="Courier New"/>
                <w:sz w:val="20"/>
              </w:rPr>
              <w:t>accounting_read_tool</w:t>
            </w:r>
            <w:r>
              <w:rPr>
                <w:sz w:val="20"/>
              </w:rPr>
              <w:t xml:space="preserve"> / </w:t>
            </w:r>
            <w:r>
              <w:rPr>
                <w:rFonts w:ascii="Courier New" w:hAnsi="Courier New"/>
                <w:sz w:val="20"/>
              </w:rPr>
              <w:t>accounting_admin_tool</w:t>
            </w:r>
          </w:p>
        </w:tc>
        <w:tc>
          <w:tcPr>
            <w:tcW w:type="dxa" w:w="2646"/>
          </w:tcPr>
          <w:p>
            <w:pPr>
              <w:spacing w:line="240" w:lineRule="auto" w:after="0"/>
            </w:pPr>
            <w:r>
              <w:rPr>
                <w:sz w:val="20"/>
              </w:rPr>
            </w:r>
            <w:r>
              <w:rPr>
                <w:sz w:val="20"/>
              </w:rPr>
              <w:t>accounting</w:t>
            </w:r>
          </w:p>
        </w:tc>
      </w:tr>
      <w:tr>
        <w:trPr>
          <w:cantSplit/>
        </w:trPr>
        <w:tc>
          <w:tcPr>
            <w:tcW w:type="dxa" w:w="2646"/>
          </w:tcPr>
          <w:p>
            <w:pPr>
              <w:spacing w:line="240" w:lineRule="auto" w:after="0"/>
            </w:pPr>
            <w:r>
              <w:rPr>
                <w:sz w:val="20"/>
              </w:rPr>
            </w:r>
            <w:r>
              <w:rPr>
                <w:rFonts w:ascii="Courier New" w:hAnsi="Courier New"/>
                <w:sz w:val="20"/>
              </w:rPr>
              <w:t>sales_daily_revenue</w:t>
            </w:r>
          </w:p>
        </w:tc>
        <w:tc>
          <w:tcPr>
            <w:tcW w:type="dxa" w:w="2646"/>
          </w:tcPr>
          <w:p>
            <w:pPr>
              <w:spacing w:line="240" w:lineRule="auto" w:after="0"/>
            </w:pPr>
            <w:r>
              <w:rPr>
                <w:sz w:val="20"/>
              </w:rPr>
            </w:r>
            <w:r>
              <w:rPr>
                <w:rFonts w:ascii="Courier New" w:hAnsi="Courier New"/>
                <w:sz w:val="20"/>
              </w:rPr>
              <w:t>sales_analytical_tool</w:t>
            </w:r>
          </w:p>
        </w:tc>
        <w:tc>
          <w:tcPr>
            <w:tcW w:type="dxa" w:w="2646"/>
          </w:tcPr>
          <w:p>
            <w:pPr>
              <w:spacing w:line="240" w:lineRule="auto" w:after="0"/>
            </w:pPr>
            <w:r>
              <w:rPr>
                <w:sz w:val="20"/>
              </w:rPr>
            </w:r>
            <w:r>
              <w:rPr>
                <w:sz w:val="20"/>
              </w:rPr>
              <w:t>sales</w:t>
            </w:r>
          </w:p>
        </w:tc>
      </w:tr>
      <w:tr>
        <w:trPr>
          <w:cantSplit/>
        </w:trPr>
        <w:tc>
          <w:tcPr>
            <w:tcW w:type="dxa" w:w="2646"/>
          </w:tcPr>
          <w:p>
            <w:pPr>
              <w:spacing w:line="240" w:lineRule="auto" w:after="0"/>
            </w:pPr>
            <w:r>
              <w:rPr>
                <w:sz w:val="20"/>
              </w:rPr>
            </w:r>
            <w:r>
              <w:rPr>
                <w:rFonts w:ascii="Courier New" w:hAnsi="Courier New"/>
                <w:sz w:val="20"/>
              </w:rPr>
              <w:t>inventory_check_stock</w:t>
            </w:r>
          </w:p>
        </w:tc>
        <w:tc>
          <w:tcPr>
            <w:tcW w:type="dxa" w:w="2646"/>
          </w:tcPr>
          <w:p>
            <w:pPr>
              <w:spacing w:line="240" w:lineRule="auto" w:after="0"/>
            </w:pPr>
            <w:r>
              <w:rPr>
                <w:sz w:val="20"/>
              </w:rPr>
            </w:r>
            <w:r>
              <w:rPr>
                <w:rFonts w:ascii="Courier New" w:hAnsi="Courier New"/>
                <w:sz w:val="20"/>
              </w:rPr>
              <w:t>inventory_admin_tool</w:t>
            </w:r>
          </w:p>
        </w:tc>
        <w:tc>
          <w:tcPr>
            <w:tcW w:type="dxa" w:w="2646"/>
          </w:tcPr>
          <w:p>
            <w:pPr>
              <w:spacing w:line="240" w:lineRule="auto" w:after="0"/>
            </w:pPr>
            <w:r>
              <w:rPr>
                <w:sz w:val="20"/>
              </w:rPr>
            </w:r>
            <w:r>
              <w:rPr>
                <w:sz w:val="20"/>
              </w:rPr>
              <w:t>inventory</w:t>
            </w:r>
          </w:p>
        </w:tc>
      </w:tr>
    </w:tbl>
    <w:p>
      <w:pPr>
        <w:ind w:firstLine="720"/>
        <w:jc w:val="both"/>
      </w:pPr>
      <w:r>
        <w:t xml:space="preserve">Temuan kunci dari Tabel 4.9 adalah bahwa pada seluruh kasus kegagalan, </w:t>
      </w:r>
      <w:r>
        <w:rPr>
          <w:i/>
        </w:rPr>
        <w:t>tool</w:t>
      </w:r>
      <w:r>
        <w:t xml:space="preserve"> yang dipilih model berada di </w:t>
      </w:r>
      <w:r>
        <w:rPr>
          <w:b/>
        </w:rPr>
        <w:t>modul yang sama</w:t>
      </w:r>
      <w:r>
        <w:t xml:space="preserve"> dengan </w:t>
      </w:r>
      <w:r>
        <w:rPr>
          <w:i/>
        </w:rPr>
        <w:t>tool</w:t>
      </w:r>
      <w:r>
        <w:t xml:space="preserve"> yang diharapkan. Hal ini membuktikan bahwa penyaringan modul oleh Tool Registry berfungsi dengan benar — registry berhasil mempersempit kandidat ke modul yang tepat — namun model gagal membedakan antar-</w:t>
      </w:r>
      <w:r>
        <w:rPr>
          <w:i/>
        </w:rPr>
        <w:t>tool</w:t>
      </w:r>
      <w:r>
        <w:t xml:space="preserve"> di dalam modul tersebut. Akar masalahnya adalah skema parameter </w:t>
      </w:r>
      <w:r>
        <w:rPr>
          <w:i/>
        </w:rPr>
        <w:t>tool</w:t>
      </w:r>
      <w:r>
        <w:t xml:space="preserve"> yang kosong (</w:t>
      </w:r>
      <w:r>
        <w:rPr>
          <w:rFonts w:ascii="Courier New" w:hAnsi="Courier New"/>
        </w:rPr>
        <w:t>properties: {}</w:t>
      </w:r>
      <w:r>
        <w:t xml:space="preserve">) pada eksperimen ini, sehingga model hanya dapat membedakan </w:t>
      </w:r>
      <w:r>
        <w:rPr>
          <w:i/>
        </w:rPr>
        <w:t>tool</w:t>
      </w:r>
      <w:r>
        <w:t xml:space="preserve"> berdasarkan deskripsi teks pendek; ketika beberapa </w:t>
      </w:r>
      <w:r>
        <w:rPr>
          <w:i/>
        </w:rPr>
        <w:t>tool</w:t>
      </w:r>
      <w:r>
        <w:t xml:space="preserve"> dalam satu modul memiliki deskripsi yang mirip, ambiguitas menjadi tinggi.</w:t>
      </w:r>
    </w:p>
    <w:p>
      <w:pPr>
        <w:ind w:firstLine="720"/>
        <w:jc w:val="both"/>
      </w:pPr>
      <w:r>
        <w:t xml:space="preserve">Penting ditegaskan bahwa kegagalan ini muncul baik pada mode </w:t>
      </w:r>
      <w:r>
        <w:rPr>
          <w:i/>
        </w:rPr>
        <w:t>baseline</w:t>
      </w:r>
      <w:r>
        <w:t xml:space="preserve"> maupun </w:t>
      </w:r>
      <w:r>
        <w:rPr>
          <w:i/>
        </w:rPr>
        <w:t>registry</w:t>
      </w:r>
      <w:r>
        <w:t xml:space="preserve"> — sehingga merupakan keterbatasan format deskripsi </w:t>
      </w:r>
      <w:r>
        <w:rPr>
          <w:i/>
        </w:rPr>
        <w:t>tool</w:t>
      </w:r>
      <w:r>
        <w:t xml:space="preserve">, </w:t>
      </w:r>
      <w:r>
        <w:rPr>
          <w:b/>
        </w:rPr>
        <w:t>bukan</w:t>
      </w:r>
      <w:r>
        <w:t xml:space="preserve"> kegagalan Tool Registry. Kegagalan ini berperan sebagai </w:t>
      </w:r>
      <w:r>
        <w:rPr>
          <w:i/>
        </w:rPr>
        <w:t>confounding variable</w:t>
      </w:r>
      <w:r>
        <w:t xml:space="preserve"> yang membatasi akurasi absolut kedua mode secara setara, dan menjadi dasar rekomendasi penyempurnaan deskripsi </w:t>
      </w:r>
      <w:r>
        <w:rPr>
          <w:i/>
        </w:rPr>
        <w:t>tool</w:t>
      </w:r>
      <w:r>
        <w:t xml:space="preserve"> yang dibahas pada Bab V.</w:t>
      </w:r>
    </w:p>
    <w:p>
      <w:pPr>
        <w:pStyle w:val="Heading2"/>
      </w:pPr>
      <w:r>
        <w:t>4.10 Validasi Multi-model</w:t>
      </w:r>
    </w:p>
    <w:p>
      <w:pPr>
        <w:ind w:firstLine="720"/>
        <w:jc w:val="both"/>
      </w:pPr>
      <w:r>
        <w:t xml:space="preserve">Untuk menguji generalisabilitas temuan ke penyedia LLM lain, dijalankan eksperimen pendahuluan menggunakan model MiniMax-M2.7 dan GLM-4.5-Flash melalui </w:t>
      </w:r>
      <w:r>
        <w:rPr>
          <w:i/>
        </w:rPr>
        <w:t>gateway</w:t>
      </w:r>
      <w:r>
        <w:t xml:space="preserve"> ADACODE yang berbasis antarmuka </w:t>
      </w:r>
      <w:r>
        <w:rPr>
          <w:i/>
        </w:rPr>
        <w:t>OpenAI-compatible</w:t>
      </w:r>
      <w:r>
        <w:t xml:space="preserve">. Namun, antarmuka tersebut tidak mereproduksi penghitungan token dan ekstraksi pemanggilan </w:t>
      </w:r>
      <w:r>
        <w:rPr>
          <w:i/>
        </w:rPr>
        <w:t>tool</w:t>
      </w:r>
      <w:r>
        <w:t xml:space="preserve"> secara setara dengan </w:t>
      </w:r>
      <w:r>
        <w:rPr>
          <w:i/>
        </w:rPr>
        <w:t>native function calling</w:t>
      </w:r>
      <w:r>
        <w:t xml:space="preserve"> Gemini: konsumsi token mode </w:t>
      </w:r>
      <w:r>
        <w:rPr>
          <w:i/>
        </w:rPr>
        <w:t>registry</w:t>
      </w:r>
      <w:r>
        <w:t xml:space="preserve"> tercatat nyaris identik dengan </w:t>
      </w:r>
      <w:r>
        <w:rPr>
          <w:i/>
        </w:rPr>
        <w:t>baseline</w:t>
      </w:r>
      <w:r>
        <w:t xml:space="preserve"> (mengindikasikan katalog penuh tetap dikirim oleh </w:t>
      </w:r>
      <w:r>
        <w:rPr>
          <w:i/>
        </w:rPr>
        <w:t>gateway</w:t>
      </w:r>
      <w:r>
        <w:t xml:space="preserve">), dan ekstraksi </w:t>
      </w:r>
      <w:r>
        <w:rPr>
          <w:i/>
        </w:rPr>
        <w:t>tool call</w:t>
      </w:r>
      <w:r>
        <w:t xml:space="preserve"> gagal terbaca pada mayoritas rekaman.</w:t>
      </w:r>
    </w:p>
    <w:p>
      <w:pPr>
        <w:ind w:firstLine="720"/>
        <w:jc w:val="both"/>
      </w:pPr>
      <w: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t xml:space="preserve"> (Bab V). Keterbatasan ini sekaligus menegaskan bahwa hasil resmi penelitian ini bersifat spesifik terhadap mekanisme </w:t>
      </w:r>
      <w:r>
        <w:rPr>
          <w:i/>
        </w:rPr>
        <w:t>native function calling</w:t>
      </w:r>
      <w:r>
        <w:t xml:space="preserve"> Gemini 2.5 Flash Lite, sebagaimana dinyatakan pada batasan masalah.</w:t>
      </w:r>
    </w:p>
    <w:p>
      <w:r>
        <w:br w:type="page"/>
      </w:r>
    </w:p>
    <w:p>
      <w:pPr>
        <w:pStyle w:val="Heading1"/>
      </w:pPr>
      <w:r>
        <w:t>BAB V KESIMPULAN</w:t>
      </w:r>
    </w:p>
    <w:p>
      <w:pPr>
        <w:pStyle w:val="Heading2"/>
      </w:pPr>
      <w:r>
        <w:t>5.1 Kesimpulan</w:t>
      </w:r>
    </w:p>
    <w:p>
      <w:pPr>
        <w:ind w:firstLine="720"/>
        <w:jc w:val="both"/>
      </w:pPr>
      <w:r>
        <w:t xml:space="preserve">Penelitian ini merancang, mengimplementasikan, dan mengevaluasi secara kuantitatif sebuah </w:t>
      </w:r>
      <w:r>
        <w:rPr>
          <w:i/>
        </w:rPr>
        <w:t>Tool Registry</w:t>
      </w:r>
      <w:r>
        <w:t xml:space="preserve"> deterministik berbasis metadata sebagai lapisan penyaringan </w:t>
      </w:r>
      <w:r>
        <w:rPr>
          <w:i/>
        </w:rPr>
        <w:t>tool</w:t>
      </w:r>
      <w:r>
        <w:t xml:space="preserve"> di hadapan AI Agent pada platform ERP restoran zerlo.id. Berdasarkan hasil eksperimen yang dipaparkan pada Bab IV — khususnya eksperimen resmi Gemini Native v2 dengan total n=558 rekaman — keempat rumusan masalah penelitian dapat dijawab sebagai berikut.</w:t>
      </w:r>
    </w:p>
    <w:p>
      <w:pPr>
        <w:ind w:firstLine="720"/>
        <w:jc w:val="both"/>
      </w:pPr>
      <w:r>
        <w:rPr>
          <w:b/>
        </w:rPr>
        <w:t>Rumusan masalah pertama</w:t>
      </w:r>
      <w:r>
        <w:t xml:space="preserve"> menyangkut perancangan Tool Registry yang mampu menyimpan metadata </w:t>
      </w:r>
      <w:r>
        <w:rPr>
          <w:i/>
        </w:rPr>
        <w:t>tool</w:t>
      </w:r>
      <w:r>
        <w:t xml:space="preserve"> secara terstruktur. Permasalahan ini terjawab melalui perancangan </w:t>
      </w:r>
      <w:r>
        <w:rPr>
          <w:i/>
        </w:rPr>
        <w:t>dataclass</w:t>
      </w:r>
      <w:r>
        <w:t xml:space="preserve"> </w:t>
      </w:r>
      <w:r>
        <w:rPr>
          <w:rFonts w:ascii="Courier New" w:hAnsi="Courier New"/>
        </w:rPr>
        <w:t>ToolMeta</w:t>
      </w:r>
      <w:r>
        <w:t xml:space="preserve"> yang menyimpan lima atribut metadata per </w:t>
      </w:r>
      <w:r>
        <w:rPr>
          <w:i/>
        </w:rPr>
        <w:t>tool</w:t>
      </w:r>
      <w:r>
        <w:t xml:space="preserve"> — modul (</w:t>
      </w:r>
      <w:r>
        <w:rPr>
          <w:i/>
        </w:rPr>
        <w:t>module</w:t>
      </w:r>
      <w:r>
        <w:t>), tipe operasi (</w:t>
      </w:r>
      <w:r>
        <w:rPr>
          <w:i/>
        </w:rPr>
        <w:t>op_type</w:t>
      </w:r>
      <w:r>
        <w:t>), kata kunci (</w:t>
      </w:r>
      <w:r>
        <w:rPr>
          <w:i/>
        </w:rPr>
        <w:t>keywords</w:t>
      </w:r>
      <w:r>
        <w:t>), peran (</w:t>
      </w:r>
      <w:r>
        <w:rPr>
          <w:i/>
        </w:rPr>
        <w:t>role</w:t>
      </w:r>
      <w:r>
        <w:t>), dan tingkat langganan (</w:t>
      </w:r>
      <w:r>
        <w:rPr>
          <w:i/>
        </w:rPr>
        <w:t>tier</w:t>
      </w:r>
      <w:r>
        <w:t xml:space="preserve">) — serta kelas </w:t>
      </w:r>
      <w:r>
        <w:rPr>
          <w:rFonts w:ascii="Courier New" w:hAnsi="Courier New"/>
        </w:rPr>
        <w:t>ToolRegistry</w:t>
      </w:r>
      <w:r>
        <w:t xml:space="preserve"> sebagai </w:t>
      </w:r>
      <w:r>
        <w:rPr>
          <w:i/>
        </w:rPr>
        <w:t>singleton</w:t>
      </w:r>
      <w:r>
        <w:t xml:space="preserve"> penyimpan katalog. Rancangan ini terbukti memadai untuk merepresentasikan seluruh </w:t>
      </w:r>
      <w:r>
        <w:rPr>
          <w:i/>
        </w:rPr>
        <w:t>tool</w:t>
      </w:r>
      <w:r>
        <w:t xml:space="preserve"> pada tiga skenario katalog (30, 100, dan 300 </w:t>
      </w:r>
      <w:r>
        <w:rPr>
          <w:i/>
        </w:rPr>
        <w:t>tools</w:t>
      </w:r>
      <w:r>
        <w:t>) tanpa perubahan struktur, sebagaimana diuraikan pada Bab III.</w:t>
      </w:r>
    </w:p>
    <w:p>
      <w:pPr>
        <w:ind w:firstLine="720"/>
        <w:jc w:val="both"/>
      </w:pPr>
      <w:r>
        <w:rPr>
          <w:b/>
        </w:rPr>
        <w:t>Rumusan masalah kedua</w:t>
      </w:r>
      <w:r>
        <w:t xml:space="preserve"> menyangkut mekanisme penyaringan </w:t>
      </w:r>
      <w:r>
        <w:rPr>
          <w:i/>
        </w:rPr>
        <w:t>tool</w:t>
      </w:r>
      <w:r>
        <w:t xml:space="preserve"> secara dinamis berdasarkan modul, peran, tingkat langganan, dan anggaran token. Permasalahan ini terjawab melalui fungsi </w:t>
      </w:r>
      <w:r>
        <w:rPr>
          <w:rFonts w:ascii="Courier New" w:hAnsi="Courier New"/>
        </w:rPr>
        <w:t>registry_filter()</w:t>
      </w:r>
      <w:r>
        <w:t xml:space="preserve"> yang menjalankan </w:t>
      </w:r>
      <w:r>
        <w:rPr>
          <w:i/>
        </w:rPr>
        <w:t>pipeline</w:t>
      </w:r>
      <w:r>
        <w:t xml:space="preserve"> penyaringan berbasis </w:t>
      </w:r>
      <w:r>
        <w:rPr>
          <w:i/>
        </w:rPr>
        <w:t>keyword scoring</w:t>
      </w:r>
      <w:r>
        <w:t xml:space="preserve"> dengan </w:t>
      </w:r>
      <w:r>
        <w:rPr>
          <w:i/>
        </w:rPr>
        <w:t>budget cap</w:t>
      </w:r>
      <w:r>
        <w:t xml:space="preserve"> maksimal 15 </w:t>
      </w:r>
      <w:r>
        <w:rPr>
          <w:i/>
        </w:rPr>
        <w:t>tools</w:t>
      </w:r>
      <w:r>
        <w:t xml:space="preserve"> per panggilan. Mekanisme ini bekerja secara deterministik dan ringan — tanpa ketergantungan pada model </w:t>
      </w:r>
      <w:r>
        <w:rPr>
          <w:i/>
        </w:rPr>
        <w:t>embedding</w:t>
      </w:r>
      <w:r>
        <w:t xml:space="preserve"> maupun basis data vektor — sehingga selaras dengan kebutuhan sistem ERP berukuran menengah seperti zerlo.id.</w:t>
      </w:r>
    </w:p>
    <w:p>
      <w:pPr>
        <w:ind w:firstLine="720"/>
        <w:jc w:val="both"/>
      </w:pPr>
      <w:r>
        <w:rPr>
          <w:b/>
        </w:rPr>
        <w:t>Rumusan masalah ketiga</w:t>
      </w:r>
      <w:r>
        <w:t xml:space="preserve"> menyangkut dampak Tool Registry terhadap penggunaan token, latensi, dan akurasi pemilihan </w:t>
      </w:r>
      <w:r>
        <w:rPr>
          <w:i/>
        </w:rPr>
        <w:t>tool</w:t>
      </w:r>
      <w:r>
        <w:t xml:space="preserve">. Hasil pengukuran menunjukkan bahwa kontribusi terkuat penelitian ini terletak pada </w:t>
      </w:r>
      <w:r>
        <w:rPr>
          <w:b/>
        </w:rPr>
        <w:t>penghematan token</w:t>
      </w:r>
      <w:r>
        <w:t xml:space="preserve">: konsumsi token rata-rata per kueri turun dari 2.426 menjadi 893 token pada skenario S1 (−63%), dari 7.985 menjadi 1.241 token pada S2 (−84%), dan dari 23.893 menjadi 1.239 token pada S3 (−95%). Penghematan ini terbukti signifikan secara statistik dengan uji Wilcoxon </w:t>
      </w:r>
      <w:r>
        <w:rPr>
          <w:i/>
        </w:rPr>
        <w:t>signed-rank</w:t>
      </w:r>
      <w:r>
        <w:t xml:space="preserve"> (p=0,0002 pada S1; p&lt;0,0001 pada S2 dan S3) dan ukuran efek Cohen's d yang sangat besar (11,71 hingga 782,01), jauh melampaui ambang </w:t>
      </w:r>
      <w:r>
        <w:rPr>
          <w:i/>
        </w:rPr>
        <w:t>large effect</w:t>
      </w:r>
      <w:r>
        <w:t xml:space="preserve">. Pada dimensi akurasi, mode </w:t>
      </w:r>
      <w:r>
        <w:rPr>
          <w:i/>
        </w:rPr>
        <w:t>registry</w:t>
      </w:r>
      <w:r>
        <w:t xml:space="preserve"> mencatat tren positif sebesar +6,3 persentase poin pada S1 (68,8% → 75,0%) dan S3 (71,4% → 77,6%), namun tanpa perubahan pada S2 (71,4% → 71,4%); peningkatan ini bersifat </w:t>
      </w:r>
      <w:r>
        <w:rPr>
          <w:i/>
        </w:rPr>
        <w:t>directional</w:t>
      </w:r>
      <w:r>
        <w:t xml:space="preserve"> dan </w:t>
      </w:r>
      <w:r>
        <w:rPr>
          <w:b/>
        </w:rPr>
        <w:t>belum signifikan</w:t>
      </w:r>
      <w:r>
        <w:t xml:space="preserve"> secara statistik (Wilcoxon p=0,28; 0,50; dan 0,09, seluruhnya di atas α=0,05), sehingga diposisikan sebagai tren pendukung, bukan klaim utama. Pada dimensi latensi, perbaikan bersifat moderat dan </w:t>
      </w:r>
      <w:r>
        <w:rPr>
          <w:i/>
        </w:rPr>
        <w:t>noisy</w:t>
      </w:r>
      <w:r>
        <w:t xml:space="preserve">: latensi p50 pada S3 turun dari 992 ms menjadi 851 ms (−14%), sedangkan pada S1 mode </w:t>
      </w:r>
      <w:r>
        <w:rPr>
          <w:i/>
        </w:rPr>
        <w:t>registry</w:t>
      </w:r>
      <w:r>
        <w:t xml:space="preserve"> justru sedikit lebih lambat — sehingga perbaikan latensi tidak dapat dinyatakan kuat.</w:t>
      </w:r>
    </w:p>
    <w:p>
      <w:pPr>
        <w:ind w:firstLine="720"/>
        <w:jc w:val="both"/>
      </w:pPr>
      <w:r>
        <w:rPr>
          <w:b/>
        </w:rPr>
        <w:t>Rumusan masalah keempat</w:t>
      </w:r>
      <w:r>
        <w:t xml:space="preserve"> menyangkut kemampuan Tool Registry mendukung skalabilitas AI Agent ketika katalog </w:t>
      </w:r>
      <w:r>
        <w:rPr>
          <w:i/>
        </w:rPr>
        <w:t>tool</w:t>
      </w:r>
      <w:r>
        <w:t xml:space="preserve"> bertambah. Permasalahan ini terjawab melalui temuan skalabilitas </w:t>
      </w:r>
      <w:r>
        <w:rPr>
          <w:i/>
        </w:rPr>
        <w:t>sub-linear</w:t>
      </w:r>
      <w:r>
        <w:t xml:space="preserve">: jumlah </w:t>
      </w:r>
      <w:r>
        <w:rPr>
          <w:i/>
        </w:rPr>
        <w:t>tool</w:t>
      </w:r>
      <w:r>
        <w:t xml:space="preserve"> yang terlihat oleh LLM tetap konstan pada batas anggaran (15 </w:t>
      </w:r>
      <w:r>
        <w:rPr>
          <w:i/>
        </w:rPr>
        <w:t>tools</w:t>
      </w:r>
      <w:r>
        <w:t xml:space="preserve"> pada S2 dan S3; 10,6 </w:t>
      </w:r>
      <w:r>
        <w:rPr>
          <w:i/>
        </w:rPr>
        <w:t>tools</w:t>
      </w:r>
      <w:r>
        <w:t xml:space="preserve"> rata-rata pada S1) meskipun ukuran katalog tumbuh dari 30 ke 100 ke 300 </w:t>
      </w:r>
      <w:r>
        <w:rPr>
          <w:i/>
        </w:rPr>
        <w:t>tools</w:t>
      </w:r>
      <w:r>
        <w:t xml:space="preserve">. Dengan demikian, konsumsi token mode </w:t>
      </w:r>
      <w:r>
        <w:rPr>
          <w:i/>
        </w:rPr>
        <w:t>registry</w:t>
      </w:r>
      <w:r>
        <w:t xml:space="preserve"> praktis stabil (893–1.241 token) sementara konsumsi </w:t>
      </w:r>
      <w:r>
        <w:rPr>
          <w:i/>
        </w:rPr>
        <w:t>baseline</w:t>
      </w:r>
      <w:r>
        <w:t xml:space="preserve"> meningkat hampir sepuluh kali lipat (2.426 → 23.893 token). Perilaku ini mengubah kompleksitas dari O(N) menjadi O(1) terhadap ukuran katalog, dengan </w:t>
      </w:r>
      <w:r>
        <w:rPr>
          <w:i/>
        </w:rPr>
        <w:t>overhead</w:t>
      </w:r>
      <w:r>
        <w:t xml:space="preserve"> memori yang tetap kecil dan linear (22 KB pada S1, 70 KB pada S2, 201 KB pada S3). Proyeksi deterministik pada skenario S4 (1.000 </w:t>
      </w:r>
      <w:r>
        <w:rPr>
          <w:i/>
        </w:rPr>
        <w:t>tools</w:t>
      </w:r>
      <w:r>
        <w:t>) memperkuat pola ini, dengan estimasi penghematan token mencapai −98%.</w:t>
      </w:r>
    </w:p>
    <w:p>
      <w:pPr>
        <w:ind w:firstLine="720"/>
        <w:jc w:val="both"/>
      </w:pPr>
      <w:r>
        <w:t xml:space="preserve">Secara keseluruhan, penelitian ini membuktikan bahwa Tool Registry deterministik berbasis metadata merupakan solusi </w:t>
      </w:r>
      <w:r>
        <w:rPr>
          <w:i/>
        </w:rPr>
        <w:t>tool management</w:t>
      </w:r>
      <w:r>
        <w:t xml:space="preserve"> yang efektif dan dapat diskalakan untuk AI Agent multi-modul. Kontribusi utama yang terbukti kuat secara statistik adalah penghematan token sebesar 63–95% yang memungkinkan platform zerlo.id diskalakan ke ratusan modul tanpa mengalami lonjakan biaya inferensi proporsional maupun degradasi konteks (</w:t>
      </w:r>
      <w:r>
        <w:rPr>
          <w:i/>
        </w:rPr>
        <w:t>context rot</w:t>
      </w:r>
      <w:r>
        <w:t>), sementara perbaikan akurasi dan latensi merupakan manfaat tambahan yang konsisten meskipun belum signifikan secara statistik.</w:t>
      </w:r>
    </w:p>
    <w:p>
      <w:pPr>
        <w:pStyle w:val="Heading2"/>
      </w:pPr>
      <w:r>
        <w:t>5.2 Keterbatasan dan Ancaman Terhadap Validitas</w:t>
      </w:r>
    </w:p>
    <w:p>
      <w:pPr>
        <w:ind w:firstLine="720"/>
        <w:jc w:val="both"/>
      </w:pPr>
      <w:r>
        <w:t>Hasil penelitian ini perlu ditafsirkan dalam kerangka keterbatasan eksperimen yang dirancang untuk kondisi terkontrol dan dapat direproduksi. Beberapa keterbatasan dan ancaman terhadap validitas diakui secara eksplisit demi menjaga kejujuran ilmiah.</w:t>
      </w:r>
    </w:p>
    <w:p>
      <w:pPr>
        <w:ind w:firstLine="720"/>
        <w:jc w:val="both"/>
      </w:pPr>
      <w:r>
        <w:rPr>
          <w:b/>
        </w:rPr>
        <w:t>Katalog dan skema *tool* yang sintetis.</w:t>
      </w:r>
      <w:r>
        <w:t xml:space="preserve"> Katalog </w:t>
      </w:r>
      <w:r>
        <w:rPr>
          <w:i/>
        </w:rPr>
        <w:t>tool</w:t>
      </w:r>
      <w:r>
        <w:t xml:space="preserve"> dibangun secara sintetis menggunakan generator berbasis modul dengan skema parameter dikosongkan (</w:t>
      </w:r>
      <w:r>
        <w:rPr>
          <w:rFonts w:ascii="Courier New" w:hAnsi="Courier New"/>
        </w:rPr>
        <w:t>properties: {}</w:t>
      </w:r>
      <w:r>
        <w:t xml:space="preserve">) dan deskripsi berpola seragam. Akibatnya, model hanya dapat membedakan </w:t>
      </w:r>
      <w:r>
        <w:rPr>
          <w:i/>
        </w:rPr>
        <w:t>tool</w:t>
      </w:r>
      <w:r>
        <w:t xml:space="preserve"> berdasarkan teks deskripsi pendek tanpa sinyal struktur parameter. Kondisi ini menekan akurasi absolut kedua mode secara setara sehingga akurasi yang terukur merupakan </w:t>
      </w:r>
      <w:r>
        <w:rPr>
          <w:i/>
        </w:rPr>
        <w:t>lower bound</w:t>
      </w:r>
      <w:r>
        <w:t xml:space="preserve">; klaim keunggulan </w:t>
      </w:r>
      <w:r>
        <w:rPr>
          <w:i/>
        </w:rPr>
        <w:t>registry</w:t>
      </w:r>
      <w:r>
        <w:t xml:space="preserve"> tetap valid karena kondisi ini berlaku identik pada </w:t>
      </w:r>
      <w:r>
        <w:rPr>
          <w:i/>
        </w:rPr>
        <w:t>baseline</w:t>
      </w:r>
      <w:r>
        <w:t xml:space="preserve"> maupun </w:t>
      </w:r>
      <w:r>
        <w:rPr>
          <w:i/>
        </w:rPr>
        <w:t>registry</w:t>
      </w:r>
      <w:r>
        <w:t>.</w:t>
      </w:r>
    </w:p>
    <w:p>
      <w:pPr>
        <w:ind w:firstLine="720"/>
        <w:jc w:val="both"/>
      </w:pPr>
      <w:r>
        <w:rPr>
          <w:b/>
        </w:rPr>
        <w:t>Kegagalan deterministik sebagai *confounding variable*.</w:t>
      </w:r>
      <w:r>
        <w:t xml:space="preserve"> Sebagaimana dianalisis pada Subbab 4.9, empat hingga lima pola kueri gagal secara konsisten di seluruh pengulangan pada kedua mode. Seluruh </w:t>
      </w:r>
      <w:r>
        <w:rPr>
          <w:i/>
        </w:rPr>
        <w:t>tool</w:t>
      </w:r>
      <w:r>
        <w:t xml:space="preserve"> yang keliru dipilih berada di modul yang sama dengan </w:t>
      </w:r>
      <w:r>
        <w:rPr>
          <w:i/>
        </w:rPr>
        <w:t>tool</w:t>
      </w:r>
      <w:r>
        <w:t xml:space="preserve"> yang diharapkan — membuktikan penyaringan modul berfungsi benar, namun model gagal membedakan antar-</w:t>
      </w:r>
      <w:r>
        <w:rPr>
          <w:i/>
        </w:rPr>
        <w:t>tool</w:t>
      </w:r>
      <w:r>
        <w:t xml:space="preserve"> intra-modul akibat deskripsi yang mirip. Kegagalan ini merupakan keterbatasan format deskripsi </w:t>
      </w:r>
      <w:r>
        <w:rPr>
          <w:i/>
        </w:rPr>
        <w:t>tool</w:t>
      </w:r>
      <w:r>
        <w:t>, bukan kegagalan Tool Registry.</w:t>
      </w:r>
    </w:p>
    <w:p>
      <w:pPr>
        <w:ind w:firstLine="720"/>
        <w:jc w:val="both"/>
      </w:pPr>
      <w:r>
        <w:rPr>
          <w:b/>
        </w:rPr>
        <w:t>Cakupan eksperimen yang terbatas.</w:t>
      </w:r>
      <w:r>
        <w:t xml:space="preserve"> Eksperimen utama menggunakan satu penyedia LLM (Gemini 2.5 Flash Lite), 100 kueri evaluasi, dan tiga pengulangan per kueri. Validasi multi-model pada MiniMax-M2.7 dan GLM-4.5-Flash melalui </w:t>
      </w:r>
      <w:r>
        <w:rPr>
          <w:i/>
        </w:rPr>
        <w:t>gateway</w:t>
      </w:r>
      <w:r>
        <w:t xml:space="preserve"> ADACODE tidak dapat diperbandingkan secara valid karena keterbatasan </w:t>
      </w:r>
      <w:r>
        <w:rPr>
          <w:i/>
        </w:rPr>
        <w:t>harness</w:t>
      </w:r>
      <w:r>
        <w:t xml:space="preserve"> pengukuran token dan ekstraksi pemanggilan </w:t>
      </w:r>
      <w:r>
        <w:rPr>
          <w:i/>
        </w:rPr>
        <w:t>tool</w:t>
      </w:r>
      <w:r>
        <w:t xml:space="preserve"> (Subbab 4.10). Pengukuran latensi juga mencakup latensi jaringan ke API sehingga bukan ukuran murni latensi inferensi. Hasil resmi penelitian ini, dengan demikian, bersifat spesifik terhadap mekanisme </w:t>
      </w:r>
      <w:r>
        <w:rPr>
          <w:i/>
        </w:rPr>
        <w:t>native function calling</w:t>
      </w:r>
      <w:r>
        <w:t xml:space="preserve"> Gemini 2.5 Flash Lite pada periode pengujian.</w:t>
      </w:r>
    </w:p>
    <w:p>
      <w:pPr>
        <w:ind w:firstLine="720"/>
        <w:jc w:val="both"/>
      </w:pPr>
      <w:r>
        <w:rPr>
          <w:b/>
        </w:rPr>
        <w:t>Validitas konstruk.</w:t>
      </w:r>
      <w:r>
        <w:t xml:space="preserve"> Akurasi didefinisikan secara biner sebagai kecocokan nama fungsi (</w:t>
      </w:r>
      <w:r>
        <w:rPr>
          <w:rFonts w:ascii="Courier New" w:hAnsi="Courier New"/>
        </w:rPr>
        <w:t>selected_tool == expected_tool</w:t>
      </w:r>
      <w:r>
        <w:t xml:space="preserve">), dengan asumsi setiap kueri memiliki tepat satu </w:t>
      </w:r>
      <w:r>
        <w:rPr>
          <w:i/>
        </w:rPr>
        <w:t>tool</w:t>
      </w:r>
      <w:r>
        <w:t xml:space="preserve"> yang benar — sebuah penyederhanaan terhadap kondisi nyata yang dapat melibatkan beberapa </w:t>
      </w:r>
      <w:r>
        <w:rPr>
          <w:i/>
        </w:rPr>
        <w:t>tool</w:t>
      </w:r>
      <w:r>
        <w:t xml:space="preserve"> alternatif atau rangkaian </w:t>
      </w:r>
      <w:r>
        <w:rPr>
          <w:i/>
        </w:rPr>
        <w:t>tool</w:t>
      </w:r>
      <w:r>
        <w:t xml:space="preserve">. Token usage yang diukur berasal dari </w:t>
      </w:r>
      <w:r>
        <w:rPr>
          <w:rFonts w:ascii="Courier New" w:hAnsi="Courier New"/>
        </w:rPr>
        <w:t>usage_metadata</w:t>
      </w:r>
      <w:r>
        <w:t xml:space="preserve"> API dan belum mencakup </w:t>
      </w:r>
      <w:r>
        <w:rPr>
          <w:i/>
        </w:rPr>
        <w:t>overhead</w:t>
      </w:r>
      <w:r>
        <w:t xml:space="preserve"> dari </w:t>
      </w:r>
      <w:r>
        <w:rPr>
          <w:i/>
        </w:rPr>
        <w:t>system prompt</w:t>
      </w:r>
      <w:r>
        <w:t xml:space="preserve"> maupun riwayat percakapan pada sistem </w:t>
      </w:r>
      <w:r>
        <w:rPr>
          <w:i/>
        </w:rPr>
        <w:t>production</w:t>
      </w:r>
      <w:r>
        <w:t>.</w:t>
      </w:r>
    </w:p>
    <w:p>
      <w:pPr>
        <w:ind w:firstLine="720"/>
        <w:jc w:val="both"/>
      </w:pPr>
      <w:r>
        <w:t>Tabel 5.1 merangkum pemetaan antara ancaman terhadap validitas, mitigasi yang diterapkan pada penelitian ini, dan arah penyempurnaan pada penelitian lanjutan.</w:t>
      </w:r>
    </w:p>
    <w:p>
      <w:pPr>
        <w:pStyle w:val="Caption"/>
        <w:keepNext/>
        <w:jc w:val="center"/>
      </w:pPr>
      <w:r>
        <w:t>Tabel 5.</w:t>
      </w:r>
      <w:fldSimple w:instr=" SEQ Tabel \* ARABIC \s 1 ">
        <w:r>
          <w:t>1</w:t>
        </w:r>
      </w:fldSimple>
      <w:r>
        <w:t xml:space="preserve"> Ancaman Terhadap Validitas, Mitigasi, dan Penelitian Lanjutan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Ancaman</w:t>
            </w:r>
          </w:p>
        </w:tc>
        <w:tc>
          <w:tcPr>
            <w:tcW w:type="dxa" w:w="2646"/>
            <w:tcBorders>
              <w:top w:val="none"/>
              <w:bottom w:val="single" w:sz="8" w:space="0" w:color="000000"/>
              <w:left w:val="none"/>
              <w:right w:val="none"/>
            </w:tcBorders>
          </w:tcPr>
          <w:p>
            <w:pPr>
              <w:spacing w:line="240" w:lineRule="auto" w:after="0"/>
            </w:pPr>
            <w:r>
              <w:rPr>
                <w:b/>
                <w:sz w:val="20"/>
              </w:rPr>
            </w:r>
            <w:r>
              <w:rPr>
                <w:b/>
                <w:sz w:val="20"/>
              </w:rPr>
              <w:t>Mitigasi pada Penelitian Ini</w:t>
            </w:r>
          </w:p>
        </w:tc>
        <w:tc>
          <w:tcPr>
            <w:tcW w:type="dxa" w:w="2646"/>
            <w:tcBorders>
              <w:top w:val="none"/>
              <w:bottom w:val="single" w:sz="8" w:space="0" w:color="000000"/>
              <w:left w:val="none"/>
              <w:right w:val="none"/>
            </w:tcBorders>
          </w:tcPr>
          <w:p>
            <w:pPr>
              <w:spacing w:line="240" w:lineRule="auto" w:after="0"/>
            </w:pPr>
            <w:r>
              <w:rPr>
                <w:b/>
                <w:sz w:val="20"/>
              </w:rPr>
            </w:r>
            <w:r>
              <w:rPr>
                <w:b/>
                <w:sz w:val="20"/>
              </w:rPr>
              <w:t>Penelitian Lanjutan</w:t>
            </w:r>
          </w:p>
        </w:tc>
      </w:tr>
      <w:tr>
        <w:trPr>
          <w:cantSplit/>
        </w:trPr>
        <w:tc>
          <w:tcPr>
            <w:tcW w:type="dxa" w:w="2646"/>
          </w:tcPr>
          <w:p>
            <w:pPr>
              <w:spacing w:line="240" w:lineRule="auto" w:after="0"/>
            </w:pPr>
            <w:r>
              <w:rPr>
                <w:sz w:val="20"/>
              </w:rPr>
            </w:r>
            <w:r>
              <w:rPr>
                <w:sz w:val="20"/>
              </w:rPr>
              <w:t xml:space="preserve">Katalog </w:t>
            </w:r>
            <w:r>
              <w:rPr>
                <w:i/>
                <w:sz w:val="20"/>
              </w:rPr>
              <w:t>tool</w:t>
            </w:r>
            <w:r>
              <w:rPr>
                <w:sz w:val="20"/>
              </w:rPr>
              <w:t xml:space="preserve"> sintetis</w:t>
            </w:r>
          </w:p>
        </w:tc>
        <w:tc>
          <w:tcPr>
            <w:tcW w:type="dxa" w:w="2646"/>
          </w:tcPr>
          <w:p>
            <w:pPr>
              <w:spacing w:line="240" w:lineRule="auto" w:after="0"/>
            </w:pPr>
            <w:r>
              <w:rPr>
                <w:sz w:val="20"/>
              </w:rPr>
            </w:r>
            <w:r>
              <w:rPr>
                <w:i/>
                <w:sz w:val="20"/>
              </w:rPr>
              <w:t>Tool</w:t>
            </w:r>
            <w:r>
              <w:rPr>
                <w:sz w:val="20"/>
              </w:rPr>
              <w:t xml:space="preserve"> menyerupai domain ERP; skema seragam dikontrol antar-mode</w:t>
            </w:r>
          </w:p>
        </w:tc>
        <w:tc>
          <w:tcPr>
            <w:tcW w:type="dxa" w:w="2646"/>
          </w:tcPr>
          <w:p>
            <w:pPr>
              <w:spacing w:line="240" w:lineRule="auto" w:after="0"/>
            </w:pPr>
            <w:r>
              <w:rPr>
                <w:sz w:val="20"/>
              </w:rPr>
            </w:r>
            <w:r>
              <w:rPr>
                <w:sz w:val="20"/>
              </w:rPr>
              <w:t xml:space="preserve">Uji dengan katalog </w:t>
            </w:r>
            <w:r>
              <w:rPr>
                <w:i/>
                <w:sz w:val="20"/>
              </w:rPr>
              <w:t>production</w:t>
            </w:r>
            <w:r>
              <w:rPr>
                <w:sz w:val="20"/>
              </w:rPr>
              <w:t xml:space="preserve"> zerlo.id yang sesungguhnya</w:t>
            </w:r>
          </w:p>
        </w:tc>
      </w:tr>
      <w:tr>
        <w:trPr>
          <w:cantSplit/>
        </w:trPr>
        <w:tc>
          <w:tcPr>
            <w:tcW w:type="dxa" w:w="2646"/>
          </w:tcPr>
          <w:p>
            <w:pPr>
              <w:spacing w:line="240" w:lineRule="auto" w:after="0"/>
            </w:pPr>
            <w:r>
              <w:rPr>
                <w:sz w:val="20"/>
              </w:rPr>
            </w:r>
            <w:r>
              <w:rPr>
                <w:sz w:val="20"/>
              </w:rPr>
              <w:t>Skema parameter kosong</w:t>
            </w:r>
          </w:p>
        </w:tc>
        <w:tc>
          <w:tcPr>
            <w:tcW w:type="dxa" w:w="2646"/>
          </w:tcPr>
          <w:p>
            <w:pPr>
              <w:spacing w:line="240" w:lineRule="auto" w:after="0"/>
            </w:pPr>
            <w:r>
              <w:rPr>
                <w:sz w:val="20"/>
              </w:rPr>
            </w:r>
            <w:r>
              <w:rPr>
                <w:sz w:val="20"/>
              </w:rPr>
              <w:t xml:space="preserve">Kondisi identik pada </w:t>
            </w:r>
            <w:r>
              <w:rPr>
                <w:i/>
                <w:sz w:val="20"/>
              </w:rPr>
              <w:t>baseline</w:t>
            </w:r>
            <w:r>
              <w:rPr>
                <w:sz w:val="20"/>
              </w:rPr>
              <w:t xml:space="preserve"> dan </w:t>
            </w:r>
            <w:r>
              <w:rPr>
                <w:i/>
                <w:sz w:val="20"/>
              </w:rPr>
              <w:t>registry</w:t>
            </w:r>
            <w:r>
              <w:rPr>
                <w:sz w:val="20"/>
              </w:rPr>
              <w:t>; klaim tetap valid</w:t>
            </w:r>
          </w:p>
        </w:tc>
        <w:tc>
          <w:tcPr>
            <w:tcW w:type="dxa" w:w="2646"/>
          </w:tcPr>
          <w:p>
            <w:pPr>
              <w:spacing w:line="240" w:lineRule="auto" w:after="0"/>
            </w:pPr>
            <w:r>
              <w:rPr>
                <w:sz w:val="20"/>
              </w:rPr>
            </w:r>
            <w:r>
              <w:rPr>
                <w:sz w:val="20"/>
              </w:rPr>
              <w:t>Tambahkan skema parameter lengkap untuk mengukur dampaknya</w:t>
            </w:r>
          </w:p>
        </w:tc>
      </w:tr>
      <w:tr>
        <w:trPr>
          <w:cantSplit/>
        </w:trPr>
        <w:tc>
          <w:tcPr>
            <w:tcW w:type="dxa" w:w="2646"/>
          </w:tcPr>
          <w:p>
            <w:pPr>
              <w:spacing w:line="240" w:lineRule="auto" w:after="0"/>
            </w:pPr>
            <w:r>
              <w:rPr>
                <w:sz w:val="20"/>
              </w:rPr>
            </w:r>
            <w:r>
              <w:rPr>
                <w:sz w:val="20"/>
              </w:rPr>
              <w:t>Dataset evaluasi kecil</w:t>
            </w:r>
          </w:p>
        </w:tc>
        <w:tc>
          <w:tcPr>
            <w:tcW w:type="dxa" w:w="2646"/>
          </w:tcPr>
          <w:p>
            <w:pPr>
              <w:spacing w:line="240" w:lineRule="auto" w:after="0"/>
            </w:pPr>
            <w:r>
              <w:rPr>
                <w:sz w:val="20"/>
              </w:rPr>
            </w:r>
            <w:r>
              <w:rPr>
                <w:sz w:val="20"/>
              </w:rPr>
              <w:t>100 kueri (50/30/20), 3 pengulangan, uji Wilcoxon + Cohen's d + CI 95%</w:t>
            </w:r>
          </w:p>
        </w:tc>
        <w:tc>
          <w:tcPr>
            <w:tcW w:type="dxa" w:w="2646"/>
          </w:tcPr>
          <w:p>
            <w:pPr>
              <w:spacing w:line="240" w:lineRule="auto" w:after="0"/>
            </w:pPr>
            <w:r>
              <w:rPr>
                <w:sz w:val="20"/>
              </w:rPr>
            </w:r>
            <w:r>
              <w:rPr>
                <w:sz w:val="20"/>
              </w:rPr>
              <w:t>Perluas ke 300+ kueri dengan distribusi lebih representatif</w:t>
            </w:r>
          </w:p>
        </w:tc>
      </w:tr>
      <w:tr>
        <w:trPr>
          <w:cantSplit/>
        </w:trPr>
        <w:tc>
          <w:tcPr>
            <w:tcW w:type="dxa" w:w="2646"/>
          </w:tcPr>
          <w:p>
            <w:pPr>
              <w:spacing w:line="240" w:lineRule="auto" w:after="0"/>
            </w:pPr>
            <w:r>
              <w:rPr>
                <w:sz w:val="20"/>
              </w:rPr>
            </w:r>
            <w:r>
              <w:rPr>
                <w:sz w:val="20"/>
              </w:rPr>
              <w:t>Satu penyedia LLM</w:t>
            </w:r>
          </w:p>
        </w:tc>
        <w:tc>
          <w:tcPr>
            <w:tcW w:type="dxa" w:w="2646"/>
          </w:tcPr>
          <w:p>
            <w:pPr>
              <w:spacing w:line="240" w:lineRule="auto" w:after="0"/>
            </w:pPr>
            <w:r>
              <w:rPr>
                <w:sz w:val="20"/>
              </w:rPr>
            </w:r>
            <w:r>
              <w:rPr>
                <w:sz w:val="20"/>
              </w:rPr>
              <w:t xml:space="preserve">Fokus pada Gemini sesuai </w:t>
            </w:r>
            <w:r>
              <w:rPr>
                <w:i/>
                <w:sz w:val="20"/>
              </w:rPr>
              <w:t>stack production</w:t>
            </w:r>
            <w:r>
              <w:rPr>
                <w:sz w:val="20"/>
              </w:rPr>
              <w:t xml:space="preserve"> zerlo.id</w:t>
            </w:r>
          </w:p>
        </w:tc>
        <w:tc>
          <w:tcPr>
            <w:tcW w:type="dxa" w:w="2646"/>
          </w:tcPr>
          <w:p>
            <w:pPr>
              <w:spacing w:line="240" w:lineRule="auto" w:after="0"/>
            </w:pPr>
            <w:r>
              <w:rPr>
                <w:sz w:val="20"/>
              </w:rPr>
            </w:r>
            <w:r>
              <w:rPr>
                <w:sz w:val="20"/>
              </w:rPr>
              <w:t xml:space="preserve">Validasi lintas model (Claude, GPT-4o, MiniMax) dengan </w:t>
            </w:r>
            <w:r>
              <w:rPr>
                <w:i/>
                <w:sz w:val="20"/>
              </w:rPr>
              <w:t>harness</w:t>
            </w:r>
            <w:r>
              <w:rPr>
                <w:sz w:val="20"/>
              </w:rPr>
              <w:t xml:space="preserve"> per-penyedia</w:t>
            </w:r>
          </w:p>
        </w:tc>
      </w:tr>
      <w:tr>
        <w:trPr>
          <w:cantSplit/>
        </w:trPr>
        <w:tc>
          <w:tcPr>
            <w:tcW w:type="dxa" w:w="2646"/>
          </w:tcPr>
          <w:p>
            <w:pPr>
              <w:spacing w:line="240" w:lineRule="auto" w:after="0"/>
            </w:pPr>
            <w:r>
              <w:rPr>
                <w:sz w:val="20"/>
              </w:rPr>
            </w:r>
            <w:r>
              <w:rPr>
                <w:sz w:val="20"/>
              </w:rPr>
              <w:t>Kegagalan deterministik</w:t>
            </w:r>
          </w:p>
        </w:tc>
        <w:tc>
          <w:tcPr>
            <w:tcW w:type="dxa" w:w="2646"/>
          </w:tcPr>
          <w:p>
            <w:pPr>
              <w:spacing w:line="240" w:lineRule="auto" w:after="0"/>
            </w:pPr>
            <w:r>
              <w:rPr>
                <w:sz w:val="20"/>
              </w:rPr>
            </w:r>
            <w:r>
              <w:rPr>
                <w:sz w:val="20"/>
              </w:rPr>
              <w:t xml:space="preserve">Dianalisis per kueri; didokumentasikan sebagai </w:t>
            </w:r>
            <w:r>
              <w:rPr>
                <w:i/>
                <w:sz w:val="20"/>
              </w:rPr>
              <w:t>threat</w:t>
            </w:r>
          </w:p>
        </w:tc>
        <w:tc>
          <w:tcPr>
            <w:tcW w:type="dxa" w:w="2646"/>
          </w:tcPr>
          <w:p>
            <w:pPr>
              <w:spacing w:line="240" w:lineRule="auto" w:after="0"/>
            </w:pPr>
            <w:r>
              <w:rPr>
                <w:sz w:val="20"/>
              </w:rPr>
            </w:r>
            <w:r>
              <w:rPr>
                <w:i/>
                <w:sz w:val="20"/>
              </w:rPr>
              <w:t>Two-stage</w:t>
            </w:r>
            <w:r>
              <w:rPr>
                <w:sz w:val="20"/>
              </w:rPr>
              <w:t xml:space="preserve">: penyaringan </w:t>
            </w:r>
            <w:r>
              <w:rPr>
                <w:i/>
                <w:sz w:val="20"/>
              </w:rPr>
              <w:t>registry</w:t>
            </w:r>
            <w:r>
              <w:rPr>
                <w:sz w:val="20"/>
              </w:rPr>
              <w:t xml:space="preserve"> → </w:t>
            </w:r>
            <w:r>
              <w:rPr>
                <w:i/>
                <w:sz w:val="20"/>
              </w:rPr>
              <w:t>intent</w:t>
            </w:r>
            <w:r>
              <w:rPr>
                <w:sz w:val="20"/>
              </w:rPr>
              <w:t xml:space="preserve"> unik per </w:t>
            </w:r>
            <w:r>
              <w:rPr>
                <w:i/>
                <w:sz w:val="20"/>
              </w:rPr>
              <w:t>tool</w:t>
            </w:r>
          </w:p>
        </w:tc>
      </w:tr>
      <w:tr>
        <w:trPr>
          <w:cantSplit/>
        </w:trPr>
        <w:tc>
          <w:tcPr>
            <w:tcW w:type="dxa" w:w="2646"/>
          </w:tcPr>
          <w:p>
            <w:pPr>
              <w:spacing w:line="240" w:lineRule="auto" w:after="0"/>
            </w:pPr>
            <w:r>
              <w:rPr>
                <w:sz w:val="20"/>
              </w:rPr>
            </w:r>
            <w:r>
              <w:rPr>
                <w:sz w:val="20"/>
              </w:rPr>
              <w:t>Latensi jaringan</w:t>
            </w:r>
          </w:p>
        </w:tc>
        <w:tc>
          <w:tcPr>
            <w:tcW w:type="dxa" w:w="2646"/>
          </w:tcPr>
          <w:p>
            <w:pPr>
              <w:spacing w:line="240" w:lineRule="auto" w:after="0"/>
            </w:pPr>
            <w:r>
              <w:rPr>
                <w:sz w:val="20"/>
              </w:rPr>
            </w:r>
            <w:r>
              <w:rPr>
                <w:sz w:val="20"/>
              </w:rPr>
              <w:t xml:space="preserve">Dilaporkan sebagai p50/p95 </w:t>
            </w:r>
            <w:r>
              <w:rPr>
                <w:i/>
                <w:sz w:val="20"/>
              </w:rPr>
              <w:t>wall-clock</w:t>
            </w:r>
            <w:r>
              <w:rPr>
                <w:sz w:val="20"/>
              </w:rPr>
              <w:t>; metrik komparatif tetap valid</w:t>
            </w:r>
          </w:p>
        </w:tc>
        <w:tc>
          <w:tcPr>
            <w:tcW w:type="dxa" w:w="2646"/>
          </w:tcPr>
          <w:p>
            <w:pPr>
              <w:spacing w:line="240" w:lineRule="auto" w:after="0"/>
            </w:pPr>
            <w:r>
              <w:rPr>
                <w:sz w:val="20"/>
              </w:rPr>
            </w:r>
            <w:r>
              <w:rPr>
                <w:sz w:val="20"/>
              </w:rPr>
              <w:t>Pisahkan latensi jaringan dari latensi inferensi</w:t>
            </w:r>
          </w:p>
        </w:tc>
      </w:tr>
    </w:tbl>
    <w:p>
      <w:pPr>
        <w:pStyle w:val="Heading2"/>
      </w:pPr>
      <w:r>
        <w:t>5.3 Saran / Future Work</w:t>
      </w:r>
    </w:p>
    <w:p>
      <w:pPr>
        <w:ind w:firstLine="720"/>
        <w:jc w:val="both"/>
      </w:pPr>
      <w:r>
        <w:t>Berdasarkan temuan dan keterbatasan di atas, beberapa arah penelitian lanjutan direkomendasikan.</w:t>
      </w:r>
    </w:p>
    <w:p>
      <w:pPr>
        <w:ind w:left="567" w:hanging="283"/>
        <w:jc w:val="both"/>
      </w:pPr>
      <w:r>
        <w:t xml:space="preserve">1. </w:t>
      </w:r>
      <w:r>
        <w:rPr>
          <w:b/>
        </w:rPr>
        <w:t>Integrasi *Tool RAG* berbasis vektor untuk skala ribuan *tool*.</w:t>
      </w:r>
      <w:r>
        <w:t xml:space="preserve"> Tool Registry deterministik efektif pada skala ratusan </w:t>
      </w:r>
      <w:r>
        <w:rPr>
          <w:i/>
        </w:rPr>
        <w:t>tool</w:t>
      </w:r>
      <w:r>
        <w:t xml:space="preserve">, tetapi pada skala ribuan </w:t>
      </w:r>
      <w:r>
        <w:rPr>
          <w:i/>
        </w:rPr>
        <w:t>tool</w:t>
      </w:r>
      <w:r>
        <w:t xml:space="preserve"> — sebagaimana dilaporkan MCP-Flow dengan 11.536 </w:t>
      </w:r>
      <w:r>
        <w:rPr>
          <w:i/>
        </w:rPr>
        <w:t>tools</w:t>
      </w:r>
      <w:r>
        <w:t xml:space="preserve"> [13] — penyaringan berbasis kata kunci dapat menjadi kurang presisi. Penggabungan dengan pendekatan </w:t>
      </w:r>
      <w:r>
        <w:rPr>
          <w:i/>
        </w:rPr>
        <w:t>Retrieval-Augmented Generation</w:t>
      </w:r>
      <w:r>
        <w:t xml:space="preserve"> berbasis </w:t>
      </w:r>
      <w:r>
        <w:rPr>
          <w:i/>
        </w:rPr>
        <w:t>embedding</w:t>
      </w:r>
      <w:r>
        <w:t xml:space="preserve"> seperti Gorilla [8] dan Toolshed [10] berpotensi mempertahankan presisi pada skala yang jauh lebih besar.</w:t>
      </w:r>
    </w:p>
    <w:p>
      <w:pPr>
        <w:ind w:left="567" w:hanging="283"/>
        <w:jc w:val="both"/>
      </w:pPr>
      <w:r>
        <w:t xml:space="preserve">2. </w:t>
      </w:r>
      <w:r>
        <w:rPr>
          <w:b/>
        </w:rPr>
        <w:t>Pendekatan hibrida *two-stage*: penyaringan *registry* diikuti deskripsi kaya per *tool*.</w:t>
      </w:r>
      <w:r>
        <w:t xml:space="preserve"> Eksperimen Gemini Rich (Subbab 4.1) menunjukkan bahwa </w:t>
      </w:r>
      <w:r>
        <w:rPr>
          <w:i/>
        </w:rPr>
        <w:t>template intent</w:t>
      </w:r>
      <w:r>
        <w:t xml:space="preserve"> generik justru menurunkan akurasi </w:t>
      </w:r>
      <w:r>
        <w:rPr>
          <w:i/>
        </w:rPr>
        <w:t>registry</w:t>
      </w:r>
      <w:r>
        <w:t xml:space="preserve"> sebesar 9–11 persentase poin karena identik untuk seluruh </w:t>
      </w:r>
      <w:r>
        <w:rPr>
          <w:i/>
        </w:rPr>
        <w:t>tool</w:t>
      </w:r>
      <w:r>
        <w:t xml:space="preserve"> dengan </w:t>
      </w:r>
      <w:r>
        <w:rPr>
          <w:i/>
        </w:rPr>
        <w:t>op_type</w:t>
      </w:r>
      <w:r>
        <w:t xml:space="preserve"> yang sama. Temuan ini menegaskan bahwa kualitas deskripsi berarti </w:t>
      </w:r>
      <w:r>
        <w:rPr>
          <w:b/>
        </w:rPr>
        <w:t>keunikan per *tool</w:t>
      </w:r>
      <w:r>
        <w:rPr>
          <w:i/>
        </w:rPr>
        <w:t xml:space="preserve">, bukan panjang teks. Penelitian lanjutan dapat menguji arsitektur dua tahap: tahap pertama menyaring kandidat dengan </w:t>
      </w:r>
      <w:r>
        <w:t>registry</w:t>
      </w:r>
      <w:r>
        <w:rPr>
          <w:i/>
        </w:rPr>
        <w:t xml:space="preserve"> (penghematan token besar), tahap kedua menyuntikkan </w:t>
      </w:r>
      <w:r>
        <w:t>docstring</w:t>
      </w:r>
      <w:r>
        <w:rPr>
          <w:i/>
        </w:rPr>
        <w:t xml:space="preserve"> unik per </w:t>
      </w:r>
      <w:r>
        <w:t>tool* hanya untuk kandidat terpilih — sehingga akurasi intra-modul meningkat tanpa membengkakkan token.</w:t>
      </w:r>
    </w:p>
    <w:p>
      <w:pPr>
        <w:ind w:left="567" w:hanging="283"/>
        <w:jc w:val="both"/>
      </w:pPr>
      <w:r>
        <w:t xml:space="preserve">3. </w:t>
      </w:r>
      <w:r>
        <w:rPr>
          <w:b/>
        </w:rPr>
        <w:t>Penambahan skema parameter lengkap.</w:t>
      </w:r>
      <w:r>
        <w:t xml:space="preserve"> Pengisian skema parameter yang bertipe dan bernama spesifik diharapkan dapat menaikkan </w:t>
      </w:r>
      <w:r>
        <w:rPr>
          <w:i/>
        </w:rPr>
        <w:t>ceiling</w:t>
      </w:r>
      <w:r>
        <w:t xml:space="preserve"> akurasi yang pada eksperimen ini tertahan oleh skema kosong, sekaligus mengatasi sebagian besar kegagalan deterministik intra-modul.</w:t>
      </w:r>
    </w:p>
    <w:p>
      <w:pPr>
        <w:ind w:left="567" w:hanging="283"/>
        <w:jc w:val="both"/>
      </w:pPr>
      <w:r>
        <w:t xml:space="preserve">4. </w:t>
      </w:r>
      <w:r>
        <w:rPr>
          <w:b/>
        </w:rPr>
        <w:t>Validasi multi-model dengan *harness* pengukuran per-penyedia.</w:t>
      </w:r>
      <w:r>
        <w:t xml:space="preserve"> Perbandingan lintas penyedia LLM (Claude Sonnet 4.6, GPT-4o, MiniMax-M2.7, GLM-4.5-Flash) memerlukan adaptasi </w:t>
      </w:r>
      <w:r>
        <w:rPr>
          <w:i/>
        </w:rPr>
        <w:t>harness</w:t>
      </w:r>
      <w:r>
        <w:t xml:space="preserve"> penghitungan token dan ekstraksi pemanggilan </w:t>
      </w:r>
      <w:r>
        <w:rPr>
          <w:i/>
        </w:rPr>
        <w:t>tool</w:t>
      </w:r>
      <w:r>
        <w:t xml:space="preserve"> agar setara dengan </w:t>
      </w:r>
      <w:r>
        <w:rPr>
          <w:i/>
        </w:rPr>
        <w:t>native function calling</w:t>
      </w:r>
      <w:r>
        <w:t xml:space="preserve"> Gemini, sehingga generalisabilitas temuan dapat diuji secara valid.</w:t>
      </w:r>
    </w:p>
    <w:p>
      <w:pPr>
        <w:ind w:left="567" w:hanging="283"/>
        <w:jc w:val="both"/>
      </w:pPr>
      <w:r>
        <w:t xml:space="preserve">5. </w:t>
      </w:r>
      <w:r>
        <w:rPr>
          <w:b/>
        </w:rPr>
        <w:t>Integrasi produksi penuh dan evaluasi berkelanjutan.</w:t>
      </w:r>
      <w:r>
        <w:t xml:space="preserve"> Penerapan Tool Registry pada lingkungan </w:t>
      </w:r>
      <w:r>
        <w:rPr>
          <w:i/>
        </w:rPr>
        <w:t>production</w:t>
      </w:r>
      <w:r>
        <w:t xml:space="preserve"> zerlo.id secara penuh — mencakup penyaringan berbasis </w:t>
      </w:r>
      <w:r>
        <w:rPr>
          <w:i/>
        </w:rPr>
        <w:t>role</w:t>
      </w:r>
      <w:r>
        <w:t xml:space="preserve"> (RBAC), </w:t>
      </w:r>
      <w:r>
        <w:rPr>
          <w:i/>
        </w:rPr>
        <w:t>gating</w:t>
      </w:r>
      <w:r>
        <w:t xml:space="preserve"> berdasarkan </w:t>
      </w:r>
      <w:r>
        <w:rPr>
          <w:i/>
        </w:rPr>
        <w:t>tier</w:t>
      </w:r>
      <w:r>
        <w:t xml:space="preserve"> langganan, dan 80+ </w:t>
      </w:r>
      <w:r>
        <w:rPr>
          <w:i/>
        </w:rPr>
        <w:t>tool</w:t>
      </w:r>
      <w:r>
        <w:t xml:space="preserve"> aktif — perlu dievaluasi menggunakan </w:t>
      </w:r>
      <w:r>
        <w:rPr>
          <w:i/>
        </w:rPr>
        <w:t>log</w:t>
      </w:r>
      <w:r>
        <w:t xml:space="preserve"> kueri pengguna nyata secara berkelanjutan, untuk memvalidasi temuan eksperimen pada distribusi kueri produksi yang sesungguhnya.</w:t>
      </w:r>
    </w:p>
    <w:p>
      <w:r>
        <w:br w:type="page"/>
      </w:r>
    </w:p>
    <w:p>
      <w:pPr>
        <w:pStyle w:val="Heading1"/>
      </w:pPr>
      <w:r>
        <w:t>DAFTAR PUSTAKA</w:t>
      </w:r>
    </w:p>
    <w:p>
      <w:pPr>
        <w:spacing w:after="0"/>
        <w:jc w:val="center"/>
      </w:pPr>
      <w:r>
        <w:rPr>
          <w:b w:val="0"/>
          <w:i w:val="0"/>
          <w:sz w:val="24"/>
        </w:rPr>
      </w:r>
    </w:p>
    <w:p>
      <w:pPr>
        <w:spacing w:line="240" w:lineRule="auto" w:after="120"/>
        <w:ind w:left="567" w:hanging="567"/>
        <w:jc w:val="both"/>
      </w:pPr>
      <w:r>
        <w:t xml:space="preserve">[1] </w:t>
      </w:r>
      <w:r>
        <w:t xml:space="preserve">OpenAI, "Function calling and other API updates," </w:t>
      </w:r>
      <w:r>
        <w:rPr>
          <w:i/>
        </w:rPr>
        <w:t>OpenAI Blog</w:t>
      </w:r>
      <w:r>
        <w:t>, Jun. 2023. [Online]. Tersedia: https://openai.com/index/function-calling-and-other-api-updates/</w:t>
      </w:r>
    </w:p>
    <w:p>
      <w:pPr>
        <w:spacing w:line="240" w:lineRule="auto" w:after="120"/>
        <w:ind w:left="567" w:hanging="567"/>
        <w:jc w:val="both"/>
      </w:pPr>
      <w:r>
        <w:t xml:space="preserve">[2] </w:t>
      </w:r>
      <w:r>
        <w:t xml:space="preserve">Google DeepMind, "Gemini API function calling," </w:t>
      </w:r>
      <w:r>
        <w:rPr>
          <w:i/>
        </w:rPr>
        <w:t>Google AI Developer Documentation</w:t>
      </w:r>
      <w:r>
        <w:t>, 2024. [Online]. Tersedia: https://ai.google.dev/gemini-api/docs/function-calling</w:t>
      </w:r>
    </w:p>
    <w:p>
      <w:pPr>
        <w:spacing w:line="240" w:lineRule="auto" w:after="120"/>
        <w:ind w:left="567" w:hanging="567"/>
        <w:jc w:val="both"/>
      </w:pPr>
      <w:r>
        <w:t xml:space="preserve">[3] </w:t>
      </w:r>
      <w:r>
        <w:t xml:space="preserve">T. Schick, J. Dwivedi-Yu, R. Dessi, R. Raileanu, M. Lomeli, E. Hambro, L. Zettlemoyer, N. Cancedda, dan T. Scialom, "Toolformer: Language models can teach themselves to use tools," in </w:t>
      </w:r>
      <w:r>
        <w:rPr>
          <w:i/>
        </w:rPr>
        <w:t>Proc. Adv. Neural Inf. Process. Syst. (NeurIPS)</w:t>
      </w:r>
      <w:r>
        <w:t>, 2023. arXiv:2302.04761.</w:t>
      </w:r>
    </w:p>
    <w:p>
      <w:pPr>
        <w:spacing w:line="240" w:lineRule="auto" w:after="120"/>
        <w:ind w:left="567" w:hanging="567"/>
        <w:jc w:val="both"/>
      </w:pPr>
      <w:r>
        <w:t xml:space="preserve">[4] </w:t>
      </w:r>
      <w:r>
        <w:t xml:space="preserve">S. Yao, J. Zhao, D. Yu, N. Du, I. Shafran, K. Narasimhan, dan Y. Cao, "ReAct: Synergizing reasoning and acting in language models," in </w:t>
      </w:r>
      <w:r>
        <w:rPr>
          <w:i/>
        </w:rPr>
        <w:t>Proc. Int. Conf. Learn. Representations (ICLR)</w:t>
      </w:r>
      <w:r>
        <w:t>, 2023. arXiv:2210.03629.</w:t>
      </w:r>
    </w:p>
    <w:p>
      <w:pPr>
        <w:spacing w:line="240" w:lineRule="auto" w:after="120"/>
        <w:ind w:left="567" w:hanging="567"/>
        <w:jc w:val="both"/>
      </w:pPr>
      <w:r>
        <w:t xml:space="preserve">[5] </w:t>
      </w:r>
      <w:r>
        <w:t xml:space="preserve">N.F. Liu, K. Lin, J. Hewitt, A. Paranjape, M. Bevilacqua, F. Petroni, dan P. Liang, "Lost in the middle: How language models use long contexts," </w:t>
      </w:r>
      <w:r>
        <w:rPr>
          <w:i/>
        </w:rPr>
        <w:t>Trans. Assoc. Comput. Linguistics</w:t>
      </w:r>
      <w:r>
        <w:t>, vol. 12, pp. 157–173, 2024. arXiv:2307.03172.</w:t>
      </w:r>
    </w:p>
    <w:p>
      <w:pPr>
        <w:spacing w:line="240" w:lineRule="auto" w:after="120"/>
        <w:ind w:left="567" w:hanging="567"/>
        <w:jc w:val="both"/>
      </w:pPr>
      <w:r>
        <w:t xml:space="preserve">[6] </w:t>
      </w:r>
      <w:r>
        <w:t xml:space="preserve">T.B. Lee, "How long contexts hurt AI performance," </w:t>
      </w:r>
      <w:r>
        <w:rPr>
          <w:i/>
        </w:rPr>
        <w:t>Understanding AI</w:t>
      </w:r>
      <w:r>
        <w:t xml:space="preserve"> (Newsletter), Nov. 2025. [Online]. Tersedia: https://www.understandingai.org/p/how-long-contexts-hurt-ai-performance</w:t>
      </w:r>
    </w:p>
    <w:p>
      <w:pPr>
        <w:spacing w:line="240" w:lineRule="auto" w:after="120"/>
        <w:ind w:left="567" w:hanging="567"/>
        <w:jc w:val="both"/>
      </w:pPr>
      <w:r>
        <w:t xml:space="preserve">[7] </w:t>
      </w:r>
      <w:r>
        <w:t xml:space="preserve">P. Rajasekaran, E. Dixon, C. Ryan, dan J. Hadfield, "Effective context engineering for AI agents," </w:t>
      </w:r>
      <w:r>
        <w:rPr>
          <w:i/>
        </w:rPr>
        <w:t>Anthropic Engineering Blog</w:t>
      </w:r>
      <w:r>
        <w:t>, Sep. 2025.</w:t>
      </w:r>
    </w:p>
    <w:p>
      <w:pPr>
        <w:spacing w:line="240" w:lineRule="auto" w:after="120"/>
        <w:ind w:left="567" w:hanging="567"/>
        <w:jc w:val="both"/>
      </w:pPr>
      <w:r>
        <w:t xml:space="preserve">[8] </w:t>
      </w:r>
      <w:r>
        <w:t xml:space="preserve">S.G. Patil, T. Zhang, X. Wang, dan J.E. Gonzalez, "Gorilla: Large language model connected with massive APIs," in </w:t>
      </w:r>
      <w:r>
        <w:rPr>
          <w:i/>
        </w:rPr>
        <w:t>Proc. Adv. Neural Inf. Process. Syst. (NeurIPS)</w:t>
      </w:r>
      <w:r>
        <w:t>, 2024. arXiv:2305.15334.</w:t>
      </w:r>
    </w:p>
    <w:p>
      <w:pPr>
        <w:spacing w:line="240" w:lineRule="auto" w:after="120"/>
        <w:ind w:left="567" w:hanging="567"/>
        <w:jc w:val="both"/>
      </w:pPr>
      <w:r>
        <w:t xml:space="preserve">[9] </w:t>
      </w:r>
      <w:r>
        <w:t xml:space="preserve">Y. Qin et al., "ToolLLM: Facilitating large language models to master 16000+ real-world APIs," in </w:t>
      </w:r>
      <w:r>
        <w:rPr>
          <w:i/>
        </w:rPr>
        <w:t>Proc. Int. Conf. Learn. Representations (ICLR)</w:t>
      </w:r>
      <w:r>
        <w:t>, 2024. arXiv:2307.16789.</w:t>
      </w:r>
    </w:p>
    <w:p>
      <w:pPr>
        <w:spacing w:line="240" w:lineRule="auto" w:after="120"/>
        <w:ind w:left="567" w:hanging="567"/>
        <w:jc w:val="both"/>
      </w:pPr>
      <w:r>
        <w:t xml:space="preserve">[10] </w:t>
      </w:r>
      <w:r>
        <w:t>E. Lumer, "Toolshed: Scale tool-equipped agents with advanced RAG-tool fusion and tool knowledge bases," arXiv:2410.14594, 2024.</w:t>
      </w:r>
    </w:p>
    <w:p>
      <w:pPr>
        <w:spacing w:line="240" w:lineRule="auto" w:after="120"/>
        <w:ind w:left="567" w:hanging="567"/>
        <w:jc w:val="both"/>
      </w:pPr>
      <w:r>
        <w:t xml:space="preserve">[11] </w:t>
      </w:r>
      <w:r>
        <w:t>N. Gaurav, A. Akarsh, A. Ranjan, dan M. Bajaj, "Dynamic ReAct: Scalable tool selection for large-scale MCP environments," arXiv:2509.20386, 2025.</w:t>
      </w:r>
    </w:p>
    <w:p>
      <w:pPr>
        <w:spacing w:line="240" w:lineRule="auto" w:after="120"/>
        <w:ind w:left="567" w:hanging="567"/>
        <w:jc w:val="both"/>
      </w:pPr>
      <w:r>
        <w:t xml:space="preserve">[12] </w:t>
      </w:r>
      <w:r>
        <w:t xml:space="preserve">J. Jia dan Q. Li, "AutoTool: Efficient tool selection for large language model agents," in </w:t>
      </w:r>
      <w:r>
        <w:rPr>
          <w:i/>
        </w:rPr>
        <w:t>Proc. AAAI Conf. Artif. Intell. (AAAI)</w:t>
      </w:r>
      <w:r>
        <w:t>, 2026. arXiv:2511.14650.</w:t>
      </w:r>
    </w:p>
    <w:p>
      <w:pPr>
        <w:spacing w:line="240" w:lineRule="auto" w:after="120"/>
        <w:ind w:left="567" w:hanging="567"/>
        <w:jc w:val="both"/>
      </w:pPr>
      <w:r>
        <w:t xml:space="preserve">[13] </w:t>
      </w:r>
      <w:r>
        <w:t xml:space="preserve">W. Wang, P. Niu, Z. Xu, et al., "MCP-Flow: Facilitating LLM agents to master real-world, diverse and scaling MCP tools," in </w:t>
      </w:r>
      <w:r>
        <w:rPr>
          <w:i/>
        </w:rPr>
        <w:t>Proc. Assoc. Comput. Linguistics (ACL)</w:t>
      </w:r>
      <w:r>
        <w:t>, 2026. arXiv:2510.24284.</w:t>
      </w:r>
    </w:p>
    <w:p>
      <w:pPr>
        <w:spacing w:line="240" w:lineRule="auto" w:after="120"/>
        <w:ind w:left="567" w:hanging="567"/>
        <w:jc w:val="both"/>
      </w:pPr>
      <w:r>
        <w:t xml:space="preserve">[14] </w:t>
      </w:r>
      <w:r>
        <w:t xml:space="preserve">P. CN, "Build scalable AI agent systems using Amazon Bedrock agent registry," </w:t>
      </w:r>
      <w:r>
        <w:rPr>
          <w:i/>
        </w:rPr>
        <w:t>AWS Machine Learning Blog</w:t>
      </w:r>
      <w:r>
        <w:t>, Apr. 2026.</w:t>
      </w:r>
    </w:p>
    <w:p>
      <w:pPr>
        <w:spacing w:line="240" w:lineRule="auto" w:after="120"/>
        <w:ind w:left="567" w:hanging="567"/>
        <w:jc w:val="both"/>
      </w:pPr>
      <w:r>
        <w:t xml:space="preserve">[15] </w:t>
      </w:r>
      <w:r>
        <w:t xml:space="preserve">A.R. Hevner, S.T. March, J. Park, dan S. Ram, "Design science in information systems research," </w:t>
      </w:r>
      <w:r>
        <w:rPr>
          <w:i/>
        </w:rPr>
        <w:t>MIS Quarterly</w:t>
      </w:r>
      <w:r>
        <w:t>, vol. 28, no. 1, pp. 75–105, Mar. 2004.</w:t>
      </w:r>
    </w:p>
    <w:p>
      <w:pPr>
        <w:spacing w:line="240" w:lineRule="auto" w:after="120"/>
        <w:ind w:left="567" w:hanging="567"/>
        <w:jc w:val="both"/>
      </w:pPr>
      <w:r>
        <w:t xml:space="preserve">[16] </w:t>
      </w:r>
      <w:r>
        <w:t xml:space="preserve">T.B. Lee, "Context rot: The emerging challenge that could hold back LLM progress," </w:t>
      </w:r>
      <w:r>
        <w:rPr>
          <w:i/>
        </w:rPr>
        <w:t>Understanding AI</w:t>
      </w:r>
      <w:r>
        <w:t xml:space="preserve"> (Newsletter), Nov. 2025. [Online]. Tersedia: https://www.understandingai.org/p/context-rot-the-emerging-challenge</w:t>
      </w:r>
    </w:p>
    <w:p>
      <w:pPr>
        <w:spacing w:line="240" w:lineRule="auto" w:after="120"/>
        <w:ind w:left="567" w:hanging="567"/>
        <w:jc w:val="both"/>
      </w:pPr>
      <w:r>
        <w:t xml:space="preserve">[17] </w:t>
      </w:r>
      <w:r>
        <w:t>"Context length alone hurts LLM performance despite perfect retrieval," arXiv:2510.05381, 2025.</w:t>
      </w:r>
    </w:p>
    <w:p>
      <w:pPr>
        <w:spacing w:line="240" w:lineRule="auto" w:after="120"/>
        <w:ind w:left="567" w:hanging="567"/>
        <w:jc w:val="both"/>
      </w:pPr>
      <w:r>
        <w:t xml:space="preserve">[18] </w:t>
      </w:r>
      <w:r>
        <w:t xml:space="preserve">Y. Qu et al., "Towards completeness-oriented tool retrieval for large language models," in </w:t>
      </w:r>
      <w:r>
        <w:rPr>
          <w:i/>
        </w:rPr>
        <w:t>Proc. ACM Int. Conf. Inf. Knowl. Manag. (CIKM)</w:t>
      </w:r>
      <w:r>
        <w:t>, 2024. arXiv:2405.16089.</w:t>
      </w:r>
    </w:p>
    <w:p>
      <w:pPr>
        <w:spacing w:line="240" w:lineRule="auto" w:after="120"/>
        <w:ind w:left="567" w:hanging="567"/>
        <w:jc w:val="both"/>
      </w:pPr>
      <w:r>
        <w:t xml:space="preserve">[19] </w:t>
      </w:r>
      <w:r>
        <w:t xml:space="preserve">S.G. Patil et al., "The Berkeley function calling leaderboard (BFCL): From tool use to agentic evaluation of large language models," in </w:t>
      </w:r>
      <w:r>
        <w:rPr>
          <w:i/>
        </w:rPr>
        <w:t>Proc. Int. Conf. Mach. Learn. (ICML)</w:t>
      </w:r>
      <w:r>
        <w:t>, 2025.</w:t>
      </w:r>
    </w:p>
    <w:p>
      <w:pPr>
        <w:spacing w:line="240" w:lineRule="auto" w:after="120"/>
        <w:ind w:left="567" w:hanging="567"/>
        <w:jc w:val="both"/>
      </w:pPr>
      <w:r>
        <w:t xml:space="preserve">[20] </w:t>
      </w:r>
      <w:r>
        <w:t>"ScaleMCP: Dynamic and auto-synchronizing model context protocol tools for LLM agents," arXiv:2505.06416, 2025.</w:t>
      </w:r>
    </w:p>
    <w:p>
      <w:pPr>
        <w:spacing w:line="240" w:lineRule="auto" w:after="120"/>
        <w:ind w:left="567" w:hanging="567"/>
        <w:jc w:val="both"/>
      </w:pPr>
      <w:r>
        <w:t xml:space="preserve">[21] </w:t>
      </w:r>
      <w:r>
        <w:t xml:space="preserve">TrueFoundry, "What is AI agent registry — A complete guide," </w:t>
      </w:r>
      <w:r>
        <w:rPr>
          <w:i/>
        </w:rPr>
        <w:t>TrueFoundry Blog</w:t>
      </w:r>
      <w:r>
        <w:t>, Sep. 2025. [Online]. Tersedia: https://www.truefoundry.com/blog/ai-agent-registry</w:t>
      </w:r>
    </w:p>
    <w:p>
      <w:pPr>
        <w:spacing w:line="240" w:lineRule="auto" w:after="120"/>
        <w:ind w:left="567" w:hanging="567"/>
        <w:jc w:val="both"/>
      </w:pPr>
      <w:r>
        <w:t xml:space="preserve">[22] </w:t>
      </w:r>
      <w:r>
        <w:t xml:space="preserve">I. Kolchinsky, "Tool RAG: The next breakthrough in scalable AI agents," </w:t>
      </w:r>
      <w:r>
        <w:rPr>
          <w:i/>
        </w:rPr>
        <w:t>Red Hat Emerging Technologies Blog</w:t>
      </w:r>
      <w:r>
        <w:t>, Nov. 2025.</w:t>
      </w:r>
    </w:p>
    <w:p>
      <w:pPr>
        <w:spacing w:line="240" w:lineRule="auto" w:after="120"/>
        <w:ind w:left="567" w:hanging="567"/>
        <w:jc w:val="both"/>
      </w:pPr>
      <w:r>
        <w:t xml:space="preserve">[23] </w:t>
      </w:r>
      <w:r>
        <w:t xml:space="preserve">Pydantic, "Pydantic AI — Toolsets," </w:t>
      </w:r>
      <w:r>
        <w:rPr>
          <w:i/>
        </w:rPr>
        <w:t>Pydantic AI Documentation</w:t>
      </w:r>
      <w:r>
        <w:t>, 2025. [Online]. Tersedia: https://ai.pydantic.dev/</w:t>
      </w:r>
    </w:p>
    <w:p>
      <w:pPr>
        <w:spacing w:line="240" w:lineRule="auto" w:after="120"/>
        <w:ind w:left="567" w:hanging="567"/>
        <w:jc w:val="both"/>
      </w:pPr>
      <w:r>
        <w:t xml:space="preserve">[24] </w:t>
      </w:r>
      <w:r>
        <w:t xml:space="preserve">C. Richardson, "Pattern: API gateway / Backends for frontends," </w:t>
      </w:r>
      <w:r>
        <w:rPr>
          <w:i/>
        </w:rPr>
        <w:t>microservices.io</w:t>
      </w:r>
      <w:r>
        <w:t>, 2014–2025. [Online]. Tersedia: https://microservices.io/patterns/apigateway.html</w:t>
      </w:r>
    </w:p>
    <w:p>
      <w:r>
        <w:br w:type="page"/>
      </w:r>
    </w:p>
    <w:p>
      <w:pPr>
        <w:pStyle w:val="Heading1"/>
      </w:pPr>
      <w:r>
        <w:t>LAMPIRAN</w:t>
      </w:r>
    </w:p>
    <w:p>
      <w:pPr>
        <w:pStyle w:val="Heading2"/>
      </w:pPr>
      <w:r>
        <w:t>Lampiran A: Source Code Tool Registry (Cuplikan Kunci)</w:t>
      </w:r>
    </w:p>
    <w:p>
      <w:pPr>
        <w:jc w:val="both"/>
      </w:pPr>
      <w:r>
        <w:t xml:space="preserve">Modul registry berisi struktur metadata dan fungsi penyaringan </w:t>
      </w:r>
      <w:r>
        <w:rPr>
          <w:rFonts w:ascii="Courier New" w:hAnsi="Courier New"/>
        </w:rPr>
        <w:t>registry_filter()</w:t>
      </w:r>
      <w:r>
        <w:t xml:space="preserve"> yang menjadi artefak utama penelitian ini.</w:t>
      </w:r>
    </w:p>
    <w:p>
      <w:pPr>
        <w:spacing w:after="0"/>
        <w:jc w:val="center"/>
      </w:pPr>
      <w:r>
        <w:rPr>
          <w:b w:val="0"/>
          <w:i/>
          <w:sz w:val="20"/>
        </w:rPr>
        <w:t>src/tool_registry_eval/registry.py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hashlib</w:t>
        <w:br/>
      </w:r>
      <w:r>
        <w:rPr>
          <w:rFonts w:ascii="Courier New" w:hAnsi="Courier New" w:cs="Courier New"/>
          <w:sz w:val="18"/>
        </w:rPr>
        <w:t>import sys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stable_unit(*parts: object) -&gt; float:</w:t>
        <w:br/>
      </w:r>
      <w:r>
        <w:rPr>
          <w:rFonts w:ascii="Courier New" w:hAnsi="Courier New" w:cs="Courier New"/>
          <w:sz w:val="18"/>
        </w:rPr>
        <w:t xml:space="preserve">    raw = "|".join(str(part) for part in parts).encode()</w:t>
        <w:br/>
      </w:r>
      <w:r>
        <w:rPr>
          <w:rFonts w:ascii="Courier New" w:hAnsi="Courier New" w:cs="Courier New"/>
          <w:sz w:val="18"/>
        </w:rPr>
        <w:t xml:space="preserve">    value = int(hashlib.sha256(raw).hexdigest()[:12], 16)</w:t>
        <w:br/>
      </w:r>
      <w:r>
        <w:rPr>
          <w:rFonts w:ascii="Courier New" w:hAnsi="Courier New" w:cs="Courier New"/>
          <w:sz w:val="18"/>
        </w:rPr>
        <w:t xml:space="preserve">    return value / float(0xFFFFFFFFFFFF)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deep_size(value: Any, seen: set[int] | None = None) -&gt; int:</w:t>
        <w:br/>
      </w:r>
      <w:r>
        <w:rPr>
          <w:rFonts w:ascii="Courier New" w:hAnsi="Courier New" w:cs="Courier New"/>
          <w:sz w:val="18"/>
        </w:rPr>
        <w:t xml:space="preserve">    if seen is None:</w:t>
        <w:br/>
      </w:r>
      <w:r>
        <w:rPr>
          <w:rFonts w:ascii="Courier New" w:hAnsi="Courier New" w:cs="Courier New"/>
          <w:sz w:val="18"/>
        </w:rPr>
        <w:t xml:space="preserve">        seen = set()</w:t>
        <w:br/>
      </w:r>
      <w:r>
        <w:rPr>
          <w:rFonts w:ascii="Courier New" w:hAnsi="Courier New" w:cs="Courier New"/>
          <w:sz w:val="18"/>
        </w:rPr>
        <w:t xml:space="preserve">    value_id = id(value)</w:t>
        <w:br/>
      </w:r>
      <w:r>
        <w:rPr>
          <w:rFonts w:ascii="Courier New" w:hAnsi="Courier New" w:cs="Courier New"/>
          <w:sz w:val="18"/>
        </w:rPr>
        <w:t xml:space="preserve">    if value_id in seen:</w:t>
        <w:br/>
      </w:r>
      <w:r>
        <w:rPr>
          <w:rFonts w:ascii="Courier New" w:hAnsi="Courier New" w:cs="Courier New"/>
          <w:sz w:val="18"/>
        </w:rPr>
        <w:t xml:space="preserve">        return 0</w:t>
        <w:br/>
      </w:r>
      <w:r>
        <w:rPr>
          <w:rFonts w:ascii="Courier New" w:hAnsi="Courier New" w:cs="Courier New"/>
          <w:sz w:val="18"/>
        </w:rPr>
        <w:t xml:space="preserve">    seen.add(value_id)</w:t>
        <w:br/>
      </w:r>
      <w:r>
        <w:rPr>
          <w:rFonts w:ascii="Courier New" w:hAnsi="Courier New" w:cs="Courier New"/>
          <w:sz w:val="18"/>
        </w:rPr>
        <w:t xml:space="preserve">    size = sys.getsizeof(value)</w:t>
        <w:br/>
      </w:r>
      <w:r>
        <w:rPr>
          <w:rFonts w:ascii="Courier New" w:hAnsi="Courier New" w:cs="Courier New"/>
          <w:sz w:val="18"/>
        </w:rPr>
        <w:t xml:space="preserve">    if isinstance(value, dict):</w:t>
        <w:br/>
      </w:r>
      <w:r>
        <w:rPr>
          <w:rFonts w:ascii="Courier New" w:hAnsi="Courier New" w:cs="Courier New"/>
          <w:sz w:val="18"/>
        </w:rPr>
        <w:t xml:space="preserve">        size += sum(deep_size(k, seen) + deep_size(v, seen) for k, v in value.items())</w:t>
        <w:br/>
      </w:r>
      <w:r>
        <w:rPr>
          <w:rFonts w:ascii="Courier New" w:hAnsi="Courier New" w:cs="Courier New"/>
          <w:sz w:val="18"/>
        </w:rPr>
        <w:t xml:space="preserve">    elif isinstance(value, (list, tuple, set, frozenset)):</w:t>
        <w:br/>
      </w:r>
      <w:r>
        <w:rPr>
          <w:rFonts w:ascii="Courier New" w:hAnsi="Courier New" w:cs="Courier New"/>
          <w:sz w:val="18"/>
        </w:rPr>
        <w:t xml:space="preserve">        size += sum(deep_size(item, seen) for item in value)</w:t>
        <w:br/>
      </w:r>
      <w:r>
        <w:rPr>
          <w:rFonts w:ascii="Courier New" w:hAnsi="Courier New" w:cs="Courier New"/>
          <w:sz w:val="18"/>
        </w:rPr>
        <w:t xml:space="preserve">    elif hasattr(value, "__dict__"):</w:t>
        <w:br/>
      </w:r>
      <w:r>
        <w:rPr>
          <w:rFonts w:ascii="Courier New" w:hAnsi="Courier New" w:cs="Courier New"/>
          <w:sz w:val="18"/>
        </w:rPr>
        <w:t xml:space="preserve">        size += deep_size(vars(value), seen)</w:t>
        <w:br/>
      </w:r>
      <w:r>
        <w:rPr>
          <w:rFonts w:ascii="Courier New" w:hAnsi="Courier New" w:cs="Courier New"/>
          <w:sz w:val="18"/>
        </w:rPr>
        <w:t xml:space="preserve">    return size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registry_memory(tools: list[ToolDef]) -&gt; int:</w:t>
        <w:br/>
      </w:r>
      <w:r>
        <w:rPr>
          <w:rFonts w:ascii="Courier New" w:hAnsi="Courier New" w:cs="Courier New"/>
          <w:sz w:val="18"/>
        </w:rPr>
        <w:t xml:space="preserve">    registry: dict[str, dict[str, Any]] = {}</w:t>
        <w:br/>
      </w:r>
      <w:r>
        <w:rPr>
          <w:rFonts w:ascii="Courier New" w:hAnsi="Courier New" w:cs="Courier New"/>
          <w:sz w:val="18"/>
        </w:rPr>
        <w:t xml:space="preserve">    for tool in tools:</w:t>
        <w:br/>
      </w:r>
      <w:r>
        <w:rPr>
          <w:rFonts w:ascii="Courier New" w:hAnsi="Courier New" w:cs="Courier New"/>
          <w:sz w:val="18"/>
        </w:rPr>
        <w:t xml:space="preserve">        registry[tool.name] = {</w:t>
        <w:br/>
      </w:r>
      <w:r>
        <w:rPr>
          <w:rFonts w:ascii="Courier New" w:hAnsi="Courier New" w:cs="Courier New"/>
          <w:sz w:val="18"/>
        </w:rPr>
        <w:t xml:space="preserve">            "module": tool.module,</w:t>
        <w:br/>
      </w:r>
      <w:r>
        <w:rPr>
          <w:rFonts w:ascii="Courier New" w:hAnsi="Courier New" w:cs="Courier New"/>
          <w:sz w:val="18"/>
        </w:rPr>
        <w:t xml:space="preserve">            "op_type": tool.op_type,</w:t>
        <w:br/>
      </w:r>
      <w:r>
        <w:rPr>
          <w:rFonts w:ascii="Courier New" w:hAnsi="Courier New" w:cs="Courier New"/>
          <w:sz w:val="18"/>
        </w:rPr>
        <w:t xml:space="preserve">            "roles": tool.roles,</w:t>
        <w:br/>
      </w:r>
      <w:r>
        <w:rPr>
          <w:rFonts w:ascii="Courier New" w:hAnsi="Courier New" w:cs="Courier New"/>
          <w:sz w:val="18"/>
        </w:rPr>
        <w:t xml:space="preserve">            "tiers": tool.tiers,</w:t>
        <w:br/>
      </w:r>
      <w:r>
        <w:rPr>
          <w:rFonts w:ascii="Courier New" w:hAnsi="Courier New" w:cs="Courier New"/>
          <w:sz w:val="18"/>
        </w:rPr>
        <w:t xml:space="preserve">            "keywords": tool.keywords,</w:t>
        <w:br/>
      </w:r>
      <w:r>
        <w:rPr>
          <w:rFonts w:ascii="Courier New" w:hAnsi="Courier New" w:cs="Courier New"/>
          <w:sz w:val="18"/>
        </w:rPr>
        <w:t xml:space="preserve">            "priority": tool.priority,</w:t>
        <w:br/>
      </w:r>
      <w:r>
        <w:rPr>
          <w:rFonts w:ascii="Courier New" w:hAnsi="Courier New" w:cs="Courier New"/>
          <w:sz w:val="18"/>
        </w:rPr>
        <w:t xml:space="preserve">            "schema_tokens": tool.schema_tokens,</w:t>
        <w:br/>
      </w:r>
      <w:r>
        <w:rPr>
          <w:rFonts w:ascii="Courier New" w:hAnsi="Courier New" w:cs="Courier New"/>
          <w:sz w:val="18"/>
        </w:rPr>
        <w:t xml:space="preserve">        }</w:t>
        <w:br/>
      </w:r>
      <w:r>
        <w:rPr>
          <w:rFonts w:ascii="Courier New" w:hAnsi="Courier New" w:cs="Courier New"/>
          <w:sz w:val="18"/>
        </w:rPr>
        <w:t xml:space="preserve">    return deep_size(registry)</w:t>
        <w:br/>
      </w:r>
      <w:r>
        <w:rPr>
          <w:rFonts w:ascii="Courier New" w:hAnsi="Courier New" w:cs="Courier New"/>
          <w:sz w:val="18"/>
        </w:rPr>
      </w:r>
    </w:p>
    <w:p>
      <w:pPr>
        <w:pStyle w:val="Heading2"/>
      </w:pPr>
      <w:r>
        <w:t>Lampiran B: Dataset 100 Kueri Evaluasi (JSON)</w:t>
      </w:r>
    </w:p>
    <w:p>
      <w:pPr>
        <w:jc w:val="both"/>
      </w:pPr>
      <w:r>
        <w:t>Dataset evaluasi terdiri dari 100 kueri berbahasa Indonesia (50 single-domain, 30 cross-domain, 20 adversarial). Berikut cuplikan representatif; berkas lengkap tersedia pada lampiran/dataset-100-query.json.</w:t>
      </w:r>
    </w:p>
    <w:p>
      <w:pPr>
        <w:keepLines w:val="0"/>
        <w:spacing w:line="240" w:lineRule="auto" w:before="120" w:after="120"/>
        <w:ind w:left="283" w:right="113"/>
        <w:jc w:val="left"/>
        <w:shd w:val="clear" w:color="auto" w:fill="F2F2F2"/>
      </w:pPr>
      <w:r>
        <w:rPr>
          <w:rFonts w:ascii="Courier New" w:hAnsi="Courier New" w:cs="Courier New"/>
          <w:sz w:val="18"/>
        </w:rPr>
        <w:t>[</w:t>
        <w:br/>
      </w:r>
      <w:r>
        <w:rPr>
          <w:rFonts w:ascii="Courier New" w:hAnsi="Courier New" w:cs="Courier New"/>
          <w:sz w:val="18"/>
        </w:rPr>
        <w:t xml:space="preserve">  {</w:t>
        <w:br/>
      </w:r>
      <w:r>
        <w:rPr>
          <w:rFonts w:ascii="Courier New" w:hAnsi="Courier New" w:cs="Courier New"/>
          <w:sz w:val="18"/>
        </w:rPr>
        <w:t xml:space="preserve">    "query_id": "q001",</w:t>
        <w:br/>
      </w:r>
      <w:r>
        <w:rPr>
          <w:rFonts w:ascii="Courier New" w:hAnsi="Courier New" w:cs="Courier New"/>
          <w:sz w:val="18"/>
        </w:rPr>
        <w:t xml:space="preserve">    "query_type": "single_domain",</w:t>
        <w:br/>
      </w:r>
      <w:r>
        <w:rPr>
          <w:rFonts w:ascii="Courier New" w:hAnsi="Courier New" w:cs="Courier New"/>
          <w:sz w:val="18"/>
        </w:rPr>
        <w:t xml:space="preserve">    "text": "Tolong cek stok bahan untuk outlet utama hari ini.",</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"q002",</w:t>
        <w:br/>
      </w:r>
      <w:r>
        <w:rPr>
          <w:rFonts w:ascii="Courier New" w:hAnsi="Courier New" w:cs="Courier New"/>
          <w:sz w:val="18"/>
        </w:rPr>
        <w:t xml:space="preserve">    "query_type": "single_domain",</w:t>
        <w:br/>
      </w:r>
      <w:r>
        <w:rPr>
          <w:rFonts w:ascii="Courier New" w:hAnsi="Courier New" w:cs="Courier New"/>
          <w:sz w:val="18"/>
        </w:rPr>
        <w:t xml:space="preserve">    "text": "Tolong cek penjualan omzet untuk outlet utama hari ini.",</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"q021",</w:t>
        <w:br/>
      </w:r>
      <w:r>
        <w:rPr>
          <w:rFonts w:ascii="Courier New" w:hAnsi="Courier New" w:cs="Courier New"/>
          <w:sz w:val="18"/>
        </w:rPr>
        <w:t xml:space="preserve">    "query_type": "cross_domain",</w:t>
        <w:br/>
      </w:r>
      <w:r>
        <w:rPr>
          <w:rFonts w:ascii="Courier New" w:hAnsi="Courier New" w:cs="Courier New"/>
          <w:sz w:val="18"/>
        </w:rPr>
        <w:t xml:space="preserve">    "text": "Bandingkan inventory dengan menu, lalu prioritaskan stok untuk keputusan operasional.",</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"menu"</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"q022",</w:t>
        <w:br/>
      </w:r>
      <w:r>
        <w:rPr>
          <w:rFonts w:ascii="Courier New" w:hAnsi="Courier New" w:cs="Courier New"/>
          <w:sz w:val="18"/>
        </w:rPr>
        <w:t xml:space="preserve">    "query_type": "cross_domain",</w:t>
        <w:br/>
      </w:r>
      <w:r>
        <w:rPr>
          <w:rFonts w:ascii="Courier New" w:hAnsi="Courier New" w:cs="Courier New"/>
          <w:sz w:val="18"/>
        </w:rPr>
        <w:t xml:space="preserve">    "text": "Bandingkan sales dengan accounting, lalu prioritaskan penjualan untuk keputusan operasional.",</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"q029",</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stok bahan untuk modul inventory.",</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"q030",</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jurnal akuntansi untuk modul accounting.",</w:t>
        <w:br/>
      </w:r>
      <w:r>
        <w:rPr>
          <w:rFonts w:ascii="Courier New" w:hAnsi="Courier New" w:cs="Courier New"/>
          <w:sz w:val="18"/>
        </w:rPr>
        <w:t xml:space="preserve">    "modules": [</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"accounting_generate_journal"</w:t>
        <w:br/>
      </w:r>
      <w:r>
        <w:rPr>
          <w:rFonts w:ascii="Courier New" w:hAnsi="Courier New" w:cs="Courier New"/>
          <w:sz w:val="18"/>
        </w:rPr>
        <w:t xml:space="preserve">  }</w:t>
        <w:br/>
      </w:r>
      <w:r>
        <w:rPr>
          <w:rFonts w:ascii="Courier New" w:hAnsi="Courier New" w:cs="Courier New"/>
          <w:sz w:val="18"/>
        </w:rPr>
        <w:t>]</w:t>
      </w:r>
    </w:p>
    <w:p>
      <w:pPr>
        <w:pStyle w:val="Heading2"/>
      </w:pPr>
      <w:r>
        <w:t>Lampiran C: Hasil Mentah Eksperimen (CSV)</w:t>
      </w:r>
    </w:p>
    <w:p>
      <w:pPr>
        <w:jc w:val="both"/>
      </w:pPr>
      <w:r>
        <w:t>Ringkasan agregat per skenario dan mode (Gemini Native v2, n=558), diproduksi otomatis dari rekaman JSONL inkremental.</w:t>
      </w:r>
    </w:p>
    <w:p>
      <w:pPr>
        <w:spacing w:after="0"/>
        <w:jc w:val="center"/>
      </w:pPr>
      <w:r>
        <w:rPr>
          <w:b w:val="0"/>
          <w:i/>
          <w:sz w:val="20"/>
        </w:rPr>
        <w:t>outputs/gemini-native-v2/summary.csv</w:t>
      </w:r>
    </w:p>
    <w:p>
      <w:pPr>
        <w:keepLines/>
        <w:spacing w:line="240" w:lineRule="auto" w:before="120" w:after="120"/>
        <w:ind w:left="283" w:right="113"/>
        <w:jc w:val="left"/>
        <w:shd w:val="clear" w:color="auto" w:fill="F2F2F2"/>
      </w:pPr>
      <w:r>
        <w:rPr>
          <w:rFonts w:ascii="Courier New" w:hAnsi="Courier New" w:cs="Courier New"/>
          <w:sz w:val="18"/>
        </w:rPr>
        <w:t>scenario,mode,total_tools,avg_visible_tools,avg_total_tokens,std_total_tokens,accuracy,std_accuracy,latency_p50_ms,latency_p95_ms,latency_mean_ms,std_latency_ms,registry_memory_bytes,runs</w:t>
        <w:br/>
      </w:r>
      <w:r>
        <w:rPr>
          <w:rFonts w:ascii="Courier New" w:hAnsi="Courier New" w:cs="Courier New"/>
          <w:sz w:val="18"/>
        </w:rPr>
        <w:t>S1,baseline,30,30,2426.312,5.394,0.6875,0.4635,832.51,1310.713,911.099,198.256,0,48</w:t>
        <w:br/>
      </w:r>
      <w:r>
        <w:rPr>
          <w:rFonts w:ascii="Courier New" w:hAnsi="Courier New" w:cs="Courier New"/>
          <w:sz w:val="18"/>
        </w:rPr>
        <w:t>S1,registry,30,10.625,892.562,133.375,0.75,0.433,904.571,2566.992,1210.228,719.336,22662,48</w:t>
        <w:br/>
      </w:r>
      <w:r>
        <w:rPr>
          <w:rFonts w:ascii="Courier New" w:hAnsi="Courier New" w:cs="Courier New"/>
          <w:sz w:val="18"/>
        </w:rPr>
        <w:t>S2,baseline,100,100,7984.5,6.086,0.7143,0.4518,1013.772,2625.074,1329.242,1030.092,0,84</w:t>
        <w:br/>
      </w:r>
      <w:r>
        <w:rPr>
          <w:rFonts w:ascii="Courier New" w:hAnsi="Courier New" w:cs="Courier New"/>
          <w:sz w:val="18"/>
        </w:rPr>
        <w:t>S2,registry,100,15,1240.5,22.666,0.7143,0.4518,910.012,1369.281,953.972,225.82,71971,84</w:t>
        <w:br/>
      </w:r>
      <w:r>
        <w:rPr>
          <w:rFonts w:ascii="Courier New" w:hAnsi="Courier New" w:cs="Courier New"/>
          <w:sz w:val="18"/>
        </w:rPr>
        <w:t>S3,baseline,300,300,23892.857,5.7,0.7143,0.4518,991.514,1547.357,1071.295,233.63,0,147</w:t>
        <w:br/>
      </w:r>
      <w:r>
        <w:rPr>
          <w:rFonts w:ascii="Courier New" w:hAnsi="Courier New" w:cs="Courier New"/>
          <w:sz w:val="18"/>
        </w:rPr>
        <w:t>S3,registry,300,15,1239.245,29.826,0.7755,0.4172,850.779,1112.572,942.054,730.414,205354,147</w:t>
      </w:r>
    </w:p>
    <w:p>
      <w:pPr>
        <w:jc w:val="both"/>
      </w:pPr>
      <w:r>
        <w:t>Hasil uji statistik penghematan token (Wilcoxon, Cohen's d, CI 95%) dan akurasi per skenario.</w:t>
      </w:r>
    </w:p>
    <w:p>
      <w:pPr>
        <w:spacing w:after="0"/>
        <w:jc w:val="center"/>
      </w:pPr>
      <w:r>
        <w:rPr>
          <w:b w:val="0"/>
          <w:i/>
          <w:sz w:val="20"/>
        </w:rPr>
        <w:t>outputs/gemini-native-v2/statistical_tests.csv</w:t>
      </w:r>
    </w:p>
    <w:p>
      <w:pPr>
        <w:keepLines/>
        <w:spacing w:line="240" w:lineRule="auto" w:before="120" w:after="120"/>
        <w:ind w:left="283" w:right="113"/>
        <w:jc w:val="left"/>
        <w:shd w:val="clear" w:color="auto" w:fill="F2F2F2"/>
      </w:pPr>
      <w:r>
        <w:rPr>
          <w:rFonts w:ascii="Courier New" w:hAnsi="Courier New" w:cs="Courier New"/>
          <w:sz w:val="18"/>
        </w:rPr>
        <w:t>scenario,n_pairs,token_reduction_mean,token_reduction_ci95_lower,token_reduction_ci95_upper,wilcoxon_token_stat,wilcoxon_token_p,cohens_d_tokens,accuracy_improvement_mean,accuracy_improvement_std,wilcoxon_accuracy_p</w:t>
        <w:br/>
      </w:r>
      <w:r>
        <w:rPr>
          <w:rFonts w:ascii="Courier New" w:hAnsi="Courier New" w:cs="Courier New"/>
          <w:sz w:val="18"/>
        </w:rPr>
        <w:t>S1,16,1533.75,1463.93,1603.57,136.0,0.000204,11.7052,0.0625,0.4285,0.281851</w:t>
        <w:br/>
      </w:r>
      <w:r>
        <w:rPr>
          <w:rFonts w:ascii="Courier New" w:hAnsi="Courier New" w:cs="Courier New"/>
          <w:sz w:val="18"/>
        </w:rPr>
        <w:t>S2,28,6744.0,6735.01,6752.99,406.0,2e-06,290.909,0.0,0.2673,0.5</w:t>
        <w:br/>
      </w:r>
      <w:r>
        <w:rPr>
          <w:rFonts w:ascii="Courier New" w:hAnsi="Courier New" w:cs="Courier New"/>
          <w:sz w:val="18"/>
        </w:rPr>
        <w:t>S3,49,22653.61,22645.29,22661.93,1225.0,0.0,782.0074,0.0612,0.3135,0.089856</w:t>
      </w:r>
    </w:p>
    <w:p>
      <w:pPr>
        <w:pStyle w:val="Heading2"/>
      </w:pPr>
      <w:r>
        <w:t>Lampiran D: Script Analisis Statistik (Python)</w:t>
      </w:r>
    </w:p>
    <w:p>
      <w:pPr>
        <w:jc w:val="both"/>
      </w:pPr>
      <w:r>
        <w:t>Modul pengukuran yang menghitung uji Wilcoxon signed-rank berpasangan, ukuran efek Cohen's d, dan selang kepercayaan 95% atas penghematan token.</w:t>
      </w:r>
    </w:p>
    <w:p>
      <w:pPr>
        <w:spacing w:after="0"/>
        <w:jc w:val="center"/>
      </w:pPr>
      <w:r>
        <w:rPr>
          <w:b w:val="0"/>
          <w:i/>
          <w:sz w:val="20"/>
        </w:rPr>
        <w:t>src/tool_registry_eval/measure.py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math</w:t>
        <w:br/>
      </w:r>
      <w:r>
        <w:rPr>
          <w:rFonts w:ascii="Courier New" w:hAnsi="Courier New" w:cs="Courier New"/>
          <w:sz w:val="18"/>
        </w:rPr>
        <w:t>import statistics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t>from .registry import stable_unit</w:t>
        <w:br/>
      </w:r>
      <w:r>
        <w:rPr>
          <w:rFonts w:ascii="Courier New" w:hAnsi="Courier New" w:cs="Courier New"/>
          <w:sz w:val="18"/>
        </w:rPr>
        <w:br/>
      </w:r>
      <w:r>
        <w:rPr>
          <w:rFonts w:ascii="Courier New" w:hAnsi="Courier New" w:cs="Courier New"/>
          <w:sz w:val="18"/>
        </w:rPr>
        <w:t>try:</w:t>
        <w:br/>
      </w:r>
      <w:r>
        <w:rPr>
          <w:rFonts w:ascii="Courier New" w:hAnsi="Courier New" w:cs="Courier New"/>
          <w:sz w:val="18"/>
        </w:rPr>
        <w:t xml:space="preserve">    from scipy import stats as _scipy_stats</w:t>
        <w:br/>
      </w:r>
      <w:r>
        <w:rPr>
          <w:rFonts w:ascii="Courier New" w:hAnsi="Courier New" w:cs="Courier New"/>
          <w:sz w:val="18"/>
        </w:rPr>
        <w:t xml:space="preserve">    _SCIPY_AVAILABLE = True</w:t>
        <w:br/>
      </w:r>
      <w:r>
        <w:rPr>
          <w:rFonts w:ascii="Courier New" w:hAnsi="Courier New" w:cs="Courier New"/>
          <w:sz w:val="18"/>
        </w:rPr>
        <w:t>except ImportError:</w:t>
        <w:br/>
      </w:r>
      <w:r>
        <w:rPr>
          <w:rFonts w:ascii="Courier New" w:hAnsi="Courier New" w:cs="Courier New"/>
          <w:sz w:val="18"/>
        </w:rPr>
        <w:t xml:space="preserve">    _SCIPY_AVAILABLE = False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token_count(query: QueryDef, visible_tools: list[ToolDef]) -&gt; tuple[int, int, int]:</w:t>
        <w:br/>
      </w:r>
      <w:r>
        <w:rPr>
          <w:rFonts w:ascii="Courier New" w:hAnsi="Courier New" w:cs="Courier New"/>
          <w:sz w:val="18"/>
        </w:rPr>
        <w:t xml:space="preserve">    prompt_tokens = 420</w:t>
        <w:br/>
      </w:r>
      <w:r>
        <w:rPr>
          <w:rFonts w:ascii="Courier New" w:hAnsi="Courier New" w:cs="Courier New"/>
          <w:sz w:val="18"/>
        </w:rPr>
        <w:t xml:space="preserve">    query_tokens = max(12, math.ceil(len(query.text.split()) * 1.4))</w:t>
        <w:br/>
      </w:r>
      <w:r>
        <w:rPr>
          <w:rFonts w:ascii="Courier New" w:hAnsi="Courier New" w:cs="Courier New"/>
          <w:sz w:val="18"/>
        </w:rPr>
        <w:t xml:space="preserve">    tool_tokens = sum(tool.schema_tokens for tool in visible_tools)</w:t>
        <w:br/>
      </w:r>
      <w:r>
        <w:rPr>
          <w:rFonts w:ascii="Courier New" w:hAnsi="Courier New" w:cs="Courier New"/>
          <w:sz w:val="18"/>
        </w:rPr>
        <w:t xml:space="preserve">    output_tokens = 72 + (8 if query.query_type == "cross_domain" else 0)</w:t>
        <w:br/>
      </w:r>
      <w:r>
        <w:rPr>
          <w:rFonts w:ascii="Courier New" w:hAnsi="Courier New" w:cs="Courier New"/>
          <w:sz w:val="18"/>
        </w:rPr>
        <w:t xml:space="preserve">    input_tokens = prompt_tokens + query_tokens + tool_tokens</w:t>
        <w:br/>
      </w:r>
      <w:r>
        <w:rPr>
          <w:rFonts w:ascii="Courier New" w:hAnsi="Courier New" w:cs="Courier New"/>
          <w:sz w:val="18"/>
        </w:rPr>
        <w:t xml:space="preserve">    return input_tokens, output_tokens, input_tokens + output_tokens</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select_tool(mode: str, query: QueryDef, visible_tools: list[ToolDef], total_tools: int) -&gt; str:</w:t>
        <w:br/>
      </w:r>
      <w:r>
        <w:rPr>
          <w:rFonts w:ascii="Courier New" w:hAnsi="Courier New" w:cs="Courier New"/>
          <w:sz w:val="18"/>
        </w:rPr>
        <w:t xml:space="preserve">    expected_visible = any(tool.name == query.expected_tool for tool in visible_tools)</w:t>
        <w:br/>
      </w:r>
      <w:r>
        <w:rPr>
          <w:rFonts w:ascii="Courier New" w:hAnsi="Courier New" w:cs="Courier New"/>
          <w:sz w:val="18"/>
        </w:rPr>
        <w:t xml:space="preserve">    if not expected_visible:</w:t>
        <w:br/>
      </w:r>
      <w:r>
        <w:rPr>
          <w:rFonts w:ascii="Courier New" w:hAnsi="Courier New" w:cs="Courier New"/>
          <w:sz w:val="18"/>
        </w:rPr>
        <w:t xml:space="preserve">        return visible_tools[0].name if visible_tools else "NO_TOOL"</w:t>
        <w:br/>
      </w:r>
      <w:r>
        <w:rPr>
          <w:rFonts w:ascii="Courier New" w:hAnsi="Courier New" w:cs="Courier New"/>
          <w:sz w:val="18"/>
        </w:rPr>
        <w:br/>
      </w:r>
      <w:r>
        <w:rPr>
          <w:rFonts w:ascii="Courier New" w:hAnsi="Courier New" w:cs="Courier New"/>
          <w:sz w:val="18"/>
        </w:rPr>
        <w:t xml:space="preserve">    if mode == "baseline":</w:t>
        <w:br/>
      </w:r>
      <w:r>
        <w:rPr>
          <w:rFonts w:ascii="Courier New" w:hAnsi="Courier New" w:cs="Courier New"/>
          <w:sz w:val="18"/>
        </w:rPr>
        <w:t xml:space="preserve">        load_penalty = min(0.56, math.log10(max(total_tools, 2)) * 0.19)</w:t>
        <w:br/>
      </w:r>
      <w:r>
        <w:rPr>
          <w:rFonts w:ascii="Courier New" w:hAnsi="Courier New" w:cs="Courier New"/>
          <w:sz w:val="18"/>
        </w:rPr>
        <w:t xml:space="preserve">        type_penalty = {"single_domain": 0.02, "cross_domain": 0.09, "adversarial": 0.20}[query.query_type]</w:t>
        <w:br/>
      </w:r>
      <w:r>
        <w:rPr>
          <w:rFonts w:ascii="Courier New" w:hAnsi="Courier New" w:cs="Courier New"/>
          <w:sz w:val="18"/>
        </w:rPr>
        <w:t xml:space="preserve">        probability = 0.95 - load_penalty - type_penalty</w:t>
        <w:br/>
      </w:r>
      <w:r>
        <w:rPr>
          <w:rFonts w:ascii="Courier New" w:hAnsi="Courier New" w:cs="Courier New"/>
          <w:sz w:val="18"/>
        </w:rPr>
        <w:t xml:space="preserve">    else:</w:t>
        <w:br/>
      </w:r>
      <w:r>
        <w:rPr>
          <w:rFonts w:ascii="Courier New" w:hAnsi="Courier New" w:cs="Courier New"/>
          <w:sz w:val="18"/>
        </w:rPr>
        <w:t xml:space="preserve">        load_penalty = min(0.08, math.log10(max(len(visible_tools), 2)) * 0.035)</w:t>
        <w:br/>
      </w:r>
      <w:r>
        <w:rPr>
          <w:rFonts w:ascii="Courier New" w:hAnsi="Courier New" w:cs="Courier New"/>
          <w:sz w:val="18"/>
        </w:rPr>
        <w:t xml:space="preserve">        type_penalty = {"single_domain": 0.01, "cross_domain": 0.04, "adversarial": 0.08}[query.query_type]</w:t>
        <w:br/>
      </w:r>
      <w:r>
        <w:rPr>
          <w:rFonts w:ascii="Courier New" w:hAnsi="Courier New" w:cs="Courier New"/>
          <w:sz w:val="18"/>
        </w:rPr>
        <w:t xml:space="preserve">        probability = 0.96 - load_penalty - type_penalty</w:t>
        <w:br/>
      </w:r>
      <w:r>
        <w:rPr>
          <w:rFonts w:ascii="Courier New" w:hAnsi="Courier New" w:cs="Courier New"/>
          <w:sz w:val="18"/>
        </w:rPr>
        <w:br/>
      </w:r>
      <w:r>
        <w:rPr>
          <w:rFonts w:ascii="Courier New" w:hAnsi="Courier New" w:cs="Courier New"/>
          <w:sz w:val="18"/>
        </w:rPr>
        <w:t xml:space="preserve">    probability = max(0.18, min(0.98, probability))</w:t>
        <w:br/>
      </w:r>
      <w:r>
        <w:rPr>
          <w:rFonts w:ascii="Courier New" w:hAnsi="Courier New" w:cs="Courier New"/>
          <w:sz w:val="18"/>
        </w:rPr>
        <w:t xml:space="preserve">    if stable_unit(mode, query.query_id, total_tools) &lt;= probability:</w:t>
        <w:br/>
      </w:r>
      <w:r>
        <w:rPr>
          <w:rFonts w:ascii="Courier New" w:hAnsi="Courier New" w:cs="Courier New"/>
          <w:sz w:val="18"/>
        </w:rPr>
        <w:t xml:space="preserve">        return query.expected_tool</w:t>
        <w:br/>
      </w:r>
      <w:r>
        <w:rPr>
          <w:rFonts w:ascii="Courier New" w:hAnsi="Courier New" w:cs="Courier New"/>
          <w:sz w:val="18"/>
        </w:rPr>
        <w:br/>
      </w:r>
      <w:r>
        <w:rPr>
          <w:rFonts w:ascii="Courier New" w:hAnsi="Courier New" w:cs="Courier New"/>
          <w:sz w:val="18"/>
        </w:rPr>
        <w:t xml:space="preserve">    distractors = [tool for tool in visible_tools if tool.name != query.expected_tool]</w:t>
        <w:br/>
      </w:r>
      <w:r>
        <w:rPr>
          <w:rFonts w:ascii="Courier New" w:hAnsi="Courier New" w:cs="Courier New"/>
          <w:sz w:val="18"/>
        </w:rPr>
        <w:t xml:space="preserve">    if not distractors:</w:t>
        <w:br/>
      </w:r>
      <w:r>
        <w:rPr>
          <w:rFonts w:ascii="Courier New" w:hAnsi="Courier New" w:cs="Courier New"/>
          <w:sz w:val="18"/>
        </w:rPr>
        <w:t xml:space="preserve">        return query.expected_tool</w:t>
        <w:br/>
      </w:r>
      <w:r>
        <w:rPr>
          <w:rFonts w:ascii="Courier New" w:hAnsi="Courier New" w:cs="Courier New"/>
          <w:sz w:val="18"/>
        </w:rPr>
        <w:t xml:space="preserve">    index = int(stable_unit("miss", mode, query.query_id, total_tools) * len(distractors))</w:t>
        <w:br/>
      </w:r>
      <w:r>
        <w:rPr>
          <w:rFonts w:ascii="Courier New" w:hAnsi="Courier New" w:cs="Courier New"/>
          <w:sz w:val="18"/>
        </w:rPr>
        <w:t xml:space="preserve">    return distractors[min(index, len(distractors) - 1)].name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latency_ms(mode: str, query: QueryDef, visible_tools: list[ToolDef], total_tokens: int, total_tools: int) -&gt; float:</w:t>
        <w:br/>
      </w:r>
      <w:r>
        <w:rPr>
          <w:rFonts w:ascii="Courier New" w:hAnsi="Courier New" w:cs="Courier New"/>
          <w:sz w:val="18"/>
        </w:rPr>
        <w:t xml:space="preserve">    base = 185.0</w:t>
        <w:br/>
      </w:r>
      <w:r>
        <w:rPr>
          <w:rFonts w:ascii="Courier New" w:hAnsi="Courier New" w:cs="Courier New"/>
          <w:sz w:val="18"/>
        </w:rPr>
        <w:t xml:space="preserve">    visible_component = len(visible_tools) * (7.4 if mode == "baseline" else 3.1)</w:t>
        <w:br/>
      </w:r>
      <w:r>
        <w:rPr>
          <w:rFonts w:ascii="Courier New" w:hAnsi="Courier New" w:cs="Courier New"/>
          <w:sz w:val="18"/>
        </w:rPr>
        <w:t xml:space="preserve">    token_component = total_tokens * 0.042</w:t>
        <w:br/>
      </w:r>
      <w:r>
        <w:rPr>
          <w:rFonts w:ascii="Courier New" w:hAnsi="Courier New" w:cs="Courier New"/>
          <w:sz w:val="18"/>
        </w:rPr>
        <w:t xml:space="preserve">    registry_overhead = 18.0 if mode == "registry" else 0.0</w:t>
        <w:br/>
      </w:r>
      <w:r>
        <w:rPr>
          <w:rFonts w:ascii="Courier New" w:hAnsi="Courier New" w:cs="Courier New"/>
          <w:sz w:val="18"/>
        </w:rPr>
        <w:t xml:space="preserve">    adversarial_overhead = 35.0 if query.query_type == "adversarial" else 0.0</w:t>
        <w:br/>
      </w:r>
      <w:r>
        <w:rPr>
          <w:rFonts w:ascii="Courier New" w:hAnsi="Courier New" w:cs="Courier New"/>
          <w:sz w:val="18"/>
        </w:rPr>
        <w:t xml:space="preserve">    jitter = stable_unit("latency", mode, query.query_id, total_tools) * 42.0</w:t>
        <w:br/>
      </w:r>
      <w:r>
        <w:rPr>
          <w:rFonts w:ascii="Courier New" w:hAnsi="Courier New" w:cs="Courier New"/>
          <w:sz w:val="18"/>
        </w:rPr>
        <w:t xml:space="preserve">    return round(base + visible_component + token_component + registry_overhead + adversarial_overhead + jitter, 3)</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percentile(values: list[float], pct: float) -&gt; float:</w:t>
        <w:br/>
      </w:r>
      <w:r>
        <w:rPr>
          <w:rFonts w:ascii="Courier New" w:hAnsi="Courier New" w:cs="Courier New"/>
          <w:sz w:val="18"/>
        </w:rPr>
        <w:t xml:space="preserve">    if not values:</w:t>
        <w:br/>
      </w:r>
      <w:r>
        <w:rPr>
          <w:rFonts w:ascii="Courier New" w:hAnsi="Courier New" w:cs="Courier New"/>
          <w:sz w:val="18"/>
        </w:rPr>
        <w:t xml:space="preserve">        return 0.0</w:t>
        <w:br/>
      </w:r>
      <w:r>
        <w:rPr>
          <w:rFonts w:ascii="Courier New" w:hAnsi="Courier New" w:cs="Courier New"/>
          <w:sz w:val="18"/>
        </w:rPr>
        <w:t xml:space="preserve">    sorted_values = sorted(values)</w:t>
        <w:br/>
      </w:r>
      <w:r>
        <w:rPr>
          <w:rFonts w:ascii="Courier New" w:hAnsi="Courier New" w:cs="Courier New"/>
          <w:sz w:val="18"/>
        </w:rPr>
        <w:t xml:space="preserve">    index = (len(sorted_values) - 1) * pct</w:t>
        <w:br/>
      </w:r>
      <w:r>
        <w:rPr>
          <w:rFonts w:ascii="Courier New" w:hAnsi="Courier New" w:cs="Courier New"/>
          <w:sz w:val="18"/>
        </w:rPr>
        <w:t xml:space="preserve">    lower = math.floor(index)</w:t>
        <w:br/>
      </w:r>
      <w:r>
        <w:rPr>
          <w:rFonts w:ascii="Courier New" w:hAnsi="Courier New" w:cs="Courier New"/>
          <w:sz w:val="18"/>
        </w:rPr>
        <w:t xml:space="preserve">    upper = math.ceil(index)</w:t>
        <w:br/>
      </w:r>
      <w:r>
        <w:rPr>
          <w:rFonts w:ascii="Courier New" w:hAnsi="Courier New" w:cs="Courier New"/>
          <w:sz w:val="18"/>
        </w:rPr>
        <w:t xml:space="preserve">    if lower == upper:</w:t>
        <w:br/>
      </w:r>
      <w:r>
        <w:rPr>
          <w:rFonts w:ascii="Courier New" w:hAnsi="Courier New" w:cs="Courier New"/>
          <w:sz w:val="18"/>
        </w:rPr>
        <w:t xml:space="preserve">        return sorted_values[int(index)]</w:t>
        <w:br/>
      </w:r>
      <w:r>
        <w:rPr>
          <w:rFonts w:ascii="Courier New" w:hAnsi="Courier New" w:cs="Courier New"/>
          <w:sz w:val="18"/>
        </w:rPr>
        <w:t xml:space="preserve">    weight = index - lower</w:t>
        <w:br/>
      </w:r>
      <w:r>
        <w:rPr>
          <w:rFonts w:ascii="Courier New" w:hAnsi="Courier New" w:cs="Courier New"/>
          <w:sz w:val="18"/>
        </w:rPr>
        <w:t xml:space="preserve">    return sorted_values[lower] * (1 - weight) + sorted_values[upper] * weight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paired_statistical_tests(rows: list[dict[str, Any]], scenario: str) -&gt; dict[str, Any]:</w:t>
        <w:br/>
      </w:r>
      <w:r>
        <w:rPr>
          <w:rFonts w:ascii="Courier New" w:hAnsi="Courier New" w:cs="Courier New"/>
          <w:sz w:val="18"/>
        </w:rPr>
        <w:t xml:space="preserve">    """Paired Wilcoxon signed-rank, Cohen's d, and 95% CI for token reduction in one scenario.</w:t>
        <w:br/>
      </w:r>
      <w:r>
        <w:rPr>
          <w:rFonts w:ascii="Courier New" w:hAnsi="Courier New" w:cs="Courier New"/>
          <w:sz w:val="18"/>
        </w:rPr>
        <w:br/>
      </w:r>
      <w:r>
        <w:rPr>
          <w:rFonts w:ascii="Courier New" w:hAnsi="Courier New" w:cs="Courier New"/>
          <w:sz w:val="18"/>
        </w:rPr>
        <w:t xml:space="preserve">    Matches baseline and registry by query_id, averages over repeats, then runs</w:t>
        <w:br/>
      </w:r>
      <w:r>
        <w:rPr>
          <w:rFonts w:ascii="Courier New" w:hAnsi="Courier New" w:cs="Courier New"/>
          <w:sz w:val="18"/>
        </w:rPr>
        <w:t xml:space="preserve">    paired tests on total_tokens. Returns empty dict if scipy is unavailable or</w:t>
        <w:br/>
      </w:r>
      <w:r>
        <w:rPr>
          <w:rFonts w:ascii="Courier New" w:hAnsi="Courier New" w:cs="Courier New"/>
          <w:sz w:val="18"/>
        </w:rPr>
        <w:t xml:space="preserve">    data is insufficient.</w:t>
        <w:br/>
      </w:r>
      <w:r>
        <w:rPr>
          <w:rFonts w:ascii="Courier New" w:hAnsi="Courier New" w:cs="Courier New"/>
          <w:sz w:val="18"/>
        </w:rPr>
        <w:t xml:space="preserve">    """</w:t>
        <w:br/>
      </w:r>
      <w:r>
        <w:rPr>
          <w:rFonts w:ascii="Courier New" w:hAnsi="Courier New" w:cs="Courier New"/>
          <w:sz w:val="18"/>
        </w:rPr>
        <w:t xml:space="preserve">    if not _SCIPY_AVAILABLE:</w:t>
        <w:br/>
      </w:r>
      <w:r>
        <w:rPr>
          <w:rFonts w:ascii="Courier New" w:hAnsi="Courier New" w:cs="Courier New"/>
          <w:sz w:val="18"/>
        </w:rPr>
        <w:t xml:space="preserve">        return {"error": "scipy not installed"}</w:t>
        <w:br/>
      </w:r>
      <w:r>
        <w:rPr>
          <w:rFonts w:ascii="Courier New" w:hAnsi="Courier New" w:cs="Courier New"/>
          <w:sz w:val="18"/>
        </w:rPr>
        <w:br/>
      </w:r>
      <w:r>
        <w:rPr>
          <w:rFonts w:ascii="Courier New" w:hAnsi="Courier New" w:cs="Courier New"/>
          <w:sz w:val="18"/>
        </w:rPr>
        <w:t xml:space="preserve">    baseline_by_q: dict[str, list[tuple[float, float]]] = {}</w:t>
        <w:br/>
      </w:r>
      <w:r>
        <w:rPr>
          <w:rFonts w:ascii="Courier New" w:hAnsi="Courier New" w:cs="Courier New"/>
          <w:sz w:val="18"/>
        </w:rPr>
        <w:t xml:space="preserve">    registry_by_q: dict[str, list[tuple[float, float]]] = {}</w:t>
        <w:br/>
      </w:r>
      <w:r>
        <w:rPr>
          <w:rFonts w:ascii="Courier New" w:hAnsi="Courier New" w:cs="Courier New"/>
          <w:sz w:val="18"/>
        </w:rPr>
        <w:t xml:space="preserve">    for row in rows:</w:t>
        <w:br/>
      </w:r>
      <w:r>
        <w:rPr>
          <w:rFonts w:ascii="Courier New" w:hAnsi="Courier New" w:cs="Courier New"/>
          <w:sz w:val="18"/>
        </w:rPr>
        <w:t xml:space="preserve">        if row["scenario"] != scenario:</w:t>
        <w:br/>
      </w:r>
      <w:r>
        <w:rPr>
          <w:rFonts w:ascii="Courier New" w:hAnsi="Courier New" w:cs="Courier New"/>
          <w:sz w:val="18"/>
        </w:rPr>
        <w:t xml:space="preserve">            continue</w:t>
        <w:br/>
      </w:r>
      <w:r>
        <w:rPr>
          <w:rFonts w:ascii="Courier New" w:hAnsi="Courier New" w:cs="Courier New"/>
          <w:sz w:val="18"/>
        </w:rPr>
        <w:t xml:space="preserve">        qid = row["query_id"]</w:t>
        <w:br/>
      </w:r>
      <w:r>
        <w:rPr>
          <w:rFonts w:ascii="Courier New" w:hAnsi="Courier New" w:cs="Courier New"/>
          <w:sz w:val="18"/>
        </w:rPr>
        <w:t xml:space="preserve">        tokens = float(row["total_tokens"])</w:t>
        <w:br/>
      </w:r>
      <w:r>
        <w:rPr>
          <w:rFonts w:ascii="Courier New" w:hAnsi="Courier New" w:cs="Courier New"/>
          <w:sz w:val="18"/>
        </w:rPr>
        <w:t xml:space="preserve">        correct = 1.0 if row["is_correct"] else 0.0</w:t>
        <w:br/>
      </w:r>
      <w:r>
        <w:rPr>
          <w:rFonts w:ascii="Courier New" w:hAnsi="Courier New" w:cs="Courier New"/>
          <w:sz w:val="18"/>
        </w:rPr>
        <w:t xml:space="preserve">        if row["mode"] == "baseline":</w:t>
        <w:br/>
      </w:r>
      <w:r>
        <w:rPr>
          <w:rFonts w:ascii="Courier New" w:hAnsi="Courier New" w:cs="Courier New"/>
          <w:sz w:val="18"/>
        </w:rPr>
        <w:t xml:space="preserve">            baseline_by_q.setdefault(qid, []).append((tokens, correct))</w:t>
        <w:br/>
      </w:r>
      <w:r>
        <w:rPr>
          <w:rFonts w:ascii="Courier New" w:hAnsi="Courier New" w:cs="Courier New"/>
          <w:sz w:val="18"/>
        </w:rPr>
        <w:t xml:space="preserve">        elif row["mode"] == "registry":</w:t>
        <w:br/>
      </w:r>
      <w:r>
        <w:rPr>
          <w:rFonts w:ascii="Courier New" w:hAnsi="Courier New" w:cs="Courier New"/>
          <w:sz w:val="18"/>
        </w:rPr>
        <w:t xml:space="preserve">            registry_by_q.setdefault(qid, []).append((tokens, correct))</w:t>
        <w:br/>
      </w:r>
      <w:r>
        <w:rPr>
          <w:rFonts w:ascii="Courier New" w:hAnsi="Courier New" w:cs="Courier New"/>
          <w:sz w:val="18"/>
        </w:rPr>
        <w:br/>
      </w:r>
      <w:r>
        <w:rPr>
          <w:rFonts w:ascii="Courier New" w:hAnsi="Courier New" w:cs="Courier New"/>
          <w:sz w:val="18"/>
        </w:rPr>
        <w:t xml:space="preserve">    common = sorted(set(baseline_by_q) &amp; set(registry_by_q))</w:t>
        <w:br/>
      </w:r>
      <w:r>
        <w:rPr>
          <w:rFonts w:ascii="Courier New" w:hAnsi="Courier New" w:cs="Courier New"/>
          <w:sz w:val="18"/>
        </w:rPr>
        <w:t xml:space="preserve">    n = len(common)</w:t>
        <w:br/>
      </w:r>
      <w:r>
        <w:rPr>
          <w:rFonts w:ascii="Courier New" w:hAnsi="Courier New" w:cs="Courier New"/>
          <w:sz w:val="18"/>
        </w:rPr>
        <w:t xml:space="preserve">    if n &lt; 3:</w:t>
        <w:br/>
      </w:r>
      <w:r>
        <w:rPr>
          <w:rFonts w:ascii="Courier New" w:hAnsi="Courier New" w:cs="Courier New"/>
          <w:sz w:val="18"/>
        </w:rPr>
        <w:t xml:space="preserve">        return {"scenario": scenario, "n_pairs": n, "error": "insufficient paired data (need ≥3)"}</w:t>
        <w:br/>
      </w:r>
      <w:r>
        <w:rPr>
          <w:rFonts w:ascii="Courier New" w:hAnsi="Courier New" w:cs="Courier New"/>
          <w:sz w:val="18"/>
        </w:rPr>
        <w:br/>
      </w:r>
      <w:r>
        <w:rPr>
          <w:rFonts w:ascii="Courier New" w:hAnsi="Courier New" w:cs="Courier New"/>
          <w:sz w:val="18"/>
        </w:rPr>
        <w:t xml:space="preserve">    b_tokens = [statistics.mean(t for t, _ in baseline_by_q[q]) for q in common]</w:t>
        <w:br/>
      </w:r>
      <w:r>
        <w:rPr>
          <w:rFonts w:ascii="Courier New" w:hAnsi="Courier New" w:cs="Courier New"/>
          <w:sz w:val="18"/>
        </w:rPr>
        <w:t xml:space="preserve">    r_tokens = [statistics.mean(t for t, _ in registry_by_q[q]) for q in common]</w:t>
        <w:br/>
      </w:r>
      <w:r>
        <w:rPr>
          <w:rFonts w:ascii="Courier New" w:hAnsi="Courier New" w:cs="Courier New"/>
          <w:sz w:val="18"/>
        </w:rPr>
        <w:t xml:space="preserve">    b_acc = [statistics.mean(c for _, c in baseline_by_q[q]) for q in common]</w:t>
        <w:br/>
      </w:r>
      <w:r>
        <w:rPr>
          <w:rFonts w:ascii="Courier New" w:hAnsi="Courier New" w:cs="Courier New"/>
          <w:sz w:val="18"/>
        </w:rPr>
        <w:t xml:space="preserve">    r_acc = [statistics.mean(c for _, c in registry_by_q[q]) for q in common]</w:t>
        <w:br/>
      </w:r>
      <w:r>
        <w:rPr>
          <w:rFonts w:ascii="Courier New" w:hAnsi="Courier New" w:cs="Courier New"/>
          <w:sz w:val="18"/>
        </w:rPr>
        <w:br/>
      </w:r>
      <w:r>
        <w:rPr>
          <w:rFonts w:ascii="Courier New" w:hAnsi="Courier New" w:cs="Courier New"/>
          <w:sz w:val="18"/>
        </w:rPr>
        <w:t xml:space="preserve">    token_diffs = [b - r for b, r in zip(b_tokens, r_tokens)]  # positive = registry saves tokens</w:t>
        <w:br/>
      </w:r>
      <w:r>
        <w:rPr>
          <w:rFonts w:ascii="Courier New" w:hAnsi="Courier New" w:cs="Courier New"/>
          <w:sz w:val="18"/>
        </w:rPr>
        <w:t xml:space="preserve">    acc_diffs = [r - b for b, r in zip(b_acc, r_acc)]  # positive = registry more accurate</w:t>
        <w:br/>
      </w:r>
      <w:r>
        <w:rPr>
          <w:rFonts w:ascii="Courier New" w:hAnsi="Courier New" w:cs="Courier New"/>
          <w:sz w:val="18"/>
        </w:rPr>
        <w:br/>
      </w:r>
      <w:r>
        <w:rPr>
          <w:rFonts w:ascii="Courier New" w:hAnsi="Courier New" w:cs="Courier New"/>
          <w:sz w:val="18"/>
        </w:rPr>
        <w:t xml:space="preserve">    mean_diff = statistics.mean(token_diffs)</w:t>
        <w:br/>
      </w:r>
      <w:r>
        <w:rPr>
          <w:rFonts w:ascii="Courier New" w:hAnsi="Courier New" w:cs="Courier New"/>
          <w:sz w:val="18"/>
        </w:rPr>
        <w:t xml:space="preserve">    std_diff = statistics.pstdev(token_diffs) if n &gt; 1 else 0.0</w:t>
        <w:br/>
      </w:r>
      <w:r>
        <w:rPr>
          <w:rFonts w:ascii="Courier New" w:hAnsi="Courier New" w:cs="Courier New"/>
          <w:sz w:val="18"/>
        </w:rPr>
        <w:t xml:space="preserve">    cohens_d = mean_diff / std_diff if std_diff &gt; 0 else None</w:t>
        <w:br/>
      </w:r>
      <w:r>
        <w:rPr>
          <w:rFonts w:ascii="Courier New" w:hAnsi="Courier New" w:cs="Courier New"/>
          <w:sz w:val="18"/>
        </w:rPr>
        <w:br/>
      </w:r>
      <w:r>
        <w:rPr>
          <w:rFonts w:ascii="Courier New" w:hAnsi="Courier New" w:cs="Courier New"/>
          <w:sz w:val="18"/>
        </w:rPr>
        <w:t xml:space="preserve">    try:</w:t>
        <w:br/>
      </w:r>
      <w:r>
        <w:rPr>
          <w:rFonts w:ascii="Courier New" w:hAnsi="Courier New" w:cs="Courier New"/>
          <w:sz w:val="18"/>
        </w:rPr>
        <w:t xml:space="preserve">        w_stat, w_p = _scipy_stats.wilcoxon(token_diffs, alternative="greater")</w:t>
        <w:br/>
      </w:r>
      <w:r>
        <w:rPr>
          <w:rFonts w:ascii="Courier New" w:hAnsi="Courier New" w:cs="Courier New"/>
          <w:sz w:val="18"/>
        </w:rPr>
        <w:t xml:space="preserve">    except Exception:</w:t>
        <w:br/>
      </w:r>
      <w:r>
        <w:rPr>
          <w:rFonts w:ascii="Courier New" w:hAnsi="Courier New" w:cs="Courier New"/>
          <w:sz w:val="18"/>
        </w:rPr>
        <w:t xml:space="preserve">        w_stat, w_p = None, None</w:t>
        <w:br/>
      </w:r>
      <w:r>
        <w:rPr>
          <w:rFonts w:ascii="Courier New" w:hAnsi="Courier New" w:cs="Courier New"/>
          <w:sz w:val="18"/>
        </w:rPr>
        <w:br/>
      </w:r>
      <w:r>
        <w:rPr>
          <w:rFonts w:ascii="Courier New" w:hAnsi="Courier New" w:cs="Courier New"/>
          <w:sz w:val="18"/>
        </w:rPr>
        <w:t xml:space="preserve">    se = std_diff / math.sqrt(n) if n &gt; 0 else 0.0</w:t>
        <w:br/>
      </w:r>
      <w:r>
        <w:rPr>
          <w:rFonts w:ascii="Courier New" w:hAnsi="Courier New" w:cs="Courier New"/>
          <w:sz w:val="18"/>
        </w:rPr>
        <w:t xml:space="preserve">    t_crit = _scipy_stats.t.ppf(0.975, df=n - 1) if n &gt; 1 else 1.96</w:t>
        <w:br/>
      </w:r>
      <w:r>
        <w:rPr>
          <w:rFonts w:ascii="Courier New" w:hAnsi="Courier New" w:cs="Courier New"/>
          <w:sz w:val="18"/>
        </w:rPr>
        <w:t xml:space="preserve">    ci_lower = mean_diff - t_crit * se</w:t>
        <w:br/>
      </w:r>
      <w:r>
        <w:rPr>
          <w:rFonts w:ascii="Courier New" w:hAnsi="Courier New" w:cs="Courier New"/>
          <w:sz w:val="18"/>
        </w:rPr>
        <w:t xml:space="preserve">    ci_upper = mean_diff + t_crit * se</w:t>
        <w:br/>
      </w:r>
      <w:r>
        <w:rPr>
          <w:rFonts w:ascii="Courier New" w:hAnsi="Courier New" w:cs="Courier New"/>
          <w:sz w:val="18"/>
        </w:rPr>
        <w:br/>
      </w:r>
      <w:r>
        <w:rPr>
          <w:rFonts w:ascii="Courier New" w:hAnsi="Courier New" w:cs="Courier New"/>
          <w:sz w:val="18"/>
        </w:rPr>
        <w:t xml:space="preserve">    mean_acc_diff = statistics.mean(acc_diffs)</w:t>
        <w:br/>
      </w:r>
      <w:r>
        <w:rPr>
          <w:rFonts w:ascii="Courier New" w:hAnsi="Courier New" w:cs="Courier New"/>
          <w:sz w:val="18"/>
        </w:rPr>
        <w:t xml:space="preserve">    std_acc_diff = statistics.pstdev(acc_diffs) if n &gt; 1 else 0.0</w:t>
        <w:br/>
      </w:r>
      <w:r>
        <w:rPr>
          <w:rFonts w:ascii="Courier New" w:hAnsi="Courier New" w:cs="Courier New"/>
          <w:sz w:val="18"/>
        </w:rPr>
        <w:t xml:space="preserve">    try:</w:t>
        <w:br/>
      </w:r>
      <w:r>
        <w:rPr>
          <w:rFonts w:ascii="Courier New" w:hAnsi="Courier New" w:cs="Courier New"/>
          <w:sz w:val="18"/>
        </w:rPr>
        <w:t xml:space="preserve">        _, acc_p = _scipy_stats.wilcoxon(acc_diffs, alternative="greater")</w:t>
        <w:br/>
      </w:r>
      <w:r>
        <w:rPr>
          <w:rFonts w:ascii="Courier New" w:hAnsi="Courier New" w:cs="Courier New"/>
          <w:sz w:val="18"/>
        </w:rPr>
        <w:t xml:space="preserve">    except Exception:</w:t>
        <w:br/>
      </w:r>
      <w:r>
        <w:rPr>
          <w:rFonts w:ascii="Courier New" w:hAnsi="Courier New" w:cs="Courier New"/>
          <w:sz w:val="18"/>
        </w:rPr>
        <w:t xml:space="preserve">        acc_p = None</w:t>
        <w:br/>
      </w:r>
      <w:r>
        <w:rPr>
          <w:rFonts w:ascii="Courier New" w:hAnsi="Courier New" w:cs="Courier New"/>
          <w:sz w:val="18"/>
        </w:rPr>
        <w:br/>
      </w:r>
      <w:r>
        <w:rPr>
          <w:rFonts w:ascii="Courier New" w:hAnsi="Courier New" w:cs="Courier New"/>
          <w:sz w:val="18"/>
        </w:rPr>
        <w:t xml:space="preserve">    return {</w:t>
        <w:br/>
      </w:r>
      <w:r>
        <w:rPr>
          <w:rFonts w:ascii="Courier New" w:hAnsi="Courier New" w:cs="Courier New"/>
          <w:sz w:val="18"/>
        </w:rPr>
        <w:t xml:space="preserve">        "scenario": scenario,</w:t>
        <w:br/>
      </w:r>
      <w:r>
        <w:rPr>
          <w:rFonts w:ascii="Courier New" w:hAnsi="Courier New" w:cs="Courier New"/>
          <w:sz w:val="18"/>
        </w:rPr>
        <w:t xml:space="preserve">        "n_pairs": n,</w:t>
        <w:br/>
      </w:r>
      <w:r>
        <w:rPr>
          <w:rFonts w:ascii="Courier New" w:hAnsi="Courier New" w:cs="Courier New"/>
          <w:sz w:val="18"/>
        </w:rPr>
        <w:t xml:space="preserve">        "token_reduction_mean": round(mean_diff, 2),</w:t>
        <w:br/>
      </w:r>
      <w:r>
        <w:rPr>
          <w:rFonts w:ascii="Courier New" w:hAnsi="Courier New" w:cs="Courier New"/>
          <w:sz w:val="18"/>
        </w:rPr>
        <w:t xml:space="preserve">        "token_reduction_ci95_lower": round(ci_lower, 2),</w:t>
        <w:br/>
      </w:r>
      <w:r>
        <w:rPr>
          <w:rFonts w:ascii="Courier New" w:hAnsi="Courier New" w:cs="Courier New"/>
          <w:sz w:val="18"/>
        </w:rPr>
        <w:t xml:space="preserve">        "token_reduction_ci95_upper": round(ci_upper, 2),</w:t>
        <w:br/>
      </w:r>
      <w:r>
        <w:rPr>
          <w:rFonts w:ascii="Courier New" w:hAnsi="Courier New" w:cs="Courier New"/>
          <w:sz w:val="18"/>
        </w:rPr>
        <w:t xml:space="preserve">        "wilcoxon_token_stat": round(w_stat, 4) if w_stat is not None else None,</w:t>
        <w:br/>
      </w:r>
      <w:r>
        <w:rPr>
          <w:rFonts w:ascii="Courier New" w:hAnsi="Courier New" w:cs="Courier New"/>
          <w:sz w:val="18"/>
        </w:rPr>
        <w:t xml:space="preserve">        "wilcoxon_token_p": round(w_p, 6) if w_p is not None else None,</w:t>
        <w:br/>
      </w:r>
      <w:r>
        <w:rPr>
          <w:rFonts w:ascii="Courier New" w:hAnsi="Courier New" w:cs="Courier New"/>
          <w:sz w:val="18"/>
        </w:rPr>
        <w:t xml:space="preserve">        "cohens_d_tokens": round(cohens_d, 4) if cohens_d is not None else None,</w:t>
        <w:br/>
      </w:r>
      <w:r>
        <w:rPr>
          <w:rFonts w:ascii="Courier New" w:hAnsi="Courier New" w:cs="Courier New"/>
          <w:sz w:val="18"/>
        </w:rPr>
        <w:t xml:space="preserve">        "accuracy_improvement_mean": round(mean_acc_diff, 4),</w:t>
        <w:br/>
      </w:r>
      <w:r>
        <w:rPr>
          <w:rFonts w:ascii="Courier New" w:hAnsi="Courier New" w:cs="Courier New"/>
          <w:sz w:val="18"/>
        </w:rPr>
        <w:t xml:space="preserve">        "accuracy_improvement_std": round(std_acc_diff, 4),</w:t>
        <w:br/>
      </w:r>
      <w:r>
        <w:rPr>
          <w:rFonts w:ascii="Courier New" w:hAnsi="Courier New" w:cs="Courier New"/>
          <w:sz w:val="18"/>
        </w:rPr>
        <w:t xml:space="preserve">        "wilcoxon_accuracy_p": round(acc_p, 6) if acc_p is not None else None,</w:t>
        <w:br/>
      </w:r>
      <w:r>
        <w:rPr>
          <w:rFonts w:ascii="Courier New" w:hAnsi="Courier New" w:cs="Courier New"/>
          <w:sz w:val="18"/>
        </w:rPr>
        <w:t xml:space="preserve">    }</w:t>
        <w:br/>
      </w:r>
      <w:r>
        <w:rPr>
          <w:rFonts w:ascii="Courier New" w:hAnsi="Courier New" w:cs="Courier New"/>
          <w:sz w:val="18"/>
        </w:rPr>
        <w:br/>
      </w:r>
      <w:r>
        <w:rPr>
          <w:rFonts w:ascii="Courier New" w:hAnsi="Courier New" w:cs="Courier New"/>
          <w:sz w:val="18"/>
        </w:rPr>
        <w:br/>
      </w:r>
      <w:r>
        <w:rPr>
          <w:rFonts w:ascii="Courier New" w:hAnsi="Courier New" w:cs="Courier New"/>
          <w:sz w:val="18"/>
        </w:rPr>
        <w:t>def all_statistical_tests(rows: list[dict[str, Any]]) -&gt; list[dict[str, Any]]:</w:t>
        <w:br/>
      </w:r>
      <w:r>
        <w:rPr>
          <w:rFonts w:ascii="Courier New" w:hAnsi="Courier New" w:cs="Courier New"/>
          <w:sz w:val="18"/>
        </w:rPr>
        <w:t xml:space="preserve">    """Run paired_statistical_tests for every scenario that has both baseline and registry data."""</w:t>
        <w:br/>
      </w:r>
      <w:r>
        <w:rPr>
          <w:rFonts w:ascii="Courier New" w:hAnsi="Courier New" w:cs="Courier New"/>
          <w:sz w:val="18"/>
        </w:rPr>
        <w:t xml:space="preserve">    scenarios_with_both: set[str] = set()</w:t>
        <w:br/>
      </w:r>
      <w:r>
        <w:rPr>
          <w:rFonts w:ascii="Courier New" w:hAnsi="Courier New" w:cs="Courier New"/>
          <w:sz w:val="18"/>
        </w:rPr>
        <w:t xml:space="preserve">    scenarios_baseline: set[str] = set()</w:t>
        <w:br/>
      </w:r>
      <w:r>
        <w:rPr>
          <w:rFonts w:ascii="Courier New" w:hAnsi="Courier New" w:cs="Courier New"/>
          <w:sz w:val="18"/>
        </w:rPr>
        <w:t xml:space="preserve">    scenarios_registry: set[str] = set()</w:t>
        <w:br/>
      </w:r>
      <w:r>
        <w:rPr>
          <w:rFonts w:ascii="Courier New" w:hAnsi="Courier New" w:cs="Courier New"/>
          <w:sz w:val="18"/>
        </w:rPr>
        <w:t xml:space="preserve">    for row in rows:</w:t>
        <w:br/>
      </w:r>
      <w:r>
        <w:rPr>
          <w:rFonts w:ascii="Courier New" w:hAnsi="Courier New" w:cs="Courier New"/>
          <w:sz w:val="18"/>
        </w:rPr>
        <w:t xml:space="preserve">        if row["mode"] == "baseline":</w:t>
        <w:br/>
      </w:r>
      <w:r>
        <w:rPr>
          <w:rFonts w:ascii="Courier New" w:hAnsi="Courier New" w:cs="Courier New"/>
          <w:sz w:val="18"/>
        </w:rPr>
        <w:t xml:space="preserve">            scenarios_baseline.add(row["scenario"])</w:t>
        <w:br/>
      </w:r>
      <w:r>
        <w:rPr>
          <w:rFonts w:ascii="Courier New" w:hAnsi="Courier New" w:cs="Courier New"/>
          <w:sz w:val="18"/>
        </w:rPr>
        <w:t xml:space="preserve">        elif row["mode"] == "registry":</w:t>
        <w:br/>
      </w:r>
      <w:r>
        <w:rPr>
          <w:rFonts w:ascii="Courier New" w:hAnsi="Courier New" w:cs="Courier New"/>
          <w:sz w:val="18"/>
        </w:rPr>
        <w:t xml:space="preserve">            scenarios_registry.add(row["scenario"])</w:t>
        <w:br/>
      </w:r>
      <w:r>
        <w:rPr>
          <w:rFonts w:ascii="Courier New" w:hAnsi="Courier New" w:cs="Courier New"/>
          <w:sz w:val="18"/>
        </w:rPr>
        <w:t xml:space="preserve">    scenarios_with_both = scenarios_baseline &amp; scenarios_registry</w:t>
        <w:br/>
      </w:r>
      <w:r>
        <w:rPr>
          <w:rFonts w:ascii="Courier New" w:hAnsi="Courier New" w:cs="Courier New"/>
          <w:sz w:val="18"/>
        </w:rPr>
        <w:t xml:space="preserve">    return [paired_statistical_tests(rows, s) for s in sorted(scenarios_with_both)]</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summarize(rows: list[dict[str, Any]]) -&gt; list[dict[str, Any]]:</w:t>
        <w:br/>
      </w:r>
      <w:r>
        <w:rPr>
          <w:rFonts w:ascii="Courier New" w:hAnsi="Courier New" w:cs="Courier New"/>
          <w:sz w:val="18"/>
        </w:rPr>
        <w:t xml:space="preserve">    grouped: dict[tuple[str, str], list[dict[str, Any]]] = {}</w:t>
        <w:br/>
      </w:r>
      <w:r>
        <w:rPr>
          <w:rFonts w:ascii="Courier New" w:hAnsi="Courier New" w:cs="Courier New"/>
          <w:sz w:val="18"/>
        </w:rPr>
        <w:t xml:space="preserve">    for row in rows:</w:t>
        <w:br/>
      </w:r>
      <w:r>
        <w:rPr>
          <w:rFonts w:ascii="Courier New" w:hAnsi="Courier New" w:cs="Courier New"/>
          <w:sz w:val="18"/>
        </w:rPr>
        <w:t xml:space="preserve">        grouped.setdefault((row["scenario"], row["mode"]), []).append(row)</w:t>
        <w:br/>
      </w:r>
      <w:r>
        <w:rPr>
          <w:rFonts w:ascii="Courier New" w:hAnsi="Courier New" w:cs="Courier New"/>
          <w:sz w:val="18"/>
        </w:rPr>
        <w:br/>
      </w:r>
      <w:r>
        <w:rPr>
          <w:rFonts w:ascii="Courier New" w:hAnsi="Courier New" w:cs="Courier New"/>
          <w:sz w:val="18"/>
        </w:rPr>
        <w:t xml:space="preserve">    summary: list[dict[str, Any]] = []</w:t>
        <w:br/>
      </w:r>
      <w:r>
        <w:rPr>
          <w:rFonts w:ascii="Courier New" w:hAnsi="Courier New" w:cs="Courier New"/>
          <w:sz w:val="18"/>
        </w:rPr>
        <w:t xml:space="preserve">    for (scenario, mode), items in sorted(grouped.items()):</w:t>
        <w:br/>
      </w:r>
      <w:r>
        <w:rPr>
          <w:rFonts w:ascii="Courier New" w:hAnsi="Courier New" w:cs="Courier New"/>
          <w:sz w:val="18"/>
        </w:rPr>
        <w:t xml:space="preserve">        latencies = [float(item["latency_ms"]) for item in items]</w:t>
        <w:br/>
      </w:r>
      <w:r>
        <w:rPr>
          <w:rFonts w:ascii="Courier New" w:hAnsi="Courier New" w:cs="Courier New"/>
          <w:sz w:val="18"/>
        </w:rPr>
        <w:t xml:space="preserve">        tokens = [float(item["total_tokens"]) for item in items]</w:t>
        <w:br/>
      </w:r>
      <w:r>
        <w:rPr>
          <w:rFonts w:ascii="Courier New" w:hAnsi="Courier New" w:cs="Courier New"/>
          <w:sz w:val="18"/>
        </w:rPr>
        <w:t xml:space="preserve">        correct = [1.0 if item["is_correct"] else 0.0 for item in items]</w:t>
        <w:br/>
      </w:r>
      <w:r>
        <w:rPr>
          <w:rFonts w:ascii="Courier New" w:hAnsi="Courier New" w:cs="Courier New"/>
          <w:sz w:val="18"/>
        </w:rPr>
        <w:t xml:space="preserve">        n = len(items)</w:t>
        <w:br/>
      </w:r>
      <w:r>
        <w:rPr>
          <w:rFonts w:ascii="Courier New" w:hAnsi="Courier New" w:cs="Courier New"/>
          <w:sz w:val="18"/>
        </w:rPr>
        <w:t xml:space="preserve">        summary.append(</w:t>
        <w:br/>
      </w:r>
      <w:r>
        <w:rPr>
          <w:rFonts w:ascii="Courier New" w:hAnsi="Courier New" w:cs="Courier New"/>
          <w:sz w:val="18"/>
        </w:rPr>
        <w:t xml:space="preserve">            {</w:t>
        <w:br/>
      </w:r>
      <w:r>
        <w:rPr>
          <w:rFonts w:ascii="Courier New" w:hAnsi="Courier New" w:cs="Courier New"/>
          <w:sz w:val="18"/>
        </w:rPr>
        <w:t xml:space="preserve">                "scenario": scenario,</w:t>
        <w:br/>
      </w:r>
      <w:r>
        <w:rPr>
          <w:rFonts w:ascii="Courier New" w:hAnsi="Courier New" w:cs="Courier New"/>
          <w:sz w:val="18"/>
        </w:rPr>
        <w:t xml:space="preserve">                "mode": mode,</w:t>
        <w:br/>
      </w:r>
      <w:r>
        <w:rPr>
          <w:rFonts w:ascii="Courier New" w:hAnsi="Courier New" w:cs="Courier New"/>
          <w:sz w:val="18"/>
        </w:rPr>
        <w:t xml:space="preserve">                "total_tools": items[0]["total_tools"],</w:t>
        <w:br/>
      </w:r>
      <w:r>
        <w:rPr>
          <w:rFonts w:ascii="Courier New" w:hAnsi="Courier New" w:cs="Courier New"/>
          <w:sz w:val="18"/>
        </w:rPr>
        <w:t xml:space="preserve">                "avg_visible_tools": round(statistics.mean(item["visible_tools"] for item in items), 3),</w:t>
        <w:br/>
      </w:r>
      <w:r>
        <w:rPr>
          <w:rFonts w:ascii="Courier New" w:hAnsi="Courier New" w:cs="Courier New"/>
          <w:sz w:val="18"/>
        </w:rPr>
        <w:t xml:space="preserve">                "avg_total_tokens": round(statistics.mean(tokens), 3),</w:t>
        <w:br/>
      </w:r>
      <w:r>
        <w:rPr>
          <w:rFonts w:ascii="Courier New" w:hAnsi="Courier New" w:cs="Courier New"/>
          <w:sz w:val="18"/>
        </w:rPr>
        <w:t xml:space="preserve">                "std_total_tokens": round(statistics.pstdev(tokens), 3) if n &gt; 1 else 0.0,</w:t>
        <w:br/>
      </w:r>
      <w:r>
        <w:rPr>
          <w:rFonts w:ascii="Courier New" w:hAnsi="Courier New" w:cs="Courier New"/>
          <w:sz w:val="18"/>
        </w:rPr>
        <w:t xml:space="preserve">                "accuracy": round(statistics.mean(correct), 4),</w:t>
        <w:br/>
      </w:r>
      <w:r>
        <w:rPr>
          <w:rFonts w:ascii="Courier New" w:hAnsi="Courier New" w:cs="Courier New"/>
          <w:sz w:val="18"/>
        </w:rPr>
        <w:t xml:space="preserve">                "std_accuracy": round(statistics.pstdev(correct), 4) if n &gt; 1 else 0.0,</w:t>
        <w:br/>
      </w:r>
      <w:r>
        <w:rPr>
          <w:rFonts w:ascii="Courier New" w:hAnsi="Courier New" w:cs="Courier New"/>
          <w:sz w:val="18"/>
        </w:rPr>
        <w:t xml:space="preserve">                "latency_p50_ms": round(percentile(latencies, 0.50), 3),</w:t>
        <w:br/>
      </w:r>
      <w:r>
        <w:rPr>
          <w:rFonts w:ascii="Courier New" w:hAnsi="Courier New" w:cs="Courier New"/>
          <w:sz w:val="18"/>
        </w:rPr>
        <w:t xml:space="preserve">                "latency_p95_ms": round(percentile(latencies, 0.95), 3),</w:t>
        <w:br/>
      </w:r>
      <w:r>
        <w:rPr>
          <w:rFonts w:ascii="Courier New" w:hAnsi="Courier New" w:cs="Courier New"/>
          <w:sz w:val="18"/>
        </w:rPr>
        <w:t xml:space="preserve">                "latency_mean_ms": round(statistics.mean(latencies), 3),</w:t>
        <w:br/>
      </w:r>
      <w:r>
        <w:rPr>
          <w:rFonts w:ascii="Courier New" w:hAnsi="Courier New" w:cs="Courier New"/>
          <w:sz w:val="18"/>
        </w:rPr>
        <w:t xml:space="preserve">                "std_latency_ms": round(statistics.pstdev(latencies), 3) if n &gt; 1 else 0.0,</w:t>
        <w:br/>
      </w:r>
      <w:r>
        <w:rPr>
          <w:rFonts w:ascii="Courier New" w:hAnsi="Courier New" w:cs="Courier New"/>
          <w:sz w:val="18"/>
        </w:rPr>
        <w:t xml:space="preserve">                "registry_memory_bytes": max(item["registry_memory_bytes"] for item in items),</w:t>
        <w:br/>
      </w:r>
      <w:r>
        <w:rPr>
          <w:rFonts w:ascii="Courier New" w:hAnsi="Courier New" w:cs="Courier New"/>
          <w:sz w:val="18"/>
        </w:rPr>
        <w:t xml:space="preserve">                "runs": n,</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return summary</w:t>
        <w:br/>
      </w:r>
      <w:r>
        <w:rPr>
          <w:rFonts w:ascii="Courier New" w:hAnsi="Courier New" w:cs="Courier New"/>
          <w:sz w:val="18"/>
        </w:rPr>
      </w:r>
    </w:p>
    <w:p>
      <w:pPr>
        <w:pStyle w:val="Heading2"/>
      </w:pPr>
      <w:r>
        <w:t>Lampiran E: Bukti Similarity Check Turnitin (≤30%)</w:t>
      </w:r>
    </w:p>
    <w:p>
      <w:pPr>
        <w:jc w:val="both"/>
      </w:pPr>
      <w:r>
        <w:t>Pemeriksaan kemiripan (</w:t>
      </w:r>
      <w:r>
        <w:rPr>
          <w:i/>
        </w:rPr>
        <w:t>similarity check</w:t>
      </w:r>
      <w:r>
        <w:t>) dilakukan menggunakan Turnitin atas naskah final Bab I–V. Bukti berupa halaman ringkasan Turnitin (</w:t>
      </w:r>
      <w:r>
        <w:rPr>
          <w:i/>
        </w:rPr>
        <w:t>similarity report</w:t>
      </w:r>
      <w:r>
        <w:t>) dengan skor kemiripan maksimal 30% dilampirkan pada versi cetak setelah naskah dinyatakan final oleh dosen pembimbing.</w:t>
      </w:r>
    </w:p>
    <w:p>
      <w:pPr>
        <w:jc w:val="center"/>
      </w:pPr>
      <w:r>
        <w:rPr>
          <w:i/>
        </w:rPr>
        <w:t>[Lampiran bukti Turnitin disisipkan pada tahap finalisasi naskah]</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