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jc w:val="both"/>
      </w:pPr>
      <w:r>
        <w:rPr>
          <w:i/>
        </w:rPr>
        <w:t>[PLACEHOLDER — abstrak final ditulis setelah Bab IV selesai. Abstrak wajib dwibahasa (Indonesia &amp; Inggris), maksimal 200 kata per bahasa, satu paragraf, memuat: latar belakang, tujuan, metode, hasil (temuan baru), dan implikasi. Tidak boleh mengacu pustaka, gambar, atau tabel.]</w:t>
      </w:r>
    </w:p>
    <w:p>
      <w:pPr>
        <w:spacing w:after="0"/>
        <w:jc w:val="center"/>
      </w:pPr>
      <w:r>
        <w:rPr>
          <w:b w:val="0"/>
          <w:i w:val="0"/>
          <w:sz w:val="24"/>
        </w:rPr>
      </w:r>
    </w:p>
    <w:p>
      <w:pPr>
        <w:spacing w:line="240" w:lineRule="auto"/>
      </w:pPr>
      <w:r>
        <w:rPr>
          <w:b/>
        </w:rPr>
        <w:t xml:space="preserve">Kata Kunci : </w:t>
      </w:r>
      <w:r>
        <w:rPr>
          <w:i/>
        </w:rPr>
        <w:t>[maksimal 5 kata/frasa, urut abjad]</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Terisi otomatis dari caption ber-SEQ; di Word tekan Ctrl+A lalu F9.</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Terisi otomatis dari caption ber-SEQ; di Word tekan Ctrl+A lalu F9.</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pPr>
        <w:keepNext/>
        <w:spacing w:before="240"/>
      </w:pPr>
      <w:r>
        <w:rPr>
          <w:b/>
        </w:rPr>
        <w:t>Referensi Bab I</w:t>
      </w:r>
    </w:p>
    <w:p>
      <w:pPr>
        <w:keepLines/>
        <w:spacing w:after="120"/>
        <w:ind w:left="567" w:hanging="567"/>
        <w:jc w:val="both"/>
      </w:pPr>
      <w:r>
        <w:t>[1] OpenAI, "Function calling," OpenAI Developer Documentation, Jun. 2023. [Online]. Tersedia: https://platform.openai.com/docs/guides/function-calling</w:t>
      </w:r>
    </w:p>
    <w:p>
      <w:pPr>
        <w:keepLines/>
        <w:spacing w:after="120"/>
        <w:ind w:left="567" w:hanging="567"/>
        <w:jc w:val="both"/>
      </w:pPr>
      <w:r>
        <w:t>[2] Google DeepMind, "Gemini API function calling," Google AI Developer Documentation, 2024. [Online]. Tersedia: https://ai.google.dev/gemini-api/docs/function-calling</w:t>
      </w:r>
    </w:p>
    <w:p>
      <w:pPr>
        <w:keepLines/>
        <w:spacing w:after="120"/>
        <w:ind w:left="567" w:hanging="567"/>
        <w:jc w:val="both"/>
      </w:pPr>
      <w:r>
        <w:t xml:space="preserve">[3] T. Schick, J. Dwivedi-Yu, R. Dessi, R. Raileanu, M. Lomeli, E. Hambro, L. Zettlemoyer, N. Cancedda, dan T. Scialom, "Toolformer: Language models can teach themselves to use tools," in </w:t>
      </w:r>
      <w:r>
        <w:rPr>
          <w:i/>
        </w:rPr>
        <w:t>Proc. Adv. Neural Inf. Process. Syst. (NeurIPS)</w:t>
      </w:r>
      <w:r>
        <w:t>, 2023.</w:t>
      </w:r>
    </w:p>
    <w:p>
      <w:pPr>
        <w:keepLines/>
        <w:spacing w:after="120"/>
        <w:ind w:left="567" w:hanging="567"/>
        <w:jc w:val="both"/>
      </w:pPr>
      <w:r>
        <w:t xml:space="preserve">[4]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"How long contexts hurt AI performance," </w:t>
      </w:r>
      <w:r>
        <w:rPr>
          <w:i/>
        </w:rPr>
        <w:t>Understanding AI</w:t>
      </w:r>
      <w:r>
        <w:t xml:space="preserve"> (Newsletter), Nov. 2025. [Online]. Tersedia: https://www.understandingai.org/p/how-long-contexts-hurt-ai-performance</w:t>
      </w:r>
    </w:p>
    <w:p>
      <w:pPr>
        <w:keepLines/>
        <w:spacing w:after="120"/>
        <w:ind w:left="567" w:hanging="567"/>
        <w:jc w:val="both"/>
      </w:pPr>
      <w:r>
        <w:t xml:space="preserve">[7] P. Rajasekaran, E. Dixon, C. Ryan, dan J. Hadfield, "Effective context engineering for AI agents," </w:t>
      </w:r>
      <w:r>
        <w:rPr>
          <w:i/>
        </w:rPr>
        <w:t>Anthropic Engineering Blog</w:t>
      </w:r>
      <w:r>
        <w:t>, Sep. 2025.</w:t>
      </w:r>
    </w:p>
    <w:p>
      <w:pPr>
        <w:keepLines/>
        <w:spacing w:after="120"/>
        <w:ind w:left="567" w:hanging="567"/>
        <w:jc w:val="both"/>
      </w:pPr>
      <w:r>
        <w:t xml:space="preserve">[8]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[9]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[10] E. Lumer, "Toolshed: Scale tool-equipped agents with advanced RAG-tool fusion and tool knowledge bases," arXiv:2410.14594, 2024.</w:t>
      </w:r>
    </w:p>
    <w:p>
      <w:pPr>
        <w:keepLines/>
        <w:spacing w:after="120"/>
        <w:ind w:left="567" w:hanging="567"/>
        <w:jc w:val="both"/>
      </w:pPr>
      <w:r>
        <w:t>[11] N. Gaurav, A. Akarsh, A. Ranjan, dan M. Bajaj, "Dynamic ReAct: Scalable tool selection for large-scale MCP environments," arXiv:2509.20386, 2025.</w:t>
      </w:r>
    </w:p>
    <w:p>
      <w:pPr>
        <w:keepLines/>
        <w:spacing w:after="120"/>
        <w:ind w:left="567" w:hanging="567"/>
        <w:jc w:val="both"/>
      </w:pPr>
      <w:r>
        <w:t xml:space="preserve">[12] J. Jia dan Q. Li, "AutoTool: Efficient tool selection for large language model agents," in </w:t>
      </w:r>
      <w:r>
        <w:rPr>
          <w:i/>
        </w:rPr>
        <w:t>Proc. AAAI Conf. Artif. Intell. (AAAI)</w:t>
      </w:r>
      <w:r>
        <w:t>, 2026. arXiv:2511.14650.</w:t>
      </w:r>
    </w:p>
    <w:p>
      <w:pPr>
        <w:keepLines/>
        <w:spacing w:after="120"/>
        <w:ind w:left="567" w:hanging="567"/>
        <w:jc w:val="both"/>
      </w:pPr>
      <w:r>
        <w:t xml:space="preserve">[13] W. Wang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[14] P. CN, "Build scalable AI agent systems using Amazon Bedrock agent registry," </w:t>
      </w:r>
      <w:r>
        <w:rPr>
          <w:i/>
        </w:rPr>
        <w:t>AWS Machine Learning Blog</w:t>
      </w:r>
      <w:r>
        <w:t>, Apr. 2026.</w:t>
      </w:r>
    </w:p>
    <w:p>
      <w:pPr>
        <w:keepLines/>
        <w:spacing w:after="120"/>
        <w:ind w:left="567" w:hanging="567"/>
        <w:jc w:val="both"/>
      </w:pPr>
      <w:r>
        <w:t xml:space="preserve">[15] A.R. Hevner, S.T. March, J. Park, dan S. Ram, "Design science in information systems research," </w:t>
      </w:r>
      <w:r>
        <w:rPr>
          <w:i/>
        </w:rPr>
        <w:t>MIS Quarterly</w:t>
      </w:r>
      <w:r>
        <w:t>, vol. 28, no. 1, pp. 75–105, Mar. 2004.</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[1]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[2].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[3].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[4],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[8]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[9]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[10]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[11]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[12]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[13]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[14]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[15]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[16]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[17],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[18] menyediakan manajemen metadata, kendali akses berbasis IAM, pelacakan siklus hidup, dan </w:t>
      </w:r>
      <w:r>
        <w:rPr>
          <w:i/>
        </w:rPr>
        <w:t>hybrid search</w:t>
      </w:r>
      <w:r>
        <w:t xml:space="preserve"> (kata kunci + semantik). Pada tataran konseptual, TrueFoundry [19]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[20]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[21],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[22].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 ARABIC \s 1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[23],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 ARABIC \s 1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[11]</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[12]</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[14]</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[15]</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[18]</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pPr>
        <w:keepNext/>
        <w:spacing w:before="240"/>
      </w:pPr>
      <w:r>
        <w:rPr>
          <w:b/>
        </w:rPr>
        <w:t>Referensi Bab II</w:t>
      </w:r>
    </w:p>
    <w:p>
      <w:pPr>
        <w:keepLines/>
        <w:spacing w:after="120"/>
        <w:ind w:left="567" w:hanging="567"/>
        <w:jc w:val="both"/>
      </w:pPr>
      <w:r>
        <w:t xml:space="preserve">[1] T. Schick, J. Dwivedi-Yu, R. Dessi, R. Raileanu, M. Lomeli, E. Hambro, L. Zettlemoyer, N. Cancedda, dan T. Scialom, "Toolformer: Language models can teach themselves to use tools," in </w:t>
      </w:r>
      <w:r>
        <w:rPr>
          <w:i/>
        </w:rPr>
        <w:t>Proc. Adv. Neural Inf. Process. Syst. (NeurIPS)</w:t>
      </w:r>
      <w:r>
        <w:t>, 2023. arXiv:2302.04761.</w:t>
      </w:r>
    </w:p>
    <w:p>
      <w:pPr>
        <w:keepLines/>
        <w:spacing w:after="120"/>
        <w:ind w:left="567" w:hanging="567"/>
        <w:jc w:val="both"/>
      </w:pPr>
      <w:r>
        <w:t xml:space="preserve">[2]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[3] OpenAI, "Function calling and other API updates," </w:t>
      </w:r>
      <w:r>
        <w:rPr>
          <w:i/>
        </w:rPr>
        <w:t>OpenAI Blog</w:t>
      </w:r>
      <w:r>
        <w:t>, Jun. 2023. [Online]. Tersedia: https://openai.com/index/function-calling-and-other-api-updates/</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"Context rot: The emerging challenge that could hold back LLM progress," </w:t>
      </w:r>
      <w:r>
        <w:rPr>
          <w:i/>
        </w:rPr>
        <w:t>Understanding AI</w:t>
      </w:r>
      <w:r>
        <w:t xml:space="preserve"> (Newsletter), Nov. 2025. [Online]. Tersedia: https://www.understandingai.org/p/context-rot-the-emerging-challenge</w:t>
      </w:r>
    </w:p>
    <w:p>
      <w:pPr>
        <w:keepLines/>
        <w:spacing w:after="120"/>
        <w:ind w:left="567" w:hanging="567"/>
        <w:jc w:val="both"/>
      </w:pPr>
      <w:r>
        <w:t>[7] Anonymous, "Context length alone hurts LLM performance despite perfect retrieval," arXiv:2510.05381, 2025.</w:t>
      </w:r>
    </w:p>
    <w:p>
      <w:pPr>
        <w:keepLines/>
        <w:spacing w:after="120"/>
        <w:ind w:left="567" w:hanging="567"/>
        <w:jc w:val="both"/>
      </w:pPr>
      <w:r>
        <w:t xml:space="preserve">[8] P. Rajasekaran, E. Dixon, C. Ryan, dan J. Hadfield, "Effective context engineering for AI agents," </w:t>
      </w:r>
      <w:r>
        <w:rPr>
          <w:i/>
        </w:rPr>
        <w:t>Anthropic Engineering Blog</w:t>
      </w:r>
      <w:r>
        <w:t>, Sep. 2025.</w:t>
      </w:r>
    </w:p>
    <w:p>
      <w:pPr>
        <w:keepLines/>
        <w:spacing w:after="120"/>
        <w:ind w:left="567" w:hanging="567"/>
        <w:jc w:val="both"/>
      </w:pPr>
      <w:r>
        <w:t xml:space="preserve">[9]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[10]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[11] E. Lumer, "Toolshed: Scale tool-equipped agents with advanced RAG-tool fusion and tool knowledge bases," arXiv:2410.14594, 2024.</w:t>
      </w:r>
    </w:p>
    <w:p>
      <w:pPr>
        <w:keepLines/>
        <w:spacing w:after="120"/>
        <w:ind w:left="567" w:hanging="567"/>
        <w:jc w:val="both"/>
      </w:pPr>
      <w:r>
        <w:t xml:space="preserve">[12] Y. Qu et al., "Towards completeness-oriented tool retrieval for large language models," in </w:t>
      </w:r>
      <w:r>
        <w:rPr>
          <w:i/>
        </w:rPr>
        <w:t>Proc. ACM Int. Conf. Inf. Knowl. Manag. (CIKM)</w:t>
      </w:r>
      <w:r>
        <w:t>, 2024. arXiv:2405.16089.</w:t>
      </w:r>
    </w:p>
    <w:p>
      <w:pPr>
        <w:keepLines/>
        <w:spacing w:after="120"/>
        <w:ind w:left="567" w:hanging="567"/>
        <w:jc w:val="both"/>
      </w:pPr>
      <w:r>
        <w:t xml:space="preserve">[13] S.G. Patil et al., "The Berkeley function calling leaderboard (BFCL): From tool use to agentic evaluation of large language models," in </w:t>
      </w:r>
      <w:r>
        <w:rPr>
          <w:i/>
        </w:rPr>
        <w:t>Proc. Int. Conf. Mach. Learn. (ICML)</w:t>
      </w:r>
      <w:r>
        <w:t>, 2025.</w:t>
      </w:r>
    </w:p>
    <w:p>
      <w:pPr>
        <w:keepLines/>
        <w:spacing w:after="120"/>
        <w:ind w:left="567" w:hanging="567"/>
        <w:jc w:val="both"/>
      </w:pPr>
      <w:r>
        <w:t>[14] N. Gaurav, A. Akarsh, A. Ranjan, dan M. Bajaj, "Dynamic ReAct: Scalable tool selection for large-scale MCP environments," arXiv:2509.20386, 2025.</w:t>
      </w:r>
    </w:p>
    <w:p>
      <w:pPr>
        <w:keepLines/>
        <w:spacing w:after="120"/>
        <w:ind w:left="567" w:hanging="567"/>
        <w:jc w:val="both"/>
      </w:pPr>
      <w:r>
        <w:t xml:space="preserve">[15] J. Jia dan Q. Li, "AutoTool: Efficient tool selection for large language model agents," in </w:t>
      </w:r>
      <w:r>
        <w:rPr>
          <w:i/>
        </w:rPr>
        <w:t>Proc. AAAI Conf. Artif. Intell. (AAAI)</w:t>
      </w:r>
      <w:r>
        <w:t>, 2026. arXiv:2511.14650.</w:t>
      </w:r>
    </w:p>
    <w:p>
      <w:pPr>
        <w:keepLines/>
        <w:spacing w:after="120"/>
        <w:ind w:left="567" w:hanging="567"/>
        <w:jc w:val="both"/>
      </w:pPr>
      <w:r>
        <w:t>[16] Anonymous, "ScaleMCP: Dynamic and auto-synchronizing model context protocol tools for LLM agents," arXiv:2505.06416, 2025.</w:t>
      </w:r>
    </w:p>
    <w:p>
      <w:pPr>
        <w:keepLines/>
        <w:spacing w:after="120"/>
        <w:ind w:left="567" w:hanging="567"/>
        <w:jc w:val="both"/>
      </w:pPr>
      <w:r>
        <w:t xml:space="preserve">[17] W. Wang, P. Niu, Z. Xu,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[18] P. CN, "Build scalable AI agent systems using Amazon Bedrock agent registry," </w:t>
      </w:r>
      <w:r>
        <w:rPr>
          <w:i/>
        </w:rPr>
        <w:t>AWS Machine Learning Blog</w:t>
      </w:r>
      <w:r>
        <w:t>, Apr. 2026.</w:t>
      </w:r>
    </w:p>
    <w:p>
      <w:pPr>
        <w:keepLines/>
        <w:spacing w:after="120"/>
        <w:ind w:left="567" w:hanging="567"/>
        <w:jc w:val="both"/>
      </w:pPr>
      <w:r>
        <w:t xml:space="preserve">[19] TrueFoundry, "What is AI agent registry — A complete guide," </w:t>
      </w:r>
      <w:r>
        <w:rPr>
          <w:i/>
        </w:rPr>
        <w:t>TrueFoundry Blog</w:t>
      </w:r>
      <w:r>
        <w:t>, Sep. 2025. [Online]. Tersedia: https://www.truefoundry.com/blog/ai-agent-registry</w:t>
      </w:r>
    </w:p>
    <w:p>
      <w:pPr>
        <w:keepLines/>
        <w:spacing w:after="120"/>
        <w:ind w:left="567" w:hanging="567"/>
        <w:jc w:val="both"/>
      </w:pPr>
      <w:r>
        <w:t xml:space="preserve">[20] I. Kolchinsky, "Tool RAG: The next breakthrough in scalable AI agents," </w:t>
      </w:r>
      <w:r>
        <w:rPr>
          <w:i/>
        </w:rPr>
        <w:t>Red Hat Emerging Technologies Blog</w:t>
      </w:r>
      <w:r>
        <w:t>, Nov. 2025.</w:t>
      </w:r>
    </w:p>
    <w:p>
      <w:pPr>
        <w:keepLines/>
        <w:spacing w:after="120"/>
        <w:ind w:left="567" w:hanging="567"/>
        <w:jc w:val="both"/>
      </w:pPr>
      <w:r>
        <w:t xml:space="preserve">[21] Pydantic, "Pydantic AI — Toolsets," </w:t>
      </w:r>
      <w:r>
        <w:rPr>
          <w:i/>
        </w:rPr>
        <w:t>Pydantic AI Documentation</w:t>
      </w:r>
      <w:r>
        <w:t>, 2025. [Online]. Tersedia: https://ai.pydantic.dev/</w:t>
      </w:r>
    </w:p>
    <w:p>
      <w:pPr>
        <w:keepLines/>
        <w:spacing w:after="120"/>
        <w:ind w:left="567" w:hanging="567"/>
        <w:jc w:val="both"/>
      </w:pPr>
      <w:r>
        <w:t xml:space="preserve">[22] A.R. Hevner, S.T. March, J. Park, dan S. Ram, "Design science in information systems research," </w:t>
      </w:r>
      <w:r>
        <w:rPr>
          <w:i/>
        </w:rPr>
        <w:t>MIS Quarterly</w:t>
      </w:r>
      <w:r>
        <w:t>, vol. 28, no. 1, pp. 75–105, Mar. 2004.</w:t>
      </w:r>
    </w:p>
    <w:p>
      <w:pPr>
        <w:keepLines/>
        <w:spacing w:after="120"/>
        <w:ind w:left="567" w:hanging="567"/>
        <w:jc w:val="both"/>
      </w:pPr>
      <w:r>
        <w:t xml:space="preserve">[23] C. Richardson, "Pattern: API gateway / Backends for frontends," </w:t>
      </w:r>
      <w:r>
        <w:rPr>
          <w:i/>
        </w:rPr>
        <w:t>microservices.io</w:t>
      </w:r>
      <w:r>
        <w:t>, 2014–2025. [Online]. Tersedia: https://microservices.io/patterns/apigateway.html</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[3],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 ARABIC \s 1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 ARABIC \s 1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s 1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s 1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s 1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[4].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s 1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pPr>
        <w:keepNext/>
        <w:spacing w:before="240"/>
      </w:pPr>
      <w:r>
        <w:rPr>
          <w:b/>
        </w:rPr>
        <w:t>Referensi Bab III</w:t>
      </w:r>
    </w:p>
    <w:p>
      <w:pPr>
        <w:keepLines/>
        <w:spacing w:after="120"/>
        <w:ind w:left="567" w:hanging="567"/>
        <w:jc w:val="both"/>
      </w:pPr>
      <w:r>
        <w:t xml:space="preserve">[1] A.R. Hevner, S.T. March, J. Park, dan S. Ram, "Design science in information systems research," </w:t>
      </w:r>
      <w:r>
        <w:rPr>
          <w:i/>
        </w:rPr>
        <w:t>MIS Quarterly</w:t>
      </w:r>
      <w:r>
        <w:t>, vol. 28, no. 1, pp. 75–105, Mar. 2004.</w:t>
      </w:r>
    </w:p>
    <w:p>
      <w:pPr>
        <w:keepLines/>
        <w:spacing w:after="120"/>
        <w:ind w:left="567" w:hanging="567"/>
        <w:jc w:val="both"/>
      </w:pPr>
      <w:r>
        <w:t xml:space="preserve">[2] Pydantic, "Pydantic AI — Toolsets," </w:t>
      </w:r>
      <w:r>
        <w:rPr>
          <w:i/>
        </w:rPr>
        <w:t>Pydantic AI Documentation</w:t>
      </w:r>
      <w:r>
        <w:t>, 2025. [Online]. Tersedia: https://ai.pydantic.dev/</w:t>
      </w:r>
    </w:p>
    <w:p>
      <w:pPr>
        <w:keepLines/>
        <w:spacing w:after="120"/>
        <w:ind w:left="567" w:hanging="567"/>
        <w:jc w:val="both"/>
      </w:pPr>
      <w:r>
        <w:t xml:space="preserve">[3] P. Rajasekaran, E. Dixon, C. Ryan, dan J. Hadfield, "Effective context engineering for AI agents," </w:t>
      </w:r>
      <w:r>
        <w:rPr>
          <w:i/>
        </w:rPr>
        <w:t>Anthropic Engineering Blog</w:t>
      </w:r>
      <w:r>
        <w:t>, Sep. 2025.</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r>
        <w:br w:type="page"/>
      </w:r>
    </w:p>
    <w:p>
      <w:pPr>
        <w:pStyle w:val="Heading1"/>
      </w:pPr>
      <w:r>
        <w:t>BAB IV HASIL DAN ANALISA</w:t>
      </w:r>
    </w:p>
    <w:p>
      <w:r>
        <w:rPr>
          <w:b/>
          <w:i/>
        </w:rPr>
        <w:t>[BAB IV BELUM DITULIS]</w:t>
      </w:r>
    </w:p>
    <w:p>
      <w:pPr>
        <w:jc w:val="both"/>
      </w:pPr>
      <w:r>
        <w:t>Rencana sub-bab (mengikuti sistematika UNSIA untuk skema Tugas Akhir Prototype):</w:t>
      </w:r>
    </w:p>
    <w:p>
      <w:pPr>
        <w:pStyle w:val="Heading2"/>
      </w:pPr>
      <w:r>
        <w:t>4.1 Hasil Benchmark Synthetic S1–S4</w:t>
      </w:r>
    </w:p>
    <w:p>
      <w:pPr>
        <w:ind w:firstLine="720"/>
      </w:pPr>
      <w:r>
        <w:rPr>
          <w:i/>
        </w:rPr>
        <w:t>[konten belum ditulis]</w:t>
      </w:r>
    </w:p>
    <w:p>
      <w:pPr>
        <w:pStyle w:val="Heading2"/>
      </w:pPr>
      <w:r>
        <w:t>4.2 Hasil Gemini Native v2 (Hasil Resmi)</w:t>
      </w:r>
    </w:p>
    <w:p>
      <w:pPr>
        <w:ind w:firstLine="720"/>
      </w:pPr>
      <w:r>
        <w:rPr>
          <w:i/>
        </w:rPr>
        <w:t>[konten belum ditulis]</w:t>
      </w:r>
    </w:p>
    <w:p>
      <w:pPr>
        <w:pStyle w:val="Heading2"/>
      </w:pPr>
      <w:r>
        <w:t>4.3 Analisis Token Reduction</w:t>
      </w:r>
    </w:p>
    <w:p>
      <w:pPr>
        <w:ind w:firstLine="720"/>
      </w:pPr>
      <w:r>
        <w:rPr>
          <w:i/>
        </w:rPr>
        <w:t>[konten belum ditulis]</w:t>
      </w:r>
    </w:p>
    <w:p>
      <w:pPr>
        <w:pStyle w:val="Heading2"/>
      </w:pPr>
      <w:r>
        <w:t>4.4 Analisis Tool Selection Accuracy</w:t>
      </w:r>
    </w:p>
    <w:p>
      <w:pPr>
        <w:ind w:firstLine="720"/>
      </w:pPr>
      <w:r>
        <w:rPr>
          <w:i/>
        </w:rPr>
        <w:t>[konten belum ditulis]</w:t>
      </w:r>
    </w:p>
    <w:p>
      <w:pPr>
        <w:pStyle w:val="Heading2"/>
      </w:pPr>
      <w:r>
        <w:t>4.5 Analisis Sub-linear Scalability</w:t>
      </w:r>
    </w:p>
    <w:p>
      <w:pPr>
        <w:ind w:firstLine="720"/>
      </w:pPr>
      <w:r>
        <w:rPr>
          <w:i/>
        </w:rPr>
        <w:t>[konten belum ditulis]</w:t>
      </w:r>
    </w:p>
    <w:p>
      <w:pPr>
        <w:pStyle w:val="Heading2"/>
      </w:pPr>
      <w:r>
        <w:t>4.6 Analisis Memory Footprint</w:t>
      </w:r>
    </w:p>
    <w:p>
      <w:pPr>
        <w:ind w:firstLine="720"/>
      </w:pPr>
      <w:r>
        <w:rPr>
          <w:i/>
        </w:rPr>
        <w:t>[konten belum ditulis]</w:t>
      </w:r>
    </w:p>
    <w:p>
      <w:pPr>
        <w:pStyle w:val="Heading2"/>
      </w:pPr>
      <w:r>
        <w:t>4.7 Analisis Latency</w:t>
      </w:r>
    </w:p>
    <w:p>
      <w:pPr>
        <w:ind w:firstLine="720"/>
      </w:pPr>
      <w:r>
        <w:rPr>
          <w:i/>
        </w:rPr>
        <w:t>[konten belum ditulis]</w:t>
      </w:r>
    </w:p>
    <w:p>
      <w:pPr>
        <w:pStyle w:val="Heading2"/>
      </w:pPr>
      <w:r>
        <w:t>4.8 Uji Statistik</w:t>
      </w:r>
    </w:p>
    <w:p>
      <w:pPr>
        <w:ind w:firstLine="720"/>
      </w:pPr>
      <w:r>
        <w:rPr>
          <w:i/>
        </w:rPr>
        <w:t>[konten belum ditulis]</w:t>
      </w:r>
    </w:p>
    <w:p>
      <w:pPr>
        <w:pStyle w:val="Heading2"/>
      </w:pPr>
      <w:r>
        <w:t>4.9 Failure Analysis</w:t>
      </w:r>
    </w:p>
    <w:p>
      <w:pPr>
        <w:ind w:firstLine="720"/>
      </w:pPr>
      <w:r>
        <w:rPr>
          <w:i/>
        </w:rPr>
        <w:t>[konten belum ditulis]</w:t>
      </w:r>
    </w:p>
    <w:p>
      <w:pPr>
        <w:pStyle w:val="Heading2"/>
      </w:pPr>
      <w:r>
        <w:t>4.10 Validasi Multi-model</w:t>
      </w:r>
    </w:p>
    <w:p>
      <w:pPr>
        <w:ind w:firstLine="720"/>
      </w:pPr>
      <w:r>
        <w:rPr>
          <w:i/>
        </w:rPr>
        <w:t>[konten belum ditulis]</w:t>
      </w:r>
    </w:p>
    <w:p>
      <w:r>
        <w:br w:type="page"/>
      </w:r>
    </w:p>
    <w:p>
      <w:pPr>
        <w:pStyle w:val="Heading1"/>
      </w:pPr>
      <w:r>
        <w:t>BAB V KESIMPULAN</w:t>
      </w:r>
    </w:p>
    <w:p>
      <w:r>
        <w:rPr>
          <w:b/>
          <w:i/>
        </w:rPr>
        <w:t>[BAB V BELUM DITULIS]</w:t>
      </w:r>
    </w:p>
    <w:p>
      <w:pPr>
        <w:jc w:val="both"/>
      </w:pPr>
      <w:r>
        <w:t>Rencana sub-bab (mengikuti sistematika UNSIA untuk skema Tugas Akhir Prototype):</w:t>
      </w:r>
    </w:p>
    <w:p>
      <w:pPr>
        <w:pStyle w:val="Heading2"/>
      </w:pPr>
      <w:r>
        <w:t>5.1 Kesimpulan</w:t>
      </w:r>
    </w:p>
    <w:p>
      <w:pPr>
        <w:ind w:firstLine="720"/>
      </w:pPr>
      <w:r>
        <w:rPr>
          <w:i/>
        </w:rPr>
        <w:t>[konten belum ditulis]</w:t>
      </w:r>
    </w:p>
    <w:p>
      <w:pPr>
        <w:pStyle w:val="Heading2"/>
      </w:pPr>
      <w:r>
        <w:t>5.2 Saran / Future Work</w:t>
      </w:r>
    </w:p>
    <w:p>
      <w:pPr>
        <w:ind w:firstLine="720"/>
      </w:pPr>
      <w:r>
        <w:rPr>
          <w:i/>
        </w:rPr>
        <w:t>[konten belum ditulis]</w:t>
      </w:r>
    </w:p>
    <w:p>
      <w:r>
        <w:br w:type="page"/>
      </w:r>
    </w:p>
    <w:p>
      <w:pPr>
        <w:pStyle w:val="Heading1"/>
      </w:pPr>
      <w:r>
        <w:t>DAFTAR PUSTAKA</w:t>
      </w:r>
    </w:p>
    <w:p>
      <w:r>
        <w:rPr>
          <w:i/>
        </w:rPr>
        <w:t>[PLACEHOLDER — daftar pustaka final dikonsolidasikan dari seluruh referensi per-bab menjadi satu daftar IEEE berurutan sesuai kemunculan pertama di naskah, dikelola dengan Mendeley/Zotero. Saat ini referensi masih tercantum di akhir tiap bab.]</w:t>
      </w:r>
    </w:p>
    <w:p>
      <w:r>
        <w:br w:type="page"/>
      </w:r>
    </w:p>
    <w:p>
      <w:pPr>
        <w:pStyle w:val="Heading1"/>
      </w:pPr>
      <w:r>
        <w:t>LAMPIRAN</w:t>
      </w:r>
    </w:p>
    <w:p>
      <w:pPr>
        <w:pStyle w:val="Heading2"/>
      </w:pPr>
      <w:r>
        <w:t>Lampiran A: Source Code Tool Registry (cuplikan kunci)</w:t>
      </w:r>
    </w:p>
    <w:p>
      <w:pPr>
        <w:ind w:firstLine="720"/>
      </w:pPr>
      <w:r>
        <w:rPr>
          <w:i/>
        </w:rPr>
        <w:t>[konten belum dilampirkan]</w:t>
      </w:r>
    </w:p>
    <w:p>
      <w:pPr>
        <w:pStyle w:val="Heading2"/>
      </w:pPr>
      <w:r>
        <w:t>Lampiran B: Dataset 100 Query (JSON)</w:t>
      </w:r>
    </w:p>
    <w:p>
      <w:pPr>
        <w:ind w:firstLine="720"/>
      </w:pPr>
      <w:r>
        <w:rPr>
          <w:i/>
        </w:rPr>
        <w:t>[konten belum dilampirkan]</w:t>
      </w:r>
    </w:p>
    <w:p>
      <w:pPr>
        <w:pStyle w:val="Heading2"/>
      </w:pPr>
      <w:r>
        <w:t>Lampiran C: Raw Results CSV</w:t>
      </w:r>
    </w:p>
    <w:p>
      <w:pPr>
        <w:ind w:firstLine="720"/>
      </w:pPr>
      <w:r>
        <w:rPr>
          <w:i/>
        </w:rPr>
        <w:t>[konten belum dilampirkan]</w:t>
      </w:r>
    </w:p>
    <w:p>
      <w:pPr>
        <w:pStyle w:val="Heading2"/>
      </w:pPr>
      <w:r>
        <w:t>Lampiran D: Script Analisis Statistik (Python)</w:t>
      </w:r>
    </w:p>
    <w:p>
      <w:pPr>
        <w:ind w:firstLine="720"/>
      </w:pPr>
      <w:r>
        <w:rPr>
          <w:i/>
        </w:rPr>
        <w:t>[konten belum dilampirkan]</w:t>
      </w:r>
    </w:p>
    <w:p>
      <w:pPr>
        <w:pStyle w:val="Heading2"/>
      </w:pPr>
      <w:r>
        <w:t>Lampiran E: Bukti Similarity Check Turnitin (≤30%)</w:t>
      </w:r>
    </w:p>
    <w:p>
      <w:pPr>
        <w:ind w:firstLine="720"/>
      </w:pPr>
      <w:r>
        <w:rPr>
          <w:i/>
        </w:rPr>
        <w:t>[konten belum dilampirkan]</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