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Versión</w:t>
      </w:r>
      <w:r>
        <w:t xml:space="preserve"> </w:t>
      </w:r>
      <w:r>
        <w:t xml:space="preserve">reorganizada</w:t>
      </w:r>
      <w:r>
        <w:t xml:space="preserve"> </w:t>
      </w:r>
      <w:r>
        <w:t xml:space="preserve">e</w:t>
      </w:r>
      <w:r>
        <w:t xml:space="preserve"> </w:t>
      </w:r>
      <w:r>
        <w:t xml:space="preserve">integrada,</w:t>
      </w:r>
      <w:r>
        <w:t xml:space="preserve"> </w:t>
      </w:r>
      <w:r>
        <w:t xml:space="preserve">Junio</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40" w:name="Xd16ec2108e2c5e28b6f852db829a777dc5185f2"/>
    <w:p>
      <w:pPr>
        <w:pStyle w:val="Heading1"/>
      </w:pPr>
      <w:r>
        <w:t xml:space="preserve">3. La Columna Vertebral: Estado en el Territorio</w:t>
      </w:r>
    </w:p>
    <w:p>
      <w:pPr>
        <w:pStyle w:val="FirstParagraph"/>
      </w:pPr>
      <w:r>
        <w:t xml:space="preserve">En cada nodo prioritario se despliegan simultáneamente seguridad + economía + servicios + instituciones + tierra. El problema de empleo y el de seguridad son el mismo problema, ausencia de Estado, y se resuelven juntos.</w:t>
      </w:r>
    </w:p>
    <w:bookmarkStart w:id="26"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26"/>
    <w:bookmarkStart w:id="27"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27"/>
    <w:bookmarkStart w:id="32"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28"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28"/>
    <w:bookmarkStart w:id="29"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29"/>
    <w:bookmarkStart w:id="30"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30"/>
    <w:bookmarkStart w:id="31"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31"/>
    <w:bookmarkEnd w:id="32"/>
    <w:bookmarkStart w:id="36"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33"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33"/>
    <w:bookmarkStart w:id="34"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34"/>
    <w:bookmarkStart w:id="35"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35"/>
    <w:bookmarkEnd w:id="36"/>
    <w:bookmarkStart w:id="37"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37"/>
    <w:bookmarkStart w:id="38"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38"/>
    <w:bookmarkStart w:id="39"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4"/>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4"/>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4"/>
        </w:numPr>
        <w:pStyle w:val="Compact"/>
      </w:pPr>
      <w:r>
        <w:t xml:space="preserve">No es expansión automática (no se premia el atraso) ni congelamiento indefinido (no se castiga a quienes esperan por un atraso que es de ejecución, no de concepto).</w:t>
      </w:r>
    </w:p>
    <w:p>
      <w:r>
        <w:pict>
          <v:rect style="width:0;height:1.5pt" o:hralign="center" o:hrstd="t" o:hr="t"/>
        </w:pict>
      </w:r>
    </w:p>
    <w:bookmarkEnd w:id="39"/>
    <w:bookmarkEnd w:id="40"/>
    <w:bookmarkStart w:id="41"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41"/>
    <w:bookmarkStart w:id="51"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42"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42"/>
    <w:bookmarkStart w:id="43"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43"/>
    <w:bookmarkStart w:id="50" w:name="X1b301b65442b3bc8a020498f40d4bc2f35500ab"/>
    <w:p>
      <w:pPr>
        <w:pStyle w:val="Heading2"/>
      </w:pPr>
      <w:r>
        <w:t xml:space="preserve">Módulo de Productividad Rural: activar el campo que ya existe</w:t>
      </w:r>
    </w:p>
    <w:p>
      <w:pPr>
        <w:pStyle w:val="FirstParagraph"/>
      </w:pPr>
      <w:r>
        <w:t xml:space="preserve">El campo concentra la peor productividad del país y, a la vez, la mejor palanca para subirla. La informalidad rural ronda el 83% y la productividad por trabajador agrícola está muy por debajo del promedio nacional, pero la tierra titulada, el riego y la asistencia técnica producen saltos de productividad que ninguna otra inversión iguala. Este módulo es el gemelo rural del Módulo de Productividad Urbana (12.3): aplica al campo el principio de</w:t>
      </w:r>
      <w:r>
        <w:t xml:space="preserve"> </w:t>
      </w:r>
      <w:r>
        <w:t xml:space="preserve">“</w:t>
      </w:r>
      <w:r>
        <w:t xml:space="preserve">activar lo que ya existe</w:t>
      </w:r>
      <w:r>
        <w:t xml:space="preserve">”</w:t>
      </w:r>
      <w:r>
        <w:t xml:space="preserve"> </w:t>
      </w:r>
      <w:r>
        <w:t xml:space="preserve">en vez de solo repartir, y persigue competitividad, no solo subsistencia.</w:t>
      </w:r>
    </w:p>
    <w:p>
      <w:pPr>
        <w:pStyle w:val="BlockText"/>
      </w:pPr>
      <w:r>
        <w:rPr>
          <w:bCs/>
          <w:b/>
        </w:rPr>
        <w:t xml:space="preserve">Por qué importa para la competitividad nacional.</w:t>
      </w:r>
      <w:r>
        <w:t xml:space="preserve"> </w:t>
      </w:r>
      <w:r>
        <w:t xml:space="preserve">Las exportaciones no minero-energéticas que el país necesita para no depender del petróleo salen en buena parte del agro: cacao, café especial, frutas, ganadería sostenible. Subir la productividad rural no es solo justicia con el campesino, es la base de la canasta exportadora que diversifica al país. El campo improductivo es un techo a la competitividad de Colombia.</w:t>
      </w:r>
    </w:p>
    <w:bookmarkStart w:id="44" w:name="X71708dbb739ef61fb17c3c1c1bf23d7a55094be"/>
    <w:p>
      <w:pPr>
        <w:pStyle w:val="Heading3"/>
      </w:pPr>
      <w:r>
        <w:t xml:space="preserve">A. El título como activo productivo, no solo como derecho</w:t>
      </w:r>
    </w:p>
    <w:p>
      <w:pPr>
        <w:pStyle w:val="FirstParagraph"/>
      </w:pPr>
      <w:r>
        <w:t xml:space="preserve">La titulación masiva del Frente II ya entrega seguridad jurídica; este módulo la convierte en productividad. El título muerto en un cajón no sube la producción; el título usado como colateral, 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Crédito contra título</w:t>
            </w:r>
          </w:p>
        </w:tc>
        <w:tc>
          <w:tcPr/>
          <w:p>
            <w:pPr>
              <w:pStyle w:val="Compact"/>
              <w:jc w:val="left"/>
            </w:pPr>
            <w:r>
              <w:t xml:space="preserve">Que el título recién entregado sirva de inmediato como garantía ante Banco Agrario y Finagro, con producto financiero diseñado para el pequeño productor</w:t>
            </w:r>
          </w:p>
        </w:tc>
        <w:tc>
          <w:tcPr/>
          <w:p>
            <w:pPr>
              <w:pStyle w:val="Compact"/>
              <w:jc w:val="left"/>
            </w:pPr>
            <w:r>
              <w:t xml:space="preserve">Decreto + Finagro + Banco Agrario</w:t>
            </w:r>
          </w:p>
        </w:tc>
        <w:tc>
          <w:tcPr/>
          <w:p>
            <w:pPr>
              <w:pStyle w:val="Compact"/>
              <w:jc w:val="left"/>
            </w:pPr>
            <w:r>
              <w:t xml:space="preserve">Año 1</w:t>
            </w:r>
          </w:p>
        </w:tc>
      </w:tr>
      <w:tr>
        <w:tc>
          <w:tcPr/>
          <w:p>
            <w:pPr>
              <w:pStyle w:val="Compact"/>
              <w:jc w:val="left"/>
            </w:pPr>
            <w:r>
              <w:t xml:space="preserve">Catastro como base de extensión</w:t>
            </w:r>
          </w:p>
        </w:tc>
        <w:tc>
          <w:tcPr/>
          <w:p>
            <w:pPr>
              <w:pStyle w:val="Compact"/>
              <w:jc w:val="left"/>
            </w:pPr>
            <w:r>
              <w:t xml:space="preserve">Los datos del catastro multipropósito identifican qué produce cada predio y dónde falta asistencia, riego o vía, para dirigir la inversión con precisión</w:t>
            </w:r>
          </w:p>
        </w:tc>
        <w:tc>
          <w:tcPr/>
          <w:p>
            <w:pPr>
              <w:pStyle w:val="Compact"/>
              <w:jc w:val="left"/>
            </w:pPr>
            <w:r>
              <w:t xml:space="preserve">Vía administrativa (IGAC + ADR)</w:t>
            </w:r>
          </w:p>
        </w:tc>
        <w:tc>
          <w:tcPr/>
          <w:p>
            <w:pPr>
              <w:pStyle w:val="Compact"/>
              <w:jc w:val="left"/>
            </w:pPr>
            <w:r>
              <w:t xml:space="preserve">Años 1-2</w:t>
            </w:r>
          </w:p>
        </w:tc>
      </w:tr>
    </w:tbl>
    <w:bookmarkEnd w:id="44"/>
    <w:bookmarkStart w:id="45" w:name="X4d5bda5d871ecf1126696819096fbceb347c287"/>
    <w:p>
      <w:pPr>
        <w:pStyle w:val="Heading3"/>
      </w:pPr>
      <w:r>
        <w:t xml:space="preserve">B. Extensión agropecuaria moderna: difusión, no solo insumos</w:t>
      </w:r>
    </w:p>
    <w:p>
      <w:pPr>
        <w:pStyle w:val="FirstParagraph"/>
      </w:pPr>
      <w:r>
        <w:t xml:space="preserve">La brecha entre el campesino promedio y el productivo es de conocimiento y técnica disponible, no de esfuerzo. Colombia desmanteló su sistema de extensión rural; reconstruirlo es de las inversiones de mayor retorno.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Extensionismo rural por resultados</w:t>
            </w:r>
          </w:p>
        </w:tc>
        <w:tc>
          <w:tcPr/>
          <w:p>
            <w:pPr>
              <w:pStyle w:val="Compact"/>
              <w:jc w:val="left"/>
            </w:pPr>
            <w:r>
              <w:t xml:space="preserve">Asesores técnicos en territorio (vía ADR y el Servicio Nacional de Vida ambiental) con metas de rendimiento por hectárea verificadas, no por número de visitas</w:t>
            </w:r>
          </w:p>
        </w:tc>
        <w:tc>
          <w:tcPr/>
          <w:p>
            <w:pPr>
              <w:pStyle w:val="Compact"/>
              <w:jc w:val="left"/>
            </w:pPr>
            <w:r>
              <w:t xml:space="preserve">Decreto + ADR + AGROSAVIA</w:t>
            </w:r>
          </w:p>
        </w:tc>
        <w:tc>
          <w:tcPr/>
          <w:p>
            <w:pPr>
              <w:pStyle w:val="Compact"/>
              <w:jc w:val="left"/>
            </w:pPr>
            <w:r>
              <w:t xml:space="preserve">Año 1 (piloto en nodos), 2-4 (escala)</w:t>
            </w:r>
          </w:p>
        </w:tc>
      </w:tr>
      <w:tr>
        <w:tc>
          <w:tcPr/>
          <w:p>
            <w:pPr>
              <w:pStyle w:val="Compact"/>
              <w:jc w:val="left"/>
            </w:pPr>
            <w:r>
              <w:t xml:space="preserve">Paquete tecnológico apropiado</w:t>
            </w:r>
          </w:p>
        </w:tc>
        <w:tc>
          <w:tcPr/>
          <w:p>
            <w:pPr>
              <w:pStyle w:val="Compact"/>
              <w:jc w:val="left"/>
            </w:pPr>
            <w:r>
              <w:t xml:space="preserve">Semilla mejorada, riego eficiente, manejo de suelos y poscosecha, adaptados a cada cadena; transferencia de AGROSAVIA al productor</w:t>
            </w:r>
          </w:p>
        </w:tc>
        <w:tc>
          <w:tcPr/>
          <w:p>
            <w:pPr>
              <w:pStyle w:val="Compact"/>
              <w:jc w:val="left"/>
            </w:pPr>
            <w:r>
              <w:t xml:space="preserve">Vía administrativa</w:t>
            </w:r>
          </w:p>
        </w:tc>
        <w:tc>
          <w:tcPr/>
          <w:p>
            <w:pPr>
              <w:pStyle w:val="Compact"/>
              <w:jc w:val="left"/>
            </w:pPr>
            <w:r>
              <w:t xml:space="preserve">Por ola</w:t>
            </w:r>
          </w:p>
        </w:tc>
      </w:tr>
      <w:tr>
        <w:tc>
          <w:tcPr/>
          <w:p>
            <w:pPr>
              <w:pStyle w:val="Compact"/>
              <w:jc w:val="left"/>
            </w:pPr>
            <w:r>
              <w:t xml:space="preserve">Sanidad e inocuidad para exportar</w:t>
            </w:r>
          </w:p>
        </w:tc>
        <w:tc>
          <w:tcPr/>
          <w:p>
            <w:pPr>
              <w:pStyle w:val="Compact"/>
              <w:jc w:val="left"/>
            </w:pPr>
            <w:r>
              <w:t xml:space="preserve">Fortalecer al ICA y al Invima para que la producción cumpla los estándares fitosanitarios que abren mercados externos (el cuello de botella real de la exportación agro)</w:t>
            </w:r>
          </w:p>
        </w:tc>
        <w:tc>
          <w:tcPr/>
          <w:p>
            <w:pPr>
              <w:pStyle w:val="Compact"/>
              <w:jc w:val="left"/>
            </w:pPr>
            <w:r>
              <w:t xml:space="preserve">Decreto + presupuesto</w:t>
            </w:r>
          </w:p>
        </w:tc>
        <w:tc>
          <w:tcPr/>
          <w:p>
            <w:pPr>
              <w:pStyle w:val="Compact"/>
              <w:jc w:val="left"/>
            </w:pPr>
            <w:r>
              <w:t xml:space="preserve">Años 1-3</w:t>
            </w:r>
          </w:p>
        </w:tc>
      </w:tr>
    </w:tbl>
    <w:bookmarkEnd w:id="45"/>
    <w:bookmarkStart w:id="46" w:name="c.-agregar-valor-y-conectar-al-mercado"/>
    <w:p>
      <w:pPr>
        <w:pStyle w:val="Heading3"/>
      </w:pPr>
      <w:r>
        <w:t xml:space="preserve">C. Agregar valor y conectar al mercado</w:t>
      </w:r>
    </w:p>
    <w:p>
      <w:pPr>
        <w:pStyle w:val="FirstParagraph"/>
      </w:pPr>
      <w:r>
        <w:t xml:space="preserve">El campesino que vende materia prima al intermediario captura una fracción del valor. La productividad sube cuando el territorio procesa, asocia y vende mejor.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Procesamiento local</w:t>
            </w:r>
          </w:p>
        </w:tc>
        <w:tc>
          <w:tcPr/>
          <w:p>
            <w:pPr>
              <w:pStyle w:val="Compact"/>
              <w:jc w:val="left"/>
            </w:pPr>
            <w:r>
              <w:t xml:space="preserve">Apoyar centros de acopio, frío y primera transformación de propiedad cooperativa en los nodos (cacao seco y fermentado, café trillado, fruta procesada)</w:t>
            </w:r>
          </w:p>
        </w:tc>
        <w:tc>
          <w:tcPr/>
          <w:p>
            <w:pPr>
              <w:pStyle w:val="Compact"/>
              <w:jc w:val="left"/>
            </w:pPr>
            <w:r>
              <w:t xml:space="preserve">Decreto + ADR + cooperativas</w:t>
            </w:r>
          </w:p>
        </w:tc>
        <w:tc>
          <w:tcPr/>
          <w:p>
            <w:pPr>
              <w:pStyle w:val="Compact"/>
              <w:jc w:val="left"/>
            </w:pPr>
            <w:r>
              <w:t xml:space="preserve">Años 1-4</w:t>
            </w:r>
          </w:p>
        </w:tc>
      </w:tr>
      <w:tr>
        <w:tc>
          <w:tcPr/>
          <w:p>
            <w:pPr>
              <w:pStyle w:val="Compact"/>
              <w:jc w:val="left"/>
            </w:pPr>
            <w:r>
              <w:t xml:space="preserve">Compra pública como demanda ancla</w:t>
            </w:r>
          </w:p>
        </w:tc>
        <w:tc>
          <w:tcPr/>
          <w:p>
            <w:pPr>
              <w:pStyle w:val="Compact"/>
              <w:jc w:val="left"/>
            </w:pPr>
            <w:r>
              <w:t xml:space="preserve">El PAE, las guarniciones militares y los hospitales compran a las cooperativas de los nodos con contratos previsibles, dando escala para invertir</w:t>
            </w:r>
          </w:p>
        </w:tc>
        <w:tc>
          <w:tcPr/>
          <w:p>
            <w:pPr>
              <w:pStyle w:val="Compact"/>
              <w:jc w:val="left"/>
            </w:pPr>
            <w:r>
              <w:t xml:space="preserve">Reglamento de contratación</w:t>
            </w:r>
          </w:p>
        </w:tc>
        <w:tc>
          <w:tcPr/>
          <w:p>
            <w:pPr>
              <w:pStyle w:val="Compact"/>
              <w:jc w:val="left"/>
            </w:pPr>
            <w:r>
              <w:t xml:space="preserve">Año 1</w:t>
            </w:r>
          </w:p>
        </w:tc>
      </w:tr>
      <w:tr>
        <w:tc>
          <w:tcPr/>
          <w:p>
            <w:pPr>
              <w:pStyle w:val="Compact"/>
              <w:jc w:val="left"/>
            </w:pPr>
            <w:r>
              <w:t xml:space="preserve">Asociatividad que baja costos</w:t>
            </w:r>
          </w:p>
        </w:tc>
        <w:tc>
          <w:tcPr/>
          <w:p>
            <w:pPr>
              <w:pStyle w:val="Compact"/>
              <w:jc w:val="left"/>
            </w:pPr>
            <w:r>
              <w:t xml:space="preserve">Cooperativas para comprar insumos en volumen, compartir maquinaria y negociar precio, con el costo de formación reducido (Frente I)</w:t>
            </w:r>
          </w:p>
        </w:tc>
        <w:tc>
          <w:tcPr/>
          <w:p>
            <w:pPr>
              <w:pStyle w:val="Compact"/>
              <w:jc w:val="left"/>
            </w:pPr>
            <w:r>
              <w:t xml:space="preserve">Ley + decreto</w:t>
            </w:r>
          </w:p>
        </w:tc>
        <w:tc>
          <w:tcPr/>
          <w:p>
            <w:pPr>
              <w:pStyle w:val="Compact"/>
              <w:jc w:val="left"/>
            </w:pPr>
            <w:r>
              <w:t xml:space="preserve">Años 1-2</w:t>
            </w:r>
          </w:p>
        </w:tc>
      </w:tr>
      <w:tr>
        <w:tc>
          <w:tcPr/>
          <w:p>
            <w:pPr>
              <w:pStyle w:val="Compact"/>
              <w:jc w:val="left"/>
            </w:pPr>
            <w:r>
              <w:t xml:space="preserve">Acceso directo a mercado y exportación</w:t>
            </w:r>
          </w:p>
        </w:tc>
        <w:tc>
          <w:tcPr/>
          <w:p>
            <w:pPr>
              <w:pStyle w:val="Compact"/>
              <w:jc w:val="left"/>
            </w:pPr>
            <w:r>
              <w:t xml:space="preserve">Vincular las marcas territoriales y las denominaciones de origen (cacao del Caquetá, café del Cesar) con ProColombia y los canales de exportación</w:t>
            </w:r>
          </w:p>
        </w:tc>
        <w:tc>
          <w:tcPr/>
          <w:p>
            <w:pPr>
              <w:pStyle w:val="Compact"/>
              <w:jc w:val="left"/>
            </w:pPr>
            <w:r>
              <w:t xml:space="preserve">Decreto + ProColombia</w:t>
            </w:r>
          </w:p>
        </w:tc>
        <w:tc>
          <w:tcPr/>
          <w:p>
            <w:pPr>
              <w:pStyle w:val="Compact"/>
              <w:jc w:val="left"/>
            </w:pPr>
            <w:r>
              <w:t xml:space="preserve">Años 2-4</w:t>
            </w:r>
          </w:p>
        </w:tc>
      </w:tr>
    </w:tbl>
    <w:bookmarkEnd w:id="46"/>
    <w:bookmarkStart w:id="47" w:name="Xb62ecd1740456cb0eeeba5a58343441d5501244"/>
    <w:p>
      <w:pPr>
        <w:pStyle w:val="Heading3"/>
      </w:pPr>
      <w:r>
        <w:t xml:space="preserve">D. Riego y bienes públicos que multiplican el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Distritos de riego pequeños y medianos</w:t>
            </w:r>
          </w:p>
        </w:tc>
        <w:tc>
          <w:tcPr/>
          <w:p>
            <w:pPr>
              <w:pStyle w:val="Compact"/>
              <w:jc w:val="left"/>
            </w:pPr>
            <w:r>
              <w:t xml:space="preserve">Riego tecnificado donde la cadena lo justifica; el riego puede duplicar el rendimiento por hectárea</w:t>
            </w:r>
          </w:p>
        </w:tc>
        <w:tc>
          <w:tcPr/>
          <w:p>
            <w:pPr>
              <w:pStyle w:val="Compact"/>
              <w:jc w:val="left"/>
            </w:pPr>
            <w:r>
              <w:t xml:space="preserve">Decreto + ADR + presupuesto</w:t>
            </w:r>
          </w:p>
        </w:tc>
        <w:tc>
          <w:tcPr/>
          <w:p>
            <w:pPr>
              <w:pStyle w:val="Compact"/>
              <w:jc w:val="left"/>
            </w:pPr>
            <w:r>
              <w:t xml:space="preserve">Años 1-4</w:t>
            </w:r>
          </w:p>
        </w:tc>
      </w:tr>
      <w:tr>
        <w:tc>
          <w:tcPr/>
          <w:p>
            <w:pPr>
              <w:pStyle w:val="Compact"/>
              <w:jc w:val="left"/>
            </w:pPr>
            <w:r>
              <w:t xml:space="preserve">Vías terciarias y conectividad</w:t>
            </w:r>
          </w:p>
        </w:tc>
        <w:tc>
          <w:tcPr/>
          <w:p>
            <w:pPr>
              <w:pStyle w:val="Compact"/>
              <w:jc w:val="left"/>
            </w:pPr>
            <w:r>
              <w:t xml:space="preserve">El mismo paquete de bienes públicos del nodo (Frente I); sin vía, la cosecha se pierde o el flete se come el margen</w:t>
            </w:r>
          </w:p>
        </w:tc>
        <w:tc>
          <w:tcPr/>
          <w:p>
            <w:pPr>
              <w:pStyle w:val="Compact"/>
              <w:jc w:val="left"/>
            </w:pPr>
            <w:r>
              <w:t xml:space="preserve">INVIAS + Min. TIC</w:t>
            </w:r>
          </w:p>
        </w:tc>
        <w:tc>
          <w:tcPr/>
          <w:p>
            <w:pPr>
              <w:pStyle w:val="Compact"/>
              <w:jc w:val="left"/>
            </w:pPr>
            <w:r>
              <w:t xml:space="preserve">Por ola</w:t>
            </w:r>
          </w:p>
        </w:tc>
      </w:tr>
    </w:tbl>
    <w:bookmarkEnd w:id="47"/>
    <w:bookmarkStart w:id="48" w:name="X8b68fea6c675426c680e90e779e14b88416b05c"/>
    <w:p>
      <w:pPr>
        <w:pStyle w:val="Heading3"/>
      </w:pPr>
      <w:r>
        <w:t xml:space="preserve">Métricas de productividad rural (no solo hectáreas tituladas)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Meta</w:t>
            </w:r>
          </w:p>
        </w:tc>
      </w:tr>
      <w:tr>
        <w:tc>
          <w:tcPr/>
          <w:p>
            <w:pPr>
              <w:pStyle w:val="Compact"/>
              <w:jc w:val="left"/>
            </w:pPr>
            <w:r>
              <w:t xml:space="preserve">Rendimiento por hectárea en cadenas priorizadas</w:t>
            </w:r>
          </w:p>
        </w:tc>
        <w:tc>
          <w:tcPr/>
          <w:p>
            <w:pPr>
              <w:pStyle w:val="Compact"/>
              <w:jc w:val="left"/>
            </w:pPr>
            <w:r>
              <w:t xml:space="preserve">Productividad agrícola real</w:t>
            </w:r>
          </w:p>
        </w:tc>
        <w:tc>
          <w:tcPr/>
          <w:p>
            <w:pPr>
              <w:pStyle w:val="Compact"/>
              <w:jc w:val="left"/>
            </w:pPr>
            <w:r>
              <w:t xml:space="preserve">Subir de forma sostenida frente a la línea base del nodo</w:t>
            </w:r>
          </w:p>
        </w:tc>
      </w:tr>
      <w:tr>
        <w:tc>
          <w:tcPr/>
          <w:p>
            <w:pPr>
              <w:pStyle w:val="Compact"/>
              <w:jc w:val="left"/>
            </w:pPr>
            <w:r>
              <w:t xml:space="preserve">Ingreso neto del productor formalizado</w:t>
            </w:r>
          </w:p>
        </w:tc>
        <w:tc>
          <w:tcPr/>
          <w:p>
            <w:pPr>
              <w:pStyle w:val="Compact"/>
              <w:jc w:val="left"/>
            </w:pPr>
            <w:r>
              <w:t xml:space="preserve">Que la productividad llega al campesino, no solo al intermediario</w:t>
            </w:r>
          </w:p>
        </w:tc>
        <w:tc>
          <w:tcPr/>
          <w:p>
            <w:pPr>
              <w:pStyle w:val="Compact"/>
              <w:jc w:val="left"/>
            </w:pPr>
            <w:r>
              <w:t xml:space="preserve">Crecimiento verificable en PILA y registros de cooperativa</w:t>
            </w:r>
          </w:p>
        </w:tc>
      </w:tr>
      <w:tr>
        <w:tc>
          <w:tcPr/>
          <w:p>
            <w:pPr>
              <w:pStyle w:val="Compact"/>
              <w:jc w:val="left"/>
            </w:pPr>
            <w:r>
              <w:t xml:space="preserve">Valor agregado retenido en el territorio</w:t>
            </w:r>
          </w:p>
        </w:tc>
        <w:tc>
          <w:tcPr/>
          <w:p>
            <w:pPr>
              <w:pStyle w:val="Compact"/>
              <w:jc w:val="left"/>
            </w:pPr>
            <w:r>
              <w:t xml:space="preserve">Que el nodo procesa, no solo extrae</w:t>
            </w:r>
          </w:p>
        </w:tc>
        <w:tc>
          <w:tcPr/>
          <w:p>
            <w:pPr>
              <w:pStyle w:val="Compact"/>
              <w:jc w:val="left"/>
            </w:pPr>
            <w:r>
              <w:t xml:space="preserve">% de producción con primera transformación local</w:t>
            </w:r>
          </w:p>
        </w:tc>
      </w:tr>
      <w:tr>
        <w:tc>
          <w:tcPr/>
          <w:p>
            <w:pPr>
              <w:pStyle w:val="Compact"/>
              <w:jc w:val="left"/>
            </w:pPr>
            <w:r>
              <w:t xml:space="preserve">Exportaciones agro no tradicionales de los nodos</w:t>
            </w:r>
          </w:p>
        </w:tc>
        <w:tc>
          <w:tcPr/>
          <w:p>
            <w:pPr>
              <w:pStyle w:val="Compact"/>
              <w:jc w:val="left"/>
            </w:pPr>
            <w:r>
              <w:t xml:space="preserve">Aporte a la competitividad nacional</w:t>
            </w:r>
          </w:p>
        </w:tc>
        <w:tc>
          <w:tcPr/>
          <w:p>
            <w:pPr>
              <w:pStyle w:val="Compact"/>
              <w:jc w:val="left"/>
            </w:pPr>
            <w:r>
              <w:t xml:space="preserve">Crecimiento real en el período</w:t>
            </w:r>
          </w:p>
        </w:tc>
      </w:tr>
      <w:tr>
        <w:tc>
          <w:tcPr/>
          <w:p>
            <w:pPr>
              <w:pStyle w:val="Compact"/>
              <w:jc w:val="left"/>
            </w:pPr>
            <w:r>
              <w:t xml:space="preserve">Tasa de uso del título como colateral</w:t>
            </w:r>
          </w:p>
        </w:tc>
        <w:tc>
          <w:tcPr/>
          <w:p>
            <w:pPr>
              <w:pStyle w:val="Compact"/>
              <w:jc w:val="left"/>
            </w:pPr>
            <w:r>
              <w:t xml:space="preserve">Que el título es activo productivo, no papel</w:t>
            </w:r>
          </w:p>
        </w:tc>
        <w:tc>
          <w:tcPr/>
          <w:p>
            <w:pPr>
              <w:pStyle w:val="Compact"/>
              <w:jc w:val="left"/>
            </w:pPr>
            <w:r>
              <w:t xml:space="preserve">% de títulos nuevos con crédito asociado a 24 meses</w:t>
            </w:r>
          </w:p>
        </w:tc>
      </w:tr>
    </w:tbl>
    <w:bookmarkEnd w:id="48"/>
    <w:bookmarkStart w:id="49" w:name="la-advertencia-honesta"/>
    <w:p>
      <w:pPr>
        <w:pStyle w:val="Heading3"/>
      </w:pPr>
      <w:r>
        <w:t xml:space="preserve">La advertencia honesta</w:t>
      </w:r>
    </w:p>
    <w:p>
      <w:pPr>
        <w:pStyle w:val="FirstParagraph"/>
      </w:pPr>
      <w:r>
        <w:t xml:space="preserve">Titular sin paquete habilitador produce papeles, no productividad: es el error histórico que el Frente II ya busca evitar con su regla de</w:t>
      </w:r>
      <w:r>
        <w:t xml:space="preserve"> </w:t>
      </w:r>
      <w:r>
        <w:t xml:space="preserve">“</w:t>
      </w:r>
      <w:r>
        <w:t xml:space="preserve">ninguna tierra sin crédito, asistencia técnica, vía y mercado</w:t>
      </w:r>
      <w:r>
        <w:t xml:space="preserve">”</w:t>
      </w:r>
      <w:r>
        <w:t xml:space="preserve">. Este módulo es esa regla vuelta sistema. Y, como en el caso urbano, el riesgo es capturar el beneficio en los grandes; por eso prioriza al pequeño y mediano productor y la propiedad cooperativa, no la agroindustria ya consolidada.</w:t>
      </w:r>
    </w:p>
    <w:bookmarkEnd w:id="49"/>
    <w:bookmarkEnd w:id="50"/>
    <w:bookmarkEnd w:id="51"/>
    <w:bookmarkStart w:id="58"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52"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52"/>
    <w:bookmarkStart w:id="53"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53"/>
    <w:bookmarkStart w:id="54"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54"/>
    <w:bookmarkStart w:id="55"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55"/>
    <w:bookmarkStart w:id="56"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56"/>
    <w:bookmarkStart w:id="57"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57"/>
    <w:bookmarkEnd w:id="58"/>
    <w:bookmarkStart w:id="59"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59"/>
    <w:bookmarkStart w:id="60"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60"/>
    <w:bookmarkStart w:id="61"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bookmarkEnd w:id="61"/>
    <w:bookmarkStart w:id="62"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62"/>
    <w:bookmarkStart w:id="69"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63"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63"/>
    <w:bookmarkStart w:id="64"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64"/>
    <w:bookmarkStart w:id="65"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65"/>
    <w:bookmarkStart w:id="66"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66"/>
    <w:bookmarkStart w:id="67"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67"/>
    <w:bookmarkStart w:id="68"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68"/>
    <w:bookmarkEnd w:id="69"/>
    <w:bookmarkStart w:id="72"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70"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70"/>
    <w:bookmarkStart w:id="71"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71"/>
    <w:bookmarkEnd w:id="72"/>
    <w:bookmarkStart w:id="77"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73"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73"/>
    <w:bookmarkStart w:id="74"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74"/>
    <w:bookmarkStart w:id="75" w:name="X3449a18d80e272281ea1b456dc0407c24bfaae2"/>
    <w:p>
      <w:pPr>
        <w:pStyle w:val="Heading2"/>
      </w:pPr>
      <w:r>
        <w:t xml:space="preserve">10.3 El mecanismo que convierte la intención en sistema</w:t>
      </w:r>
    </w:p>
    <w:p>
      <w:pPr>
        <w:numPr>
          <w:ilvl w:val="0"/>
          <w:numId w:val="1005"/>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05"/>
        </w:numPr>
        <w:pStyle w:val="Compact"/>
      </w:pPr>
      <w:r>
        <w:rPr>
          <w:bCs/>
          <w:b/>
        </w:rPr>
        <w:t xml:space="preserve">Transferencia tecnológica obligatoria</w:t>
      </w:r>
      <w:r>
        <w:t xml:space="preserve"> </w:t>
      </w:r>
      <w:r>
        <w:t xml:space="preserve">en todo contrato de importación de tecnología estratégica.</w:t>
      </w:r>
    </w:p>
    <w:p>
      <w:pPr>
        <w:numPr>
          <w:ilvl w:val="0"/>
          <w:numId w:val="1005"/>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05"/>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75"/>
    <w:bookmarkStart w:id="76" w:name="Xc2c87e99ec3785ae71c01c47159b269548efa3c"/>
    <w:p>
      <w:pPr>
        <w:pStyle w:val="Heading2"/>
      </w:pPr>
      <w:r>
        <w:t xml:space="preserve">Sistema Nervioso: Plataforma de Trazabilidad del Gasto Público</w:t>
      </w:r>
    </w:p>
    <w:p>
      <w:pPr>
        <w:pStyle w:val="FirstParagraph"/>
      </w:pPr>
      <w:r>
        <w:t xml:space="preserve">Una infraestructura transversal que sigue cada peso desde que entra hasta que se gasta en algo real. Habilitante común de todos los frentes y primer cliente de las capacidades del Frente 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API pública</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alertas</w:t>
            </w:r>
          </w:p>
        </w:tc>
        <w:tc>
          <w:tcPr/>
          <w:p>
            <w:pPr>
              <w:pStyle w:val="Compact"/>
              <w:jc w:val="left"/>
            </w:pPr>
            <w:r>
              <w:t xml:space="preserve">Sobreprecio, oferente único, contrato fraccionado, beneficiario fantasma, flujos de grupos armados</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bookmarkEnd w:id="76"/>
    <w:bookmarkEnd w:id="77"/>
    <w:bookmarkStart w:id="84"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78"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78"/>
    <w:bookmarkStart w:id="79"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79"/>
    <w:bookmarkStart w:id="80"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80"/>
    <w:bookmarkStart w:id="81"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81"/>
    <w:bookmarkStart w:id="82"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82"/>
    <w:bookmarkStart w:id="83" w:name="lo-que-no-promete-este-frente"/>
    <w:p>
      <w:pPr>
        <w:pStyle w:val="Heading2"/>
      </w:pPr>
      <w:r>
        <w:t xml:space="preserve">11.6 Lo que NO promete este frente</w:t>
      </w:r>
    </w:p>
    <w:p>
      <w:pPr>
        <w:numPr>
          <w:ilvl w:val="0"/>
          <w:numId w:val="1006"/>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06"/>
        </w:numPr>
        <w:pStyle w:val="Compact"/>
      </w:pPr>
      <w:r>
        <w:rPr>
          <w:bCs/>
          <w:b/>
        </w:rPr>
        <w:t xml:space="preserve">Soluciones idénticas para todos:</w:t>
      </w:r>
      <w:r>
        <w:t xml:space="preserve"> </w:t>
      </w:r>
      <w:r>
        <w:t xml:space="preserve">la tecnología se adapta al territorio.</w:t>
      </w:r>
    </w:p>
    <w:p>
      <w:pPr>
        <w:numPr>
          <w:ilvl w:val="0"/>
          <w:numId w:val="1006"/>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83"/>
    <w:bookmarkEnd w:id="84"/>
    <w:bookmarkStart w:id="98"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85"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85"/>
    <w:bookmarkStart w:id="86"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86"/>
    <w:bookmarkStart w:id="95"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87"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87"/>
    <w:bookmarkStart w:id="88"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88"/>
    <w:bookmarkStart w:id="89"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89"/>
    <w:bookmarkStart w:id="90"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90"/>
    <w:bookmarkStart w:id="91"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91"/>
    <w:bookmarkStart w:id="92"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92"/>
    <w:bookmarkStart w:id="93"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93"/>
    <w:bookmarkStart w:id="94"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94"/>
    <w:bookmarkEnd w:id="95"/>
    <w:bookmarkStart w:id="96"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96"/>
    <w:bookmarkStart w:id="97"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97"/>
    <w:bookmarkEnd w:id="98"/>
    <w:bookmarkStart w:id="109"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99"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99"/>
    <w:bookmarkStart w:id="100"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100"/>
    <w:bookmarkStart w:id="101"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101"/>
    <w:bookmarkStart w:id="102"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102"/>
    <w:bookmarkStart w:id="103"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103"/>
    <w:bookmarkStart w:id="104"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104"/>
    <w:bookmarkStart w:id="105"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105"/>
    <w:bookmarkStart w:id="106"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106"/>
    <w:bookmarkStart w:id="107"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07"/>
    <w:bookmarkStart w:id="108"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08"/>
    <w:bookmarkEnd w:id="109"/>
    <w:bookmarkStart w:id="119"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10"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10"/>
    <w:bookmarkStart w:id="111"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11"/>
    <w:bookmarkStart w:id="112"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12"/>
    <w:bookmarkStart w:id="113"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13"/>
    <w:bookmarkStart w:id="114"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14"/>
    <w:bookmarkStart w:id="115"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15"/>
    <w:bookmarkStart w:id="116"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16"/>
    <w:bookmarkStart w:id="117"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17"/>
    <w:bookmarkStart w:id="118"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18"/>
    <w:bookmarkEnd w:id="119"/>
    <w:bookmarkStart w:id="120"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20"/>
    <w:bookmarkStart w:id="124"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21"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21"/>
    <w:bookmarkStart w:id="122"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22"/>
    <w:bookmarkStart w:id="123"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23"/>
    <w:bookmarkEnd w:id="124"/>
    <w:bookmarkStart w:id="130"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25"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25"/>
    <w:bookmarkStart w:id="126"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26"/>
    <w:bookmarkStart w:id="127"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27"/>
    <w:bookmarkStart w:id="128"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28"/>
    <w:bookmarkStart w:id="129"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29"/>
    <w:bookmarkEnd w:id="130"/>
    <w:bookmarkStart w:id="131"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31"/>
    <w:bookmarkStart w:id="135"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32"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32"/>
    <w:bookmarkStart w:id="133"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07"/>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Ya tiene piso legal (servicio público desde 2019): es ejecución y financiación, no un pedido al Congreso. El Módulo de Productividad Rural del Frente II convierte esa titulación en productividad medida (rendimiento por hectárea, valor agregado local, exportación agro).</w:t>
      </w:r>
    </w:p>
    <w:p>
      <w:pPr>
        <w:numPr>
          <w:ilvl w:val="0"/>
          <w:numId w:val="1007"/>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07"/>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07"/>
        </w:numPr>
        <w:pStyle w:val="Compact"/>
      </w:pPr>
      <w:r>
        <w:rPr>
          <w:bCs/>
          <w:b/>
        </w:rPr>
        <w:t xml:space="preserve">Difusión tecnológica y de gestión (Módulos de Productividad Urbana 12.3 y Rural del Frente II).</w:t>
      </w:r>
      <w:r>
        <w:t xml:space="preserve"> </w:t>
      </w:r>
      <w:r>
        <w:t xml:space="preserve">La mayor ganancia no está en inventar sino en que el productor promedio adopte lo que ya existe. El extensionismo para pymes urbanas y la extensión agropecuaria moderna mueven la media de todo el aparato productivo, en la ciudad y en el campo. Barato y enteramente ejecutivo.</w:t>
      </w:r>
    </w:p>
    <w:p>
      <w:pPr>
        <w:numPr>
          <w:ilvl w:val="0"/>
          <w:numId w:val="1007"/>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07"/>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07"/>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07"/>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33"/>
    <w:bookmarkStart w:id="134"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34"/>
    <w:bookmarkEnd w:id="135"/>
    <w:bookmarkStart w:id="138" w:name="secuencia-de-gobierno"/>
    <w:p>
      <w:pPr>
        <w:pStyle w:val="Heading1"/>
      </w:pPr>
      <w:r>
        <w:t xml:space="preserve">Secuencia de Gobierno</w:t>
      </w:r>
    </w:p>
    <w:bookmarkStart w:id="136"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36"/>
    <w:bookmarkStart w:id="137"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37"/>
    <w:bookmarkEnd w:id="138"/>
    <w:bookmarkStart w:id="139"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39"/>
    <w:bookmarkStart w:id="140"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40"/>
    <w:bookmarkStart w:id="141"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41"/>
    <w:bookmarkStart w:id="145"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42"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42"/>
    <w:bookmarkStart w:id="143"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43"/>
    <w:bookmarkStart w:id="144"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44"/>
    <w:bookmarkEnd w:id="145"/>
    <w:bookmarkStart w:id="152"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46"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46"/>
    <w:bookmarkStart w:id="147"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47"/>
    <w:bookmarkStart w:id="148"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48"/>
    <w:bookmarkStart w:id="149"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49"/>
    <w:bookmarkStart w:id="150"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50"/>
    <w:bookmarkStart w:id="151"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2026-06-25T14:20:21Z</dcterms:created>
  <dcterms:modified xsi:type="dcterms:W3CDTF">2026-06-25T14:20:21Z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Versión reorganizada e integrada, Junio 2026</vt:lpwstr>
  </property>
  <property fmtid="{D5CDD505-2E9C-101B-9397-08002B2CF9AE}" pid="3" name="subtitle">
    <vt:lpwstr>Empleo de calidad, instituciones honestas y carga justa</vt:lpwstr>
  </property>
</Properties>
</file>