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1F3B57"/>
          <w:sz w:val="40"/>
          <w:szCs w:val="40"/>
        </w:rPr>
        <w:t xml:space="preserve">REDISTRIBUCIÓN DEMOCRÁTICA DE ACTIVOS PRODUCTIVOS</w:t>
      </w:r>
    </w:p>
    <w:p>
      <w:pPr>
        <w:spacing w:after="400"/>
        <w:jc w:val="center"/>
      </w:pPr>
      <w:r>
        <w:rPr>
          <w:rFonts w:ascii="Georgia" w:cs="Georgia" w:eastAsia="Georgia" w:hAnsi="Georgia"/>
          <w:i/>
          <w:iCs/>
          <w:color w:val="2E5A7A"/>
          <w:sz w:val="26"/>
          <w:szCs w:val="26"/>
        </w:rPr>
        <w:t xml:space="preserve">Diseño de un mecanismo institucional y verificación de viabilidad para el caso colombiano</w:t>
      </w:r>
    </w:p>
    <w:p>
      <w:pPr>
        <w:spacing w:after="120"/>
        <w:jc w:val="center"/>
      </w:pPr>
      <w:r>
        <w:rPr>
          <w:rFonts w:ascii="Georgia" w:cs="Georgia" w:eastAsia="Georgia" w:hAnsi="Georgia"/>
          <w:sz w:val="22"/>
          <w:szCs w:val="22"/>
        </w:rPr>
        <w:t xml:space="preserve">Documento de trabajo — versión 1.0</w:t>
      </w:r>
    </w:p>
    <w:p>
      <w:pPr>
        <w:spacing w:after="120"/>
        <w:jc w:val="center"/>
      </w:pPr>
      <w:r>
        <w:rPr>
          <w:rFonts w:ascii="Georgia" w:cs="Georgia" w:eastAsia="Georgia" w:hAnsi="Georgia"/>
          <w:sz w:val="22"/>
          <w:szCs w:val="22"/>
        </w:rPr>
        <w:t xml:space="preserve">Julio de 2026</w:t>
      </w:r>
    </w:p>
    <w:p>
      <w:pPr>
        <w:spacing w:before="600"/>
        <w:jc w:val="center"/>
      </w:pPr>
      <w:r>
        <w:rPr>
          <w:rFonts w:ascii="Georgia" w:cs="Georgia" w:eastAsia="Georgia" w:hAnsi="Georgia"/>
          <w:i/>
          <w:iCs/>
          <w:sz w:val="22"/>
          <w:szCs w:val="22"/>
        </w:rPr>
        <w:t xml:space="preserve">🔍 Examínalo todo. Sobre todo a los tuyos.</w:t>
      </w:r>
    </w:p>
    <w:p>
      <w:r>
        <w:br w:type="page"/>
      </w:r>
    </w:p>
    <w:p>
      <w:pPr>
        <w:pStyle w:val="Heading1"/>
        <w:spacing w:after="200" w:before="360"/>
      </w:pPr>
      <w:r>
        <w:rPr>
          <w:rFonts w:ascii="Georgia" w:cs="Georgia" w:eastAsia="Georgia" w:hAnsi="Georgia"/>
          <w:b/>
          <w:bCs/>
          <w:color w:val="1F3B57"/>
          <w:sz w:val="30"/>
          <w:szCs w:val="30"/>
        </w:rPr>
        <w:t xml:space="preserve">1. Resumen ejecutivo</w:t>
      </w:r>
    </w:p>
    <w:p>
      <w:pPr>
        <w:spacing w:after="160" w:line="300"/>
        <w:jc w:val="both"/>
      </w:pPr>
      <w:r>
        <w:rPr>
          <w:rFonts w:ascii="Georgia" w:cs="Georgia" w:eastAsia="Georgia" w:hAnsi="Georgia"/>
          <w:sz w:val="22"/>
          <w:szCs w:val="22"/>
        </w:rPr>
        <w:t xml:space="preserve">Este documento parte de una pregunta: ¿existe una vía democrática para redistribuir la propiedad de activos productivos —en particular la tierra— sin recurrir a la coacción autoritaria? La evidencia comparada muestra que los intentos democráticos convencionales fracasan de manera sistemática y por razones identificables, mientras que los casos exitosos (Japón y Taiwán de posguerra, Kerala en India) compartieron condiciones específicas que la legislación ordinaria no reproduce.</w:t>
      </w:r>
    </w:p>
    <w:p>
      <w:pPr>
        <w:spacing w:after="160" w:line="300"/>
        <w:jc w:val="both"/>
      </w:pPr>
      <w:r>
        <w:rPr>
          <w:rFonts w:ascii="Georgia" w:cs="Georgia" w:eastAsia="Georgia" w:hAnsi="Georgia"/>
          <w:sz w:val="22"/>
          <w:szCs w:val="22"/>
        </w:rPr>
        <w:t xml:space="preserve">La tesis central es que esos fracasos, leídos correctamente, funcionan como especificaciones de diseño: cada uno revela una pieza faltante. El documento ensambla un mecanismo de cinco piezas que responde a cada especificación, y luego lo somete a verificación contra la realidad colombiana actual (julio de 2026), con datos verificados sobre el estado del catastro multipropósito, el marco constitucional tributario, la historia institucional de la reforma agraria y la violencia contra reclamantes de tierras.</w:t>
      </w:r>
    </w:p>
    <w:p>
      <w:pPr>
        <w:spacing w:after="160" w:line="300"/>
        <w:jc w:val="both"/>
      </w:pPr>
      <w:r>
        <w:rPr>
          <w:rFonts w:ascii="Georgia" w:cs="Georgia" w:eastAsia="Georgia" w:hAnsi="Georgia"/>
          <w:sz w:val="22"/>
          <w:szCs w:val="22"/>
        </w:rPr>
        <w:t xml:space="preserve">El veredicto de la verificación es que el diseño, en su versión nacional, no es viable en Colombia hoy: una pieza está parcialmente bloqueada por el artículo 317 de la Constitución, la ventana legislativa nacional está cerrada por al menos cuatro años, y —lo más grave— el diseño original ignoró que en Colombia el veto de la élite territorial no es solo institucional sino armado. El documento presenta una secuencia corregida, geográficamente selectiva y gradual, que sí sobrevive al contacto con los datos, junto con una autocrítica explícita de los puntos débiles restantes. Cierra con dos secciones aplicadas: cómo blindar la idea en el debate público —diagnosticando por qué el intento real de 2022-2026 se diluyó comunicacionalmente— y cómo construir, dado el Congreso fragmentado surgido de las elecciones de marzo de 2026, una estrategia legislativa realista para su eventual aprobación.</w:t>
      </w:r>
    </w:p>
    <w:p>
      <w:pPr>
        <w:pStyle w:val="Heading1"/>
        <w:spacing w:after="200" w:before="360"/>
      </w:pPr>
      <w:r>
        <w:rPr>
          <w:rFonts w:ascii="Georgia" w:cs="Georgia" w:eastAsia="Georgia" w:hAnsi="Georgia"/>
          <w:b/>
          <w:bCs/>
          <w:color w:val="1F3B57"/>
          <w:sz w:val="30"/>
          <w:szCs w:val="30"/>
        </w:rPr>
        <w:t xml:space="preserve">2. El problema: por qué la vía democrática ordinaria fracasa</w:t>
      </w:r>
    </w:p>
    <w:p>
      <w:pPr>
        <w:pStyle w:val="Heading2"/>
        <w:spacing w:after="160" w:before="280"/>
      </w:pPr>
      <w:r>
        <w:rPr>
          <w:rFonts w:ascii="Georgia" w:cs="Georgia" w:eastAsia="Georgia" w:hAnsi="Georgia"/>
          <w:b/>
          <w:bCs/>
          <w:color w:val="2E5A7A"/>
          <w:sz w:val="25"/>
          <w:szCs w:val="25"/>
        </w:rPr>
        <w:t xml:space="preserve">2.1 La distinción flujo / stock</w:t>
      </w:r>
    </w:p>
    <w:p>
      <w:pPr>
        <w:spacing w:after="160" w:line="300"/>
        <w:jc w:val="both"/>
      </w:pPr>
      <w:r>
        <w:rPr>
          <w:rFonts w:ascii="Georgia" w:cs="Georgia" w:eastAsia="Georgia" w:hAnsi="Georgia"/>
          <w:sz w:val="22"/>
          <w:szCs w:val="22"/>
        </w:rPr>
        <w:t xml:space="preserve">La redistribución de flujo (impuestos progresivos, gasto social, transferencias) funciona de manera sostenida en democracias consolidadas; los países escandinavos son la prueba. El problema duro es la redistribución de stock: el activo mismo —la tierra, el capital productivo— que exige identificar un bien concreto y transferirlo, de una sola vez y de manera difícilmente reversible, de un dueño concreto a otro. Es ahí donde el poder de veto de la élite propietaria opera con máxima intensidad.</w:t>
      </w:r>
    </w:p>
    <w:p>
      <w:pPr>
        <w:pStyle w:val="Heading2"/>
        <w:spacing w:after="160" w:before="280"/>
      </w:pPr>
      <w:r>
        <w:rPr>
          <w:rFonts w:ascii="Georgia" w:cs="Georgia" w:eastAsia="Georgia" w:hAnsi="Georgia"/>
          <w:b/>
          <w:bCs/>
          <w:color w:val="2E5A7A"/>
          <w:sz w:val="25"/>
          <w:szCs w:val="25"/>
        </w:rPr>
        <w:t xml:space="preserve">2.2 El hallazgo de Albertus</w:t>
      </w:r>
    </w:p>
    <w:p>
      <w:pPr>
        <w:spacing w:after="160" w:line="300"/>
        <w:jc w:val="both"/>
      </w:pPr>
      <w:r>
        <w:rPr>
          <w:rFonts w:ascii="Georgia" w:cs="Georgia" w:eastAsia="Georgia" w:hAnsi="Georgia"/>
          <w:sz w:val="22"/>
          <w:szCs w:val="22"/>
        </w:rPr>
        <w:t xml:space="preserve">Michael Albertus (Universidad de Chicago), con la base de datos histórica más completa sobre reforma agraria (casos desde 1900), demostró que la redistribución de tierra ocurre más a menudo bajo dictadura que bajo democracia. El mecanismo: en una democracia ordinaria, los terratenientes tienen bancada, financian campañas, capturan tribunales, notarías y catastros locales, y usan todo eso para diluir o revertir cualquier redistribución. La reforma exige neutralizar ese veto, y la concentración de poder necesaria para hacerlo se encuentra más frecuentemente bajo autocracia. Albertus y Kaplan estudiaron específicamente el caso colombiano en "Land Reform as a Counterinsurgency Policy: The Case of Colombia" (Journal of Conflict Resolution, 2013).</w:t>
      </w:r>
    </w:p>
    <w:p>
      <w:pPr>
        <w:pStyle w:val="Heading2"/>
        <w:spacing w:after="160" w:before="280"/>
      </w:pPr>
      <w:r>
        <w:rPr>
          <w:rFonts w:ascii="Georgia" w:cs="Georgia" w:eastAsia="Georgia" w:hAnsi="Georgia"/>
          <w:b/>
          <w:bCs/>
          <w:color w:val="2E5A7A"/>
          <w:sz w:val="25"/>
          <w:szCs w:val="25"/>
        </w:rPr>
        <w:t xml:space="preserve">2.3 El expediente empírico de los mecanismos "amables"</w:t>
      </w:r>
    </w:p>
    <w:p>
      <w:pPr>
        <w:spacing w:after="160" w:line="300"/>
        <w:jc w:val="both"/>
      </w:pPr>
      <w:r>
        <w:rPr>
          <w:rFonts w:ascii="Georgia" w:cs="Georgia" w:eastAsia="Georgia" w:hAnsi="Georgia"/>
          <w:sz w:val="22"/>
          <w:szCs w:val="22"/>
        </w:rPr>
        <w:t xml:space="preserve">Sudáfrica es el experimento de mayor escala del modelo de compra negociada ("willing buyer, willing seller"), el mismo que propuso Iván Cepeda en la campaña de 2026. Treinta años después, la meta de transferir el 30% de la tierra agrícola en cinco años sigue incumplida: para 2014 se había redistribuido cerca del 10%, y las estimaciones más generosas (incluyendo compras privadas fuera del programa) sitúan el avance en torno al 25% hacia 2025. Un ministro sudafricano lo resumió: el Estado no era un comprador dispuesto sino un comprador obligado; el modelo distorsionó el mercado, prolongó las negociaciones y volvió la reforma financieramente insostenible. La razón estructural: la compra negociada no elimina el veto del terrateniente, lo monetiza. El vendedor controla el ritmo, el precio y qué tierra vende.</w:t>
      </w:r>
    </w:p>
    <w:p>
      <w:pPr>
        <w:spacing w:after="160" w:line="300"/>
        <w:jc w:val="both"/>
      </w:pPr>
      <w:r>
        <w:rPr>
          <w:rFonts w:ascii="Georgia" w:cs="Georgia" w:eastAsia="Georgia" w:hAnsi="Georgia"/>
          <w:sz w:val="22"/>
          <w:szCs w:val="22"/>
        </w:rPr>
        <w:t xml:space="preserve">Por su parte, el programa peruano de titulación COFOPRI (inspirado en Hernando de Soto) demostró que el título sin crédito, asistencia técnica e infraestructura es papel muerto: tras formalizar más de un millón de propiedades, el acceso a crédito formal de los beneficiarios no registró cambios significativos.</w:t>
      </w:r>
    </w:p>
    <w:p>
      <w:pPr>
        <w:spacing w:after="160" w:line="300"/>
        <w:jc w:val="both"/>
      </w:pPr>
      <w:r>
        <w:rPr>
          <w:rFonts w:ascii="Georgia" w:cs="Georgia" w:eastAsia="Georgia" w:hAnsi="Georgia"/>
          <w:sz w:val="22"/>
          <w:szCs w:val="22"/>
        </w:rPr>
        <w:t xml:space="preserve">Y Colombia misma ofrece, en tiempo real, la prueba de la reversibilidad: en julio de 2026, el ministro de Agricultura entrante propuso reducir de 800.000 a 400.000 las hectáreas entregadas al campesinado por el gobierno saliente. Tierra redistribuida por la vía más "segura" —decisión ejecutiva dentro de una democracia funcionando— revertida parcialmente en el instante en que el poder cambió de manos.</w:t>
      </w:r>
    </w:p>
    <w:p>
      <w:pPr>
        <w:pStyle w:val="Heading2"/>
        <w:spacing w:after="160" w:before="280"/>
      </w:pPr>
      <w:r>
        <w:rPr>
          <w:rFonts w:ascii="Georgia" w:cs="Georgia" w:eastAsia="Georgia" w:hAnsi="Georgia"/>
          <w:b/>
          <w:bCs/>
          <w:color w:val="2E5A7A"/>
          <w:sz w:val="25"/>
          <w:szCs w:val="25"/>
        </w:rPr>
        <w:t xml:space="preserve">2.4 Los casos que sí funcionaron</w:t>
      </w:r>
    </w:p>
    <w:p>
      <w:pPr>
        <w:spacing w:after="160" w:line="300"/>
        <w:jc w:val="both"/>
      </w:pPr>
      <w:r>
        <w:rPr>
          <w:rFonts w:ascii="Georgia" w:cs="Georgia" w:eastAsia="Georgia" w:hAnsi="Georgia"/>
          <w:sz w:val="22"/>
          <w:szCs w:val="22"/>
        </w:rPr>
        <w:t xml:space="preserve">Japón y Taiwán de posguerra: reformas impuestas por una autoridad (MacArthur; el Kuomintang recién llegado) que no dependía políticamente de la élite terrateniente local, por lo que el veto no operó. Kerala (India): el primer gobierno comunista elegido democráticamente (1957) intentó la reforma y fue derrotado —gobierno destituido en 1959, ley de 1960 anulada judicialmente—, pero el movimiento campesino (Kerala Kisan Sabha) sostuvo la presión durante más de una década, sobreviviendo a la alternancia de gobiernos, hasta las leyes de 1963 y 1969 que abolieron efectivamente el sistema feudal Janmi-Kudiyan y redistribuyeron más de 1,5 millones de hectáreas. La lección de Kerala: lo decisivo no fue ganar una elección, sino contar con una organización social más duradera que cualquier gobierno individual.</w:t>
      </w:r>
    </w:p>
    <w:p>
      <w:r>
        <w:br w:type="page"/>
      </w:r>
    </w:p>
    <w:p>
      <w:pPr>
        <w:pStyle w:val="Heading1"/>
        <w:spacing w:after="200" w:before="360"/>
      </w:pPr>
      <w:r>
        <w:rPr>
          <w:rFonts w:ascii="Georgia" w:cs="Georgia" w:eastAsia="Georgia" w:hAnsi="Georgia"/>
          <w:b/>
          <w:bCs/>
          <w:color w:val="1F3B57"/>
          <w:sz w:val="30"/>
          <w:szCs w:val="30"/>
        </w:rPr>
        <w:t xml:space="preserve">3. Las especificaciones de diseño (qué enseñó cada fracaso)</w:t>
      </w:r>
    </w:p>
    <w:p>
      <w:pPr>
        <w:spacing w:after="160" w:line="300"/>
        <w:jc w:val="both"/>
      </w:pPr>
      <w:r>
        <w:rPr>
          <w:rFonts w:ascii="Georgia" w:cs="Georgia" w:eastAsia="Georgia" w:hAnsi="Georgia"/>
          <w:sz w:val="22"/>
          <w:szCs w:val="22"/>
        </w:rPr>
        <w:t xml:space="preserve">Cada fracaso documentado falló por una pieza faltante identificable. La tabla siguiente convierte cada fallo en un requisito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shd w:fill="DDE7F0" w:val="clear"/>
            <w:tcMar>
              <w:top w:type="dxa" w:w="80"/>
              <w:left w:type="dxa" w:w="120"/>
              <w:bottom w:type="dxa" w:w="80"/>
              <w:right w:type="dxa" w:w="120"/>
            </w:tcMar>
          </w:tcPr>
          <w:p>
            <w:pPr>
              <w:spacing w:after="40" w:line="260"/>
            </w:pPr>
            <w:r>
              <w:rPr>
                <w:rFonts w:ascii="Georgia" w:cs="Georgia" w:eastAsia="Georgia" w:hAnsi="Georgia"/>
                <w:b/>
                <w:bCs/>
                <w:sz w:val="20"/>
                <w:szCs w:val="20"/>
              </w:rPr>
              <w:t xml:space="preserve">Caso</w:t>
            </w:r>
          </w:p>
        </w:tc>
        <w:tc>
          <w:tcPr>
            <w:tcW w:type="dxa" w:w="3600"/>
            <w:shd w:fill="DDE7F0" w:val="clear"/>
            <w:tcMar>
              <w:top w:type="dxa" w:w="80"/>
              <w:left w:type="dxa" w:w="120"/>
              <w:bottom w:type="dxa" w:w="80"/>
              <w:right w:type="dxa" w:w="120"/>
            </w:tcMar>
          </w:tcPr>
          <w:p>
            <w:pPr>
              <w:spacing w:after="40" w:line="260"/>
            </w:pPr>
            <w:r>
              <w:rPr>
                <w:rFonts w:ascii="Georgia" w:cs="Georgia" w:eastAsia="Georgia" w:hAnsi="Georgia"/>
                <w:b/>
                <w:bCs/>
                <w:sz w:val="20"/>
                <w:szCs w:val="20"/>
              </w:rPr>
              <w:t xml:space="preserve">Fallo observado</w:t>
            </w:r>
          </w:p>
        </w:tc>
        <w:tc>
          <w:tcPr>
            <w:tcW w:type="dxa" w:w="3860"/>
            <w:shd w:fill="DDE7F0" w:val="clear"/>
            <w:tcMar>
              <w:top w:type="dxa" w:w="80"/>
              <w:left w:type="dxa" w:w="120"/>
              <w:bottom w:type="dxa" w:w="80"/>
              <w:right w:type="dxa" w:w="120"/>
            </w:tcMar>
          </w:tcPr>
          <w:p>
            <w:pPr>
              <w:spacing w:after="40" w:line="260"/>
            </w:pPr>
            <w:r>
              <w:rPr>
                <w:rFonts w:ascii="Georgia" w:cs="Georgia" w:eastAsia="Georgia" w:hAnsi="Georgia"/>
                <w:b/>
                <w:bCs/>
                <w:sz w:val="20"/>
                <w:szCs w:val="20"/>
              </w:rPr>
              <w:t xml:space="preserve">Especificación que impone</w:t>
            </w:r>
          </w:p>
        </w:tc>
      </w:tr>
      <w:tr>
        <w:tc>
          <w:tcPr>
            <w:tcW w:type="dxa" w:w="19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Albertus (global)</w:t>
            </w:r>
          </w:p>
        </w:tc>
        <w:tc>
          <w:tcPr>
            <w:tcW w:type="dxa" w:w="36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La legislación ordinaria es vetada por la élite con representación política</w:t>
            </w:r>
          </w:p>
        </w:tc>
        <w:tc>
          <w:tcPr>
            <w:tcW w:type="dxa" w:w="386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El mecanismo debe ser automático, no discrecional: que no requiera votar cada hectárea</w:t>
            </w:r>
          </w:p>
        </w:tc>
      </w:tr>
      <w:tr>
        <w:tc>
          <w:tcPr>
            <w:tcW w:type="dxa" w:w="190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Colombia, julio 2026</w:t>
            </w:r>
          </w:p>
        </w:tc>
        <w:tc>
          <w:tcPr>
            <w:tcW w:type="dxa" w:w="360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Lo redistribuido por decisión ejecutiva se revierte al cambiar el gobierno</w:t>
            </w:r>
          </w:p>
        </w:tc>
        <w:tc>
          <w:tcPr>
            <w:tcW w:type="dxa" w:w="386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El mecanismo debe estar aislado de la alternancia política, como un banco central</w:t>
            </w:r>
          </w:p>
        </w:tc>
      </w:tr>
      <w:tr>
        <w:tc>
          <w:tcPr>
            <w:tcW w:type="dxa" w:w="19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Sudáfrica (1994–2026)</w:t>
            </w:r>
          </w:p>
        </w:tc>
        <w:tc>
          <w:tcPr>
            <w:tcW w:type="dxa" w:w="36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El vendedor voluntario monetiza su veto: vende lo peor, al mayor precio, cuando quiere</w:t>
            </w:r>
          </w:p>
        </w:tc>
        <w:tc>
          <w:tcPr>
            <w:tcW w:type="dxa" w:w="386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El mecanismo debe alterar los incentivos de retener, no rogar la venta</w:t>
            </w:r>
          </w:p>
        </w:tc>
      </w:tr>
      <w:tr>
        <w:tc>
          <w:tcPr>
            <w:tcW w:type="dxa" w:w="190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COFOPRI / de Soto (Perú)</w:t>
            </w:r>
          </w:p>
        </w:tc>
        <w:tc>
          <w:tcPr>
            <w:tcW w:type="dxa" w:w="360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El título sin crédito ni infraestructura es papel muerto</w:t>
            </w:r>
          </w:p>
        </w:tc>
        <w:tc>
          <w:tcPr>
            <w:tcW w:type="dxa" w:w="386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La transferencia debe llegar empaquetada con crédito, asistencia y mercado</w:t>
            </w:r>
          </w:p>
        </w:tc>
      </w:tr>
      <w:tr>
        <w:tc>
          <w:tcPr>
            <w:tcW w:type="dxa" w:w="19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Piketty (r &gt; g)</w:t>
            </w:r>
          </w:p>
        </w:tc>
        <w:tc>
          <w:tcPr>
            <w:tcW w:type="dxa" w:w="36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La dispersión inicial se reconcentra sola en una generación</w:t>
            </w:r>
          </w:p>
        </w:tc>
        <w:tc>
          <w:tcPr>
            <w:tcW w:type="dxa" w:w="386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Frenos permanentes a la reacumulación, no solo reparto inicial</w:t>
            </w:r>
          </w:p>
        </w:tc>
      </w:tr>
      <w:tr>
        <w:tc>
          <w:tcPr>
            <w:tcW w:type="dxa" w:w="190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Kerala (1957–1970)</w:t>
            </w:r>
          </w:p>
        </w:tc>
        <w:tc>
          <w:tcPr>
            <w:tcW w:type="dxa" w:w="360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La reforma sobrevivió porque una organización sobrevivió a los gobiernos</w:t>
            </w:r>
          </w:p>
        </w:tc>
        <w:tc>
          <w:tcPr>
            <w:tcW w:type="dxa" w:w="386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El mecanismo debe crear su propia base social defensora</w:t>
            </w:r>
          </w:p>
        </w:tc>
      </w:tr>
      <w:tr>
        <w:tc>
          <w:tcPr>
            <w:tcW w:type="dxa" w:w="19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Japón / Taiwán</w:t>
            </w:r>
          </w:p>
        </w:tc>
        <w:tc>
          <w:tcPr>
            <w:tcW w:type="dxa" w:w="36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Funcionó porque la autoridad no dependía de los terratenientes</w:t>
            </w:r>
          </w:p>
        </w:tc>
        <w:tc>
          <w:tcPr>
            <w:tcW w:type="dxa" w:w="386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Sin ocupante externo, hay que comprar la neutralidad de una fracción de la élite, no derrotarla frontalmente</w:t>
            </w:r>
          </w:p>
        </w:tc>
      </w:tr>
    </w:tbl>
    <w:p>
      <w:pPr>
        <w:spacing w:after="160"/>
      </w:pPr>
    </w:p>
    <w:p>
      <w:pPr>
        <w:spacing w:after="160" w:line="300"/>
        <w:jc w:val="both"/>
      </w:pPr>
      <w:r>
        <w:rPr>
          <w:rFonts w:ascii="Georgia" w:cs="Georgia" w:eastAsia="Georgia" w:hAnsi="Georgia"/>
          <w:sz w:val="22"/>
          <w:szCs w:val="22"/>
        </w:rPr>
        <w:t xml:space="preserve">La última especificación es la menos intuitiva y la más importante. El único mecanismo de redistribución de stock que ha sobrevivido cincuenta años dentro de una democracia sin reversión es el ESOP estadounidense (más de 6.400 empresas, más de 2 billones de dólares en activos). Su arquitecto legislativo, el senador Russell Long, no diseñó una confrontación con el dueño del capital: diseñó un incentivo. La sección 1042 del código tributario permite al dueño que vende su empresa a sus trabajadores diferir indefinidamente el impuesto a las ganancias de capital. El vendedor no es la víctima de la redistribución; es su beneficiario. Por eso la élite no lo veta.</w:t>
      </w:r>
    </w:p>
    <w:p>
      <w:pPr>
        <w:pStyle w:val="Heading1"/>
        <w:spacing w:after="200" w:before="360"/>
      </w:pPr>
      <w:r>
        <w:rPr>
          <w:rFonts w:ascii="Georgia" w:cs="Georgia" w:eastAsia="Georgia" w:hAnsi="Georgia"/>
          <w:b/>
          <w:bCs/>
          <w:color w:val="1F3B57"/>
          <w:sz w:val="30"/>
          <w:szCs w:val="30"/>
        </w:rPr>
        <w:t xml:space="preserve">4. El fundamento teórico: Henry George</w:t>
      </w:r>
    </w:p>
    <w:p>
      <w:pPr>
        <w:spacing w:after="160" w:line="300"/>
        <w:jc w:val="both"/>
      </w:pPr>
      <w:r>
        <w:rPr>
          <w:rFonts w:ascii="Georgia" w:cs="Georgia" w:eastAsia="Georgia" w:hAnsi="Georgia"/>
          <w:sz w:val="22"/>
          <w:szCs w:val="22"/>
        </w:rPr>
        <w:t xml:space="preserve">El motor del mecanismo proviene de Henry George (Progress and Poverty, 1879): el impuesto al valor del suelo. Su lógica resuelve el problema sudafricano de raíz, porque entiende algo que ni la compra negociada ni la expropiación entienden:</w:t>
      </w:r>
    </w:p>
    <w:p>
      <w:pPr>
        <w:spacing w:after="200" w:before="120"/>
        <w:jc w:val="center"/>
      </w:pPr>
      <w:r>
        <w:rPr>
          <w:rFonts w:ascii="Georgia" w:cs="Georgia" w:eastAsia="Georgia" w:hAnsi="Georgia"/>
          <w:b/>
          <w:bCs/>
          <w:i/>
          <w:iCs/>
          <w:sz w:val="22"/>
          <w:szCs w:val="22"/>
        </w:rPr>
        <w:t xml:space="preserve">No es necesario quitarle la tierra a nadie. Es necesario hacer que retenerla ociosa sea ruinoso.</w:t>
      </w:r>
    </w:p>
    <w:p>
      <w:pPr>
        <w:spacing w:after="160" w:line="300"/>
        <w:jc w:val="both"/>
      </w:pPr>
      <w:r>
        <w:rPr>
          <w:rFonts w:ascii="Georgia" w:cs="Georgia" w:eastAsia="Georgia" w:hAnsi="Georgia"/>
          <w:sz w:val="22"/>
          <w:szCs w:val="22"/>
        </w:rPr>
        <w:t xml:space="preserve">Un impuesto fuertemente progresivo sobre el valor del suelo (no de las construcciones ni las mejoras), con recargos por concentración y por improductividad, invierte la lógica del vendedor voluntario: ya no es el Estado rogando comprar y el terrateniente eligiendo qué, cuándo y a cuánto vende; es el terrateniente calculando cada año cuánto le cuesta no vender la tierra que no explota. La oferta de tierra aparece sola, a precios que caen en vez de inflarse, sin un solo acto de coacción sobre la propiedad. Milton Friedman lo describió como el impuesto menos distorsionante que existe.</w:t>
      </w:r>
    </w:p>
    <w:p>
      <w:pPr>
        <w:spacing w:after="160" w:line="300"/>
        <w:jc w:val="both"/>
      </w:pPr>
      <w:r>
        <w:rPr>
          <w:rFonts w:ascii="Georgia" w:cs="Georgia" w:eastAsia="Georgia" w:hAnsi="Georgia"/>
          <w:sz w:val="22"/>
          <w:szCs w:val="22"/>
        </w:rPr>
        <w:t xml:space="preserve">Ventaja adicional respecto al problema de Albertus: un impuesto es automático. Se legisla una vez y opera solo, todos los años, sin que ningún congreso deba aprobar hectárea por hectárea. Comprime la guerra permanente de la redistribución en una batalla legislativa única.</w:t>
      </w:r>
    </w:p>
    <w:p>
      <w:r>
        <w:br w:type="page"/>
      </w:r>
    </w:p>
    <w:p>
      <w:pPr>
        <w:pStyle w:val="Heading1"/>
        <w:spacing w:after="200" w:before="360"/>
      </w:pPr>
      <w:r>
        <w:rPr>
          <w:rFonts w:ascii="Georgia" w:cs="Georgia" w:eastAsia="Georgia" w:hAnsi="Georgia"/>
          <w:b/>
          <w:bCs/>
          <w:color w:val="1F3B57"/>
          <w:sz w:val="30"/>
          <w:szCs w:val="30"/>
        </w:rPr>
        <w:t xml:space="preserve">5. El mecanismo ensamblado: cinco piezas</w:t>
      </w:r>
    </w:p>
    <w:p>
      <w:pPr>
        <w:pStyle w:val="Heading2"/>
        <w:spacing w:after="160" w:before="280"/>
      </w:pPr>
      <w:r>
        <w:rPr>
          <w:rFonts w:ascii="Georgia" w:cs="Georgia" w:eastAsia="Georgia" w:hAnsi="Georgia"/>
          <w:b/>
          <w:bCs/>
          <w:color w:val="2E5A7A"/>
          <w:sz w:val="25"/>
          <w:szCs w:val="25"/>
        </w:rPr>
        <w:t xml:space="preserve">Pieza 1 — Información: el catastro como prerrequisito absoluto</w:t>
      </w:r>
    </w:p>
    <w:p>
      <w:pPr>
        <w:spacing w:after="160" w:line="300"/>
        <w:jc w:val="both"/>
      </w:pPr>
      <w:r>
        <w:rPr>
          <w:rFonts w:ascii="Georgia" w:cs="Georgia" w:eastAsia="Georgia" w:hAnsi="Georgia"/>
          <w:sz w:val="22"/>
          <w:szCs w:val="22"/>
        </w:rPr>
        <w:t xml:space="preserve">No se puede gravar ni redistribuir lo que no se puede ver. La opacidad catastral no es un accidente: es la primera línea de defensa de la concentración (tierras despojadas a nombre de testaferros, avalúos irrisorios, predios fantasma). Un catastro multipropósito completo —físico, jurídico y económico, interrelacionado con el registro— es la condición de posibilidad de todas las demás piezas. Debe incluir la identificación del beneficiario final real, atravesando sociedades y testaferros.</w:t>
      </w:r>
    </w:p>
    <w:p>
      <w:pPr>
        <w:pStyle w:val="Heading2"/>
        <w:spacing w:after="160" w:before="280"/>
      </w:pPr>
      <w:r>
        <w:rPr>
          <w:rFonts w:ascii="Georgia" w:cs="Georgia" w:eastAsia="Georgia" w:hAnsi="Georgia"/>
          <w:b/>
          <w:bCs/>
          <w:color w:val="2E5A7A"/>
          <w:sz w:val="25"/>
          <w:szCs w:val="25"/>
        </w:rPr>
        <w:t xml:space="preserve">Pieza 2 — El motor: impuesto georgista progresivo por concentración e improductividad</w:t>
      </w:r>
    </w:p>
    <w:p>
      <w:pPr>
        <w:spacing w:after="160" w:line="300"/>
        <w:jc w:val="both"/>
      </w:pPr>
      <w:r>
        <w:rPr>
          <w:rFonts w:ascii="Georgia" w:cs="Georgia" w:eastAsia="Georgia" w:hAnsi="Georgia"/>
          <w:sz w:val="22"/>
          <w:szCs w:val="22"/>
        </w:rPr>
        <w:t xml:space="preserve">Tasas de impuesto al valor del suelo que escalan con dos variables: (a) las hectáreas totales del beneficiario final —no del predio individual, para impedir el fraccionamiento formal—, y (b) la brecha entre el uso potencial del suelo (vocación agrológica) y su uso real. Tierra pequeña y productiva paga casi nada. El latifundio ganadero extensivo sobre suelo agrícola de primera calidad enfrenta tasas confiscatorias en el margen. Esto no expropia a nadie: le pone precio anual a la acumulación improductiva.</w:t>
      </w:r>
    </w:p>
    <w:p>
      <w:pPr>
        <w:pStyle w:val="Heading2"/>
        <w:spacing w:after="160" w:before="280"/>
      </w:pPr>
      <w:r>
        <w:rPr>
          <w:rFonts w:ascii="Georgia" w:cs="Georgia" w:eastAsia="Georgia" w:hAnsi="Georgia"/>
          <w:b/>
          <w:bCs/>
          <w:color w:val="2E5A7A"/>
          <w:sz w:val="25"/>
          <w:szCs w:val="25"/>
        </w:rPr>
        <w:t xml:space="preserve">Pieza 3 — La zanahoria: el modelo Long/1042 aplicado a tierra</w:t>
      </w:r>
    </w:p>
    <w:p>
      <w:pPr>
        <w:spacing w:after="160" w:line="300"/>
        <w:jc w:val="both"/>
      </w:pPr>
      <w:r>
        <w:rPr>
          <w:rFonts w:ascii="Georgia" w:cs="Georgia" w:eastAsia="Georgia" w:hAnsi="Georgia"/>
          <w:sz w:val="22"/>
          <w:szCs w:val="22"/>
        </w:rPr>
        <w:t xml:space="preserve">Quien vende al fondo de tierras (o directamente a campesinos y cooperativas acreditadas) queda exento del impuesto a la ganancia de capital y recibe el pago en bonos estatales con tratamiento fiscal preferente. Combinado con la Pieza 2, el terrateniente enfrenta un menú donde vender es la opción financieramente racional, y una fracción de la élite se convierte en aliada del mecanismo porque le resuelve su salida patrimonial. Es la lección de Japón/Taiwán traducida a clave democrática: allá la élite no pudo vetar; aquí se hace que a una fracción suficiente no le convenga vetar. No se gana contra una élite unida; se gana contra una élite dividida.</w:t>
      </w:r>
    </w:p>
    <w:p>
      <w:pPr>
        <w:pStyle w:val="Heading2"/>
        <w:spacing w:after="160" w:before="280"/>
      </w:pPr>
      <w:r>
        <w:rPr>
          <w:rFonts w:ascii="Georgia" w:cs="Georgia" w:eastAsia="Georgia" w:hAnsi="Georgia"/>
          <w:b/>
          <w:bCs/>
          <w:color w:val="2E5A7A"/>
          <w:sz w:val="25"/>
          <w:szCs w:val="25"/>
        </w:rPr>
        <w:t xml:space="preserve">Pieza 4 — El vehículo blindado: fondo de tierras con autonomía reforzada</w:t>
      </w:r>
    </w:p>
    <w:p>
      <w:pPr>
        <w:spacing w:after="160" w:line="300"/>
        <w:jc w:val="both"/>
      </w:pPr>
      <w:r>
        <w:rPr>
          <w:rFonts w:ascii="Georgia" w:cs="Georgia" w:eastAsia="Georgia" w:hAnsi="Georgia"/>
          <w:sz w:val="22"/>
          <w:szCs w:val="22"/>
        </w:rPr>
        <w:t xml:space="preserve">La compra, adjudicación y titulación no las ejecuta un ministerio (nombrado por cada presidente entrante) sino una entidad con junta de períodos escalonados que no coinciden con el ciclo presidencial, mandato de rango constitucional o estatutario, y financiación automática: el recaudo del impuesto de la Pieza 2 fluye directamente al fondo sin pasar por el presupuesto anual. La extinción de dominio (judicial sobre bienes de origen ilícito, y administrativa por inexplotación) alimenta el mismo fondo como segunda fuente, con la ventaja de legitimidad de que el "propietario" despojado por esta vía nunca tuvo un título políticamente defendible.</w:t>
      </w:r>
    </w:p>
    <w:p>
      <w:pPr>
        <w:pStyle w:val="Heading2"/>
        <w:spacing w:after="160" w:before="280"/>
      </w:pPr>
      <w:r>
        <w:rPr>
          <w:rFonts w:ascii="Georgia" w:cs="Georgia" w:eastAsia="Georgia" w:hAnsi="Georgia"/>
          <w:b/>
          <w:bCs/>
          <w:color w:val="2E5A7A"/>
          <w:sz w:val="25"/>
          <w:szCs w:val="25"/>
        </w:rPr>
        <w:t xml:space="preserve">Pieza 5 — El lado del beneficiario: paquete indivisible, freno a la reconcentración, organización</w:t>
      </w:r>
    </w:p>
    <w:p>
      <w:pPr>
        <w:spacing w:after="160" w:line="300"/>
        <w:jc w:val="both"/>
      </w:pPr>
      <w:r>
        <w:rPr>
          <w:rFonts w:ascii="Georgia" w:cs="Georgia" w:eastAsia="Georgia" w:hAnsi="Georgia"/>
          <w:sz w:val="22"/>
          <w:szCs w:val="22"/>
        </w:rPr>
        <w:t xml:space="preserve">Tres sub-piezas que responden respectivamente a COFOPRI, a Piketty y a Kerala:</w:t>
      </w:r>
    </w:p>
    <w:p>
      <w:pPr>
        <w:pStyle w:val="ListParagraph"/>
        <w:numPr>
          <w:ilvl w:val="0"/>
          <w:numId w:val="2"/>
        </w:numPr>
        <w:spacing w:after="120" w:line="300"/>
        <w:jc w:val="both"/>
      </w:pPr>
      <w:r>
        <w:rPr>
          <w:rFonts w:ascii="Georgia" w:cs="Georgia" w:eastAsia="Georgia" w:hAnsi="Georgia"/>
          <w:b/>
          <w:bCs/>
          <w:sz w:val="22"/>
          <w:szCs w:val="22"/>
        </w:rPr>
        <w:t xml:space="preserve">Paquete indivisible: </w:t>
      </w:r>
      <w:r>
        <w:rPr>
          <w:rFonts w:ascii="Georgia" w:cs="Georgia" w:eastAsia="Georgia" w:hAnsi="Georgia"/>
          <w:sz w:val="22"/>
          <w:szCs w:val="22"/>
        </w:rPr>
        <w:t xml:space="preserve">ninguna adjudicación sin crédito productivo, asistencia técnica y acceso a vía o mercado. El título solo no se entrega, porque el título solo es el fracaso peruano documentado.</w:t>
      </w:r>
    </w:p>
    <w:p>
      <w:pPr>
        <w:pStyle w:val="ListParagraph"/>
        <w:numPr>
          <w:ilvl w:val="0"/>
          <w:numId w:val="2"/>
        </w:numPr>
        <w:spacing w:after="120" w:line="300"/>
        <w:jc w:val="both"/>
      </w:pPr>
      <w:r>
        <w:rPr>
          <w:rFonts w:ascii="Georgia" w:cs="Georgia" w:eastAsia="Georgia" w:hAnsi="Georgia"/>
          <w:b/>
          <w:bCs/>
          <w:sz w:val="22"/>
          <w:szCs w:val="22"/>
        </w:rPr>
        <w:t xml:space="preserve">Freno anti-reconcentración: </w:t>
      </w:r>
      <w:r>
        <w:rPr>
          <w:rFonts w:ascii="Georgia" w:cs="Georgia" w:eastAsia="Georgia" w:hAnsi="Georgia"/>
          <w:sz w:val="22"/>
          <w:szCs w:val="22"/>
        </w:rPr>
        <w:t xml:space="preserve">la tierra adjudicada lleva restricción de reventa (10–15 años) y, después, derecho de preferencia del fondo a precio catastral. Sin esto, el acaparador o el narcotraficante recompra todo en una generación — que es literalmente la historia de la "contrarreforma agraria" colombiana de los años 80 y 90.</w:t>
      </w:r>
    </w:p>
    <w:p>
      <w:pPr>
        <w:pStyle w:val="ListParagraph"/>
        <w:numPr>
          <w:ilvl w:val="0"/>
          <w:numId w:val="2"/>
        </w:numPr>
        <w:spacing w:after="120" w:line="300"/>
        <w:jc w:val="both"/>
      </w:pPr>
      <w:r>
        <w:rPr>
          <w:rFonts w:ascii="Georgia" w:cs="Georgia" w:eastAsia="Georgia" w:hAnsi="Georgia"/>
          <w:b/>
          <w:bCs/>
          <w:sz w:val="22"/>
          <w:szCs w:val="22"/>
        </w:rPr>
        <w:t xml:space="preserve">Adjudicación preferencial a cooperativas y asociaciones campesinas con gobernanza real, </w:t>
      </w:r>
      <w:r>
        <w:rPr>
          <w:rFonts w:ascii="Georgia" w:cs="Georgia" w:eastAsia="Georgia" w:hAnsi="Georgia"/>
          <w:sz w:val="22"/>
          <w:szCs w:val="22"/>
        </w:rPr>
        <w:t xml:space="preserve">no solo a individuos dispersos. Un millón de propietarios atomizados no defiende nada; mil cooperativas con estructura son el equivalente funcional del Kisan Sabha: la base organizada que hace políticamente costoso revertir el sistema. El mecanismo fabrica sus propios defensores.</w:t>
      </w:r>
    </w:p>
    <w:p>
      <w:r>
        <w:br w:type="page"/>
      </w:r>
    </w:p>
    <w:p>
      <w:pPr>
        <w:pStyle w:val="Heading1"/>
        <w:spacing w:after="200" w:before="360"/>
      </w:pPr>
      <w:r>
        <w:rPr>
          <w:rFonts w:ascii="Georgia" w:cs="Georgia" w:eastAsia="Georgia" w:hAnsi="Georgia"/>
          <w:b/>
          <w:bCs/>
          <w:color w:val="1F3B57"/>
          <w:sz w:val="30"/>
          <w:szCs w:val="30"/>
        </w:rPr>
        <w:t xml:space="preserve">6. Verificación contra la realidad colombiana (julio de 2026)</w:t>
      </w:r>
    </w:p>
    <w:p>
      <w:pPr>
        <w:spacing w:after="160" w:line="300"/>
        <w:jc w:val="both"/>
      </w:pPr>
      <w:r>
        <w:rPr>
          <w:rFonts w:ascii="Georgia" w:cs="Georgia" w:eastAsia="Georgia" w:hAnsi="Georgia"/>
          <w:sz w:val="22"/>
          <w:szCs w:val="22"/>
        </w:rPr>
        <w:t xml:space="preserve">Un diseño que no sobrevive al contacto con la realidad específica es un ejercicio de salón. Esta sección somete cada pieza a los datos verificados del caso colombiano. Veredicto general: el diseño, en su versión nacional, no es viable hoy. El detalle importa porque indica qué se rescata, qué se adapta y qué falta por completo.</w:t>
      </w:r>
    </w:p>
    <w:p>
      <w:pPr>
        <w:pStyle w:val="Heading2"/>
        <w:spacing w:after="160" w:before="280"/>
      </w:pPr>
      <w:r>
        <w:rPr>
          <w:rFonts w:ascii="Georgia" w:cs="Georgia" w:eastAsia="Georgia" w:hAnsi="Georgia"/>
          <w:b/>
          <w:bCs/>
          <w:color w:val="2E5A7A"/>
          <w:sz w:val="25"/>
          <w:szCs w:val="25"/>
        </w:rPr>
        <w:t xml:space="preserve">6.1 Pieza 1 (catastro): más avanzada de lo esperado, pero con reloj en contra</w:t>
      </w:r>
    </w:p>
    <w:p>
      <w:pPr>
        <w:spacing w:after="160" w:line="300"/>
        <w:jc w:val="both"/>
      </w:pPr>
      <w:r>
        <w:rPr>
          <w:rFonts w:ascii="Georgia" w:cs="Georgia" w:eastAsia="Georgia" w:hAnsi="Georgia"/>
          <w:sz w:val="22"/>
          <w:szCs w:val="22"/>
        </w:rPr>
        <w:t xml:space="preserve">A febrero de 2026, Colombia cuenta con más de 75 millones de hectáreas con valores del suelo actualizados (67% del territorio nacional), de las cuales más de 44 millones tienen información catastral multipropósito completa — frente al 9,4% que existía en 2022. La proyección oficial es cerrar 2026 cerca del 63% con catastro multipropósito. En municipios PDET, cerca del 74% del área ya cuenta con actualización. El dato que valida fiscalmente el motor georgista: el IGAC estima que con avalúos actualizados el recaudo asociado al catastro podría pasar de $53,9 billones a más de $288,5 billones — un incremento potencial del 435%.</w:t>
      </w:r>
    </w:p>
    <w:p>
      <w:pPr>
        <w:spacing w:after="160" w:line="300"/>
        <w:jc w:val="both"/>
      </w:pPr>
      <w:r>
        <w:rPr>
          <w:rFonts w:ascii="Georgia" w:cs="Georgia" w:eastAsia="Georgia" w:hAnsi="Georgia"/>
          <w:sz w:val="22"/>
          <w:szCs w:val="22"/>
        </w:rPr>
        <w:t xml:space="preserve">Riesgo: la pieza depende de financiación anual del gobierno central. El gobierno De la Espriella asume el 7 de agosto de 2026, y aún faltan al menos 777 municipios de 1.103 — concentrados precisamente en las zonas de mayor despojo histórico. La pieza más avanzada es también la más fácil de matar por inanición presupuestal silenciosa. Contrapeso: un avalúo actualizado no se "des-actualiza" — cada hectárea catastrada es información que ningún gobierno futuro puede des-saber.</w:t>
      </w:r>
    </w:p>
    <w:p>
      <w:pPr>
        <w:pStyle w:val="Heading2"/>
        <w:spacing w:after="160" w:before="280"/>
      </w:pPr>
      <w:r>
        <w:rPr>
          <w:rFonts w:ascii="Georgia" w:cs="Georgia" w:eastAsia="Georgia" w:hAnsi="Georgia"/>
          <w:b/>
          <w:bCs/>
          <w:color w:val="2E5A7A"/>
          <w:sz w:val="25"/>
          <w:szCs w:val="25"/>
        </w:rPr>
        <w:t xml:space="preserve">6.2 Pieza 2 (motor georgista): bloqueo constitucional parcial, con dos puertas existentes</w:t>
      </w:r>
    </w:p>
    <w:p>
      <w:pPr>
        <w:spacing w:after="160" w:line="300"/>
        <w:jc w:val="both"/>
      </w:pPr>
      <w:r>
        <w:rPr>
          <w:rFonts w:ascii="Georgia" w:cs="Georgia" w:eastAsia="Georgia" w:hAnsi="Georgia"/>
          <w:sz w:val="22"/>
          <w:szCs w:val="22"/>
        </w:rPr>
        <w:t xml:space="preserve">El artículo 317 de la Constitución reserva a los municipios el gravamen sobre la propiedad inmueble: un impuesto georgista nacional exigiría reforma constitucional, inviable en el horizonte actual. Además, la Ley 44 de 1990 y la Ley 1995 de 2019 imponen topes al crecimiento del predial (IPC + 8 puntos; máximo 50% para predios sin actualización catastral) que capan cualquier función disuasiva sobre el latifundio improductivo.</w:t>
      </w:r>
    </w:p>
    <w:p>
      <w:pPr>
        <w:spacing w:after="160" w:line="300"/>
        <w:jc w:val="both"/>
      </w:pPr>
      <w:r>
        <w:rPr>
          <w:rFonts w:ascii="Georgia" w:cs="Georgia" w:eastAsia="Georgia" w:hAnsi="Georgia"/>
          <w:sz w:val="22"/>
          <w:szCs w:val="22"/>
        </w:rPr>
        <w:t xml:space="preserve">Pero existen dos puertas que el diseño no necesita inventar. Primera: el predial es municipal — el motor puede encenderse municipio por municipio donde converjan catastro actualizado y voluntad política local, sin pasar por el Congreso nacional. Segunda: la extinción administrativa de dominio por inexplotación ya es ley colombiana (Ley 160 de 1994, heredera de la Ley 200 de 1936 de López Pumarejo). La función social de la propiedad está en el artículo 58 de la Constitución y la Corte Constitucional la ha sostenido. Tierra inexplotada durante tres años puede extinguirse sin compensación, constitucionalmente. El instrumento duerme; no hay que crearlo, hay que usarlo.</w:t>
      </w:r>
    </w:p>
    <w:p>
      <w:pPr>
        <w:pStyle w:val="Heading2"/>
        <w:spacing w:after="160" w:before="280"/>
      </w:pPr>
      <w:r>
        <w:rPr>
          <w:rFonts w:ascii="Georgia" w:cs="Georgia" w:eastAsia="Georgia" w:hAnsi="Georgia"/>
          <w:b/>
          <w:bCs/>
          <w:color w:val="2E5A7A"/>
          <w:sz w:val="25"/>
          <w:szCs w:val="25"/>
        </w:rPr>
        <w:t xml:space="preserve">6.3 Pieza 3 (zanahoria fiscal): jurídicamente viable, políticamente diluida en la práctica</w:t>
      </w:r>
    </w:p>
    <w:p>
      <w:pPr>
        <w:spacing w:after="160" w:line="300"/>
        <w:jc w:val="both"/>
      </w:pPr>
      <w:r>
        <w:rPr>
          <w:rFonts w:ascii="Georgia" w:cs="Georgia" w:eastAsia="Georgia" w:hAnsi="Georgia"/>
          <w:sz w:val="22"/>
          <w:szCs w:val="22"/>
        </w:rPr>
        <w:t xml:space="preserve">Esta pieza no es hipotética: se intentó, con la lógica georgista casi textual, y su historia entre 2022 y 2026 es la ilustración empírica más directa de por qué el diseño original subestimó la dificultad. En 2022, antes de posesionarse, Petro planteó gravar el latifundio improductivo (más de 1.000 hectáreas) explicando el mecanismo con una lógica idéntica a la de Henry George: subir el impuesto no sube el precio de la tierra, lo baja, porque el dueño la pone a producir para pagar el impuesto o la vende. La entonces ministra de Agricultura, Cecilia López, lo confirmó: sin expropiación, pero con impuestos mucho más altos a quien no volviera rentable su tierra, financiando con ese recaudo la compra estatal para redistribuir.</w:t>
      </w:r>
    </w:p>
    <w:p>
      <w:pPr>
        <w:spacing w:after="160" w:line="300"/>
        <w:jc w:val="both"/>
      </w:pPr>
      <w:r>
        <w:rPr>
          <w:rFonts w:ascii="Georgia" w:cs="Georgia" w:eastAsia="Georgia" w:hAnsi="Georgia"/>
          <w:sz w:val="22"/>
          <w:szCs w:val="22"/>
        </w:rPr>
        <w:t xml:space="preserve">Lo que se legisló después fue casi lo contrario. Cuando el catastro multipropósito actualizó avalúos masivamente, el predial subió para todos —también para el pequeño campesino, en algunos casos más de 1.000%—, porque el proyecto de 2023 que habría diferenciado protección al pequeño propietario de mayor carga al latifundio improductivo se hundió en el Congreso; Petro atribuyó el hundimiento a congresistas aliados de "terratenientes que no quieren pagar impuestos por sus haciendas improductivas". En 2024 la idea se diluyó dentro del impuesto al patrimonio general sobre "activos improductivos" de los "superricos" —ya no un instrumento catastral específico sobre uso del suelo rural, sino una ampliación de la base del impuesto a la riqueza. La Resolución 2057 de diciembre de 2025 disparó el predial de forma generalizada sin ese filtro, generando protestas incluso de sectores petristas, y Petro terminó delegando la diferenciación a los concejos municipales — la misma puerta municipal que este documento identifica como la única viable dado el artículo 317 constitucional. Una quinta reforma tributaria, ordenada el 11 de julio de 2026 para radicarse el 20 de julio, revive la idea como "renta presuntiva sobre la improductividad de la tierra", pero con el gobierno entregando el poder el 7 de agosto, analistas ya la describen como un saludo a la bandera.</w:t>
      </w:r>
    </w:p>
    <w:p>
      <w:pPr>
        <w:spacing w:after="160" w:line="300"/>
        <w:jc w:val="both"/>
      </w:pPr>
      <w:r>
        <w:rPr>
          <w:rFonts w:ascii="Georgia" w:cs="Georgia" w:eastAsia="Georgia" w:hAnsi="Georgia"/>
          <w:sz w:val="22"/>
          <w:szCs w:val="22"/>
        </w:rPr>
        <w:t xml:space="preserve">La lección de diseño: la pieza murió menos por derrota legislativa explícita que por dilución — se fusionó con la actualización catastral general en la percepción pública, se personalizó en un solo gobierno, y se defendió reactivamente en vez de instalarse con una coalición transversal desde el inicio.</w:t>
      </w:r>
    </w:p>
    <w:p>
      <w:pPr>
        <w:pStyle w:val="Heading2"/>
        <w:spacing w:after="160" w:before="280"/>
      </w:pPr>
      <w:r>
        <w:rPr>
          <w:rFonts w:ascii="Georgia" w:cs="Georgia" w:eastAsia="Georgia" w:hAnsi="Georgia"/>
          <w:b/>
          <w:bCs/>
          <w:color w:val="2E5A7A"/>
          <w:sz w:val="25"/>
          <w:szCs w:val="25"/>
        </w:rPr>
        <w:t xml:space="preserve">6.4 Pieza 4 (fondo autónomo): la historia colombiana la contradice directamente</w:t>
      </w:r>
    </w:p>
    <w:p>
      <w:pPr>
        <w:spacing w:after="160" w:line="300"/>
        <w:jc w:val="both"/>
      </w:pPr>
      <w:r>
        <w:rPr>
          <w:rFonts w:ascii="Georgia" w:cs="Georgia" w:eastAsia="Georgia" w:hAnsi="Georgia"/>
          <w:sz w:val="22"/>
          <w:szCs w:val="22"/>
        </w:rPr>
        <w:t xml:space="preserve">Colombia ya intentó blindar la reforma en institucionalidad: el INCORA (Ley 135 de 1961). La élite no lo derogó — lo capturó y lo vació por dentro. El Pacto de Chicoral (1972) es el caso de manual: la contrarreforma se ejecutó con la institución en pie, redefiniendo sus criterios operativos. La lección: la autonomía formal tipo banco central protege del ciclo electoral, pero el Banco de la República funciona porque la élite financiera quiere que funcione. Un fondo de tierras autónomo operaría contra la élite territorial, y la autonomía de papel no resiste esa asimetría. La pieza requiere rediseño: la autonomía debe apoyarse en actores con interés propio en su funcionamiento (cooperativas beneficiarias con asiento en la junta, banca multilateral como financiador condicionado, veeduría internacional), no solo en arquitectura jurídica.</w:t>
      </w:r>
    </w:p>
    <w:p>
      <w:pPr>
        <w:pStyle w:val="Heading2"/>
        <w:spacing w:after="160" w:before="280"/>
      </w:pPr>
      <w:r>
        <w:rPr>
          <w:rFonts w:ascii="Georgia" w:cs="Georgia" w:eastAsia="Georgia" w:hAnsi="Georgia"/>
          <w:b/>
          <w:bCs/>
          <w:color w:val="2E5A7A"/>
          <w:sz w:val="25"/>
          <w:szCs w:val="25"/>
        </w:rPr>
        <w:t xml:space="preserve">6.5 El defecto fatal: el diseño asumió que la contraparte pelea con abogados</w:t>
      </w:r>
    </w:p>
    <w:p>
      <w:pPr>
        <w:spacing w:after="160" w:line="300"/>
        <w:jc w:val="both"/>
      </w:pPr>
      <w:r>
        <w:rPr>
          <w:rFonts w:ascii="Georgia" w:cs="Georgia" w:eastAsia="Georgia" w:hAnsi="Georgia"/>
          <w:sz w:val="22"/>
          <w:szCs w:val="22"/>
        </w:rPr>
        <w:t xml:space="preserve">Todo el ensamblaje —el marco de Albertus incluido— modela el veto de la élite como veto institucional: bancadas, cortes, notarías, presupuestos. En Colombia existe un segundo veto que ningún diseño institucional toca: la violencia. Entre junio de 2011 y abril de 2018 fueron asesinados al menos 45 líderes de tierras (informe de la Procuraduría); los homicidios contra personas en procesos de restitución se triplicaron entre 2015 y 2017. En el 80% de los casos analizados por la Fundación Forjando Futuros, los beneficiarios temen retornar por amenazas; en Mutatá (Antioquia) las entregas materiales de predios fueron suspendidas indefinidamente por ausencia de condiciones de seguridad. Y el discurso legitimador viene de la cúspide gremial: la restitución fue presentada públicamente como "la cuota inicial del control territorial de ciertos actores armados" — reclamar tierra equiparado a subversión, con las implicaciones letales que esa etiqueta ha tenido en la historia colombiana.</w:t>
      </w:r>
    </w:p>
    <w:p>
      <w:pPr>
        <w:spacing w:after="160" w:line="300"/>
        <w:jc w:val="both"/>
      </w:pPr>
      <w:r>
        <w:rPr>
          <w:rFonts w:ascii="Georgia" w:cs="Georgia" w:eastAsia="Georgia" w:hAnsi="Georgia"/>
          <w:sz w:val="22"/>
          <w:szCs w:val="22"/>
        </w:rPr>
        <w:t xml:space="preserve">La consecuencia de diseño es severa: la Pieza 5c (cooperativas como base defensora tipo Kerala) es, en el contexto colombiano actual, una lista de objetivos. El Kisan Sabha enfrentaba terratenientes con abogados y una policía estatal hostil; nunca enfrentó estructuras paramilitares. Cualquier mecanismo que organice campesinos visiblemente alrededor de la tierra, sin resolver primero quién controla militarmente el territorio, convierte la organización en el mecanismo de selección de víctimas. Esta no es una pieza reparable con un parche: es una precondición previa a todo el diseño. La redistribución de stock en Colombia es, antes que un problema fiscal o institucional, un problema de monopolio estatal de la fuerza que no existe en los territorios relevantes.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shd w:fill="DDE7F0" w:val="clear"/>
            <w:tcMar>
              <w:top w:type="dxa" w:w="80"/>
              <w:left w:type="dxa" w:w="120"/>
              <w:bottom w:type="dxa" w:w="80"/>
              <w:right w:type="dxa" w:w="120"/>
            </w:tcMar>
          </w:tcPr>
          <w:p>
            <w:pPr>
              <w:spacing w:after="40" w:line="260"/>
            </w:pPr>
            <w:r>
              <w:rPr>
                <w:rFonts w:ascii="Georgia" w:cs="Georgia" w:eastAsia="Georgia" w:hAnsi="Georgia"/>
                <w:b/>
                <w:bCs/>
                <w:sz w:val="20"/>
                <w:szCs w:val="20"/>
              </w:rPr>
              <w:t xml:space="preserve">Pieza</w:t>
            </w:r>
          </w:p>
        </w:tc>
        <w:tc>
          <w:tcPr>
            <w:tcW w:type="dxa" w:w="4200"/>
            <w:shd w:fill="DDE7F0" w:val="clear"/>
            <w:tcMar>
              <w:top w:type="dxa" w:w="80"/>
              <w:left w:type="dxa" w:w="120"/>
              <w:bottom w:type="dxa" w:w="80"/>
              <w:right w:type="dxa" w:w="120"/>
            </w:tcMar>
          </w:tcPr>
          <w:p>
            <w:pPr>
              <w:spacing w:after="40" w:line="260"/>
            </w:pPr>
            <w:r>
              <w:rPr>
                <w:rFonts w:ascii="Georgia" w:cs="Georgia" w:eastAsia="Georgia" w:hAnsi="Georgia"/>
                <w:b/>
                <w:bCs/>
                <w:sz w:val="20"/>
                <w:szCs w:val="20"/>
              </w:rPr>
              <w:t xml:space="preserve">Estado en Colombia (jul. 2026)</w:t>
            </w:r>
          </w:p>
        </w:tc>
        <w:tc>
          <w:tcPr>
            <w:tcW w:type="dxa" w:w="3460"/>
            <w:shd w:fill="DDE7F0" w:val="clear"/>
            <w:tcMar>
              <w:top w:type="dxa" w:w="80"/>
              <w:left w:type="dxa" w:w="120"/>
              <w:bottom w:type="dxa" w:w="80"/>
              <w:right w:type="dxa" w:w="120"/>
            </w:tcMar>
          </w:tcPr>
          <w:p>
            <w:pPr>
              <w:spacing w:after="40" w:line="260"/>
            </w:pPr>
            <w:r>
              <w:rPr>
                <w:rFonts w:ascii="Georgia" w:cs="Georgia" w:eastAsia="Georgia" w:hAnsi="Georgia"/>
                <w:b/>
                <w:bCs/>
                <w:sz w:val="20"/>
                <w:szCs w:val="20"/>
              </w:rPr>
              <w:t xml:space="preserve">Veredicto</w:t>
            </w:r>
          </w:p>
        </w:tc>
      </w:tr>
      <w:tr>
        <w:tc>
          <w:tcPr>
            <w:tcW w:type="dxa" w:w="17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1. Catastro</w:t>
            </w:r>
          </w:p>
        </w:tc>
        <w:tc>
          <w:tcPr>
            <w:tcW w:type="dxa" w:w="42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67% del territorio con valores actualizados; 40–44% multipropósito; riesgo de desfinanciación con el gobierno entrante</w:t>
            </w:r>
          </w:p>
        </w:tc>
        <w:tc>
          <w:tcPr>
            <w:tcW w:type="dxa" w:w="346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Viable. Prioridad: defenderla</w:t>
            </w:r>
          </w:p>
        </w:tc>
      </w:tr>
      <w:tr>
        <w:tc>
          <w:tcPr>
            <w:tcW w:type="dxa" w:w="170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2. Motor georgista</w:t>
            </w:r>
          </w:p>
        </w:tc>
        <w:tc>
          <w:tcPr>
            <w:tcW w:type="dxa" w:w="420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Bloqueado a nivel nacional (art. 317 C.P.; topes Ley 44/1990 y 1995/2019). Puertas: predial municipal + extinción por inexplotación (Ley 160/1994)</w:t>
            </w:r>
          </w:p>
        </w:tc>
        <w:tc>
          <w:tcPr>
            <w:tcW w:type="dxa" w:w="346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Adaptable a escala municipal</w:t>
            </w:r>
          </w:p>
        </w:tc>
      </w:tr>
      <w:tr>
        <w:tc>
          <w:tcPr>
            <w:tcW w:type="dxa" w:w="17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3. Zanahoria fiscal</w:t>
            </w:r>
          </w:p>
        </w:tc>
        <w:tc>
          <w:tcPr>
            <w:tcW w:type="dxa" w:w="42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Requiere ley ordinaria; sin ventana legislativa por 4+ años</w:t>
            </w:r>
          </w:p>
        </w:tc>
        <w:tc>
          <w:tcPr>
            <w:tcW w:type="dxa" w:w="346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En pausa; diseño listo para ventana futura</w:t>
            </w:r>
          </w:p>
        </w:tc>
      </w:tr>
      <w:tr>
        <w:tc>
          <w:tcPr>
            <w:tcW w:type="dxa" w:w="170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4. Fondo autónomo</w:t>
            </w:r>
          </w:p>
        </w:tc>
        <w:tc>
          <w:tcPr>
            <w:tcW w:type="dxa" w:w="420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Precedente INCORA / Pacto de Chicoral: la autonomía formal fue capturada</w:t>
            </w:r>
          </w:p>
        </w:tc>
        <w:tc>
          <w:tcPr>
            <w:tcW w:type="dxa" w:w="3460"/>
            <w:shd w:fill="F4F7FA" w:val="clear"/>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Requiere rediseño profundo</w:t>
            </w:r>
          </w:p>
        </w:tc>
      </w:tr>
      <w:tr>
        <w:tc>
          <w:tcPr>
            <w:tcW w:type="dxa" w:w="17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5. Beneficiario + organización</w:t>
            </w:r>
          </w:p>
        </w:tc>
        <w:tc>
          <w:tcPr>
            <w:tcW w:type="dxa" w:w="420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Violencia sistemática contra reclamantes; organización visible = lista de objetivos en zonas sin control estatal</w:t>
            </w:r>
          </w:p>
        </w:tc>
        <w:tc>
          <w:tcPr>
            <w:tcW w:type="dxa" w:w="3460"/>
            <w:tcMar>
              <w:top w:type="dxa" w:w="80"/>
              <w:left w:type="dxa" w:w="120"/>
              <w:bottom w:type="dxa" w:w="80"/>
              <w:right w:type="dxa" w:w="120"/>
            </w:tcMar>
          </w:tcPr>
          <w:p>
            <w:pPr>
              <w:spacing w:after="40" w:line="260"/>
            </w:pPr>
            <w:r>
              <w:rPr>
                <w:rFonts w:ascii="Georgia" w:cs="Georgia" w:eastAsia="Georgia" w:hAnsi="Georgia"/>
                <w:b w:val="false"/>
                <w:bCs w:val="false"/>
                <w:sz w:val="20"/>
                <w:szCs w:val="20"/>
              </w:rPr>
              <w:t xml:space="preserve">Precondición de seguridad no resuelta — defecto fatal del diseño original</w:t>
            </w:r>
          </w:p>
        </w:tc>
      </w:tr>
    </w:tbl>
    <w:p>
      <w:r>
        <w:br w:type="page"/>
      </w:r>
    </w:p>
    <w:p>
      <w:pPr>
        <w:pStyle w:val="Heading1"/>
        <w:spacing w:after="200" w:before="360"/>
      </w:pPr>
      <w:r>
        <w:rPr>
          <w:rFonts w:ascii="Georgia" w:cs="Georgia" w:eastAsia="Georgia" w:hAnsi="Georgia"/>
          <w:b/>
          <w:bCs/>
          <w:color w:val="1F3B57"/>
          <w:sz w:val="30"/>
          <w:szCs w:val="30"/>
        </w:rPr>
        <w:t xml:space="preserve">7. La secuencia corregida para Colombia</w:t>
      </w:r>
    </w:p>
    <w:p>
      <w:pPr>
        <w:spacing w:after="160" w:line="300"/>
        <w:jc w:val="both"/>
      </w:pPr>
      <w:r>
        <w:rPr>
          <w:rFonts w:ascii="Georgia" w:cs="Georgia" w:eastAsia="Georgia" w:hAnsi="Georgia"/>
          <w:sz w:val="22"/>
          <w:szCs w:val="22"/>
        </w:rPr>
        <w:t xml:space="preserve">La secuencia original (catastro → impuesto → fondo → adjudicación → organización) presuponía paz territorial. La secuencia colombiana viable invierte prioridades y se vuelve geográficamente selectiva:</w:t>
      </w:r>
    </w:p>
    <w:p>
      <w:pPr>
        <w:pStyle w:val="ListParagraph"/>
        <w:numPr>
          <w:ilvl w:val="0"/>
          <w:numId w:val="3"/>
        </w:numPr>
        <w:spacing w:after="120" w:line="300"/>
        <w:jc w:val="both"/>
      </w:pPr>
      <w:r>
        <w:rPr>
          <w:rFonts w:ascii="Georgia" w:cs="Georgia" w:eastAsia="Georgia" w:hAnsi="Georgia"/>
          <w:b/>
          <w:bCs/>
          <w:sz w:val="22"/>
          <w:szCs w:val="22"/>
        </w:rPr>
        <w:t xml:space="preserve">Defender el catastro. </w:t>
      </w:r>
      <w:r>
        <w:rPr>
          <w:rFonts w:ascii="Georgia" w:cs="Georgia" w:eastAsia="Georgia" w:hAnsi="Georgia"/>
          <w:sz w:val="22"/>
          <w:szCs w:val="22"/>
        </w:rPr>
        <w:t xml:space="preserve">Es la pieza irreversible y la más amenazada. La batalla de los próximos cuatro años no es aprobar leyes nuevas: es impedir la desfinanciación del IGAC y de los gestores catastrales, mediante veeduría ciudadana, control político del Congreso, cooperación internacional (el catastro tiene crédito de banca multilateral: CONPES 3951) y presión de los propios municipios, que son los beneficiarios fiscales directos de la actualización.</w:t>
      </w:r>
    </w:p>
    <w:p>
      <w:pPr>
        <w:pStyle w:val="ListParagraph"/>
        <w:numPr>
          <w:ilvl w:val="0"/>
          <w:numId w:val="3"/>
        </w:numPr>
        <w:spacing w:after="120" w:line="300"/>
        <w:jc w:val="both"/>
      </w:pPr>
      <w:r>
        <w:rPr>
          <w:rFonts w:ascii="Georgia" w:cs="Georgia" w:eastAsia="Georgia" w:hAnsi="Georgia"/>
          <w:b/>
          <w:bCs/>
          <w:sz w:val="22"/>
          <w:szCs w:val="22"/>
        </w:rPr>
        <w:t xml:space="preserve">Motor georgista municipal, no nacional. </w:t>
      </w:r>
      <w:r>
        <w:rPr>
          <w:rFonts w:ascii="Georgia" w:cs="Georgia" w:eastAsia="Georgia" w:hAnsi="Georgia"/>
          <w:sz w:val="22"/>
          <w:szCs w:val="22"/>
        </w:rPr>
        <w:t xml:space="preserve">Pilotos en municipios que cumplan tres condiciones simultáneas: catastro actualizado, alcaldía dispuesta y control territorial estatal efectivo. Existen: Huila y Tolima registran coberturas catastrales del 100% y 99% respectivamente, con menor presencia de estructuras armadas que Urabá o Catatumbo. El estatuto tributario municipal permite tarifas diferenciales dentro de los topes legales; incluso dentro de esos topes, la sola actualización de avalúos multiplica el costo de retener tierra ociosa.</w:t>
      </w:r>
    </w:p>
    <w:p>
      <w:pPr>
        <w:pStyle w:val="ListParagraph"/>
        <w:numPr>
          <w:ilvl w:val="0"/>
          <w:numId w:val="3"/>
        </w:numPr>
        <w:spacing w:after="120" w:line="300"/>
        <w:jc w:val="both"/>
      </w:pPr>
      <w:r>
        <w:rPr>
          <w:rFonts w:ascii="Georgia" w:cs="Georgia" w:eastAsia="Georgia" w:hAnsi="Georgia"/>
          <w:b/>
          <w:bCs/>
          <w:sz w:val="22"/>
          <w:szCs w:val="22"/>
        </w:rPr>
        <w:t xml:space="preserve">Usar la extinción por inexplotación que ya es ley. </w:t>
      </w:r>
      <w:r>
        <w:rPr>
          <w:rFonts w:ascii="Georgia" w:cs="Georgia" w:eastAsia="Georgia" w:hAnsi="Georgia"/>
          <w:sz w:val="22"/>
          <w:szCs w:val="22"/>
        </w:rPr>
        <w:t xml:space="preserve">Antes de inventar instrumentos nuevos, activar el existente: la extinción administrativa de la Ley 160/1994 sobre predios inexplotados, con el catastro multipropósito (que ya incluye información agrológica sobre 76 millones de hectáreas: uso real vs. vocación del suelo) como fuente probatoria. Es litigio predio a predio, lento, pero constitucionalmente blindado y no requiere ninguna ley nueva.</w:t>
      </w:r>
    </w:p>
    <w:p>
      <w:pPr>
        <w:pStyle w:val="ListParagraph"/>
        <w:numPr>
          <w:ilvl w:val="0"/>
          <w:numId w:val="3"/>
        </w:numPr>
        <w:spacing w:after="120" w:line="300"/>
        <w:jc w:val="both"/>
      </w:pPr>
      <w:r>
        <w:rPr>
          <w:rFonts w:ascii="Georgia" w:cs="Georgia" w:eastAsia="Georgia" w:hAnsi="Georgia"/>
          <w:b/>
          <w:bCs/>
          <w:sz w:val="22"/>
          <w:szCs w:val="22"/>
        </w:rPr>
        <w:t xml:space="preserve">Construir organización en los territorios pacificados primero. </w:t>
      </w:r>
      <w:r>
        <w:rPr>
          <w:rFonts w:ascii="Georgia" w:cs="Georgia" w:eastAsia="Georgia" w:hAnsi="Georgia"/>
          <w:sz w:val="22"/>
          <w:szCs w:val="22"/>
        </w:rPr>
        <w:t xml:space="preserve">La base social tipo Kerala se construye durante los años de oposición —no después de recuperar el poder ejecutivo—, pero comenzando en las zonas donde organizarse no es una sentencia de muerte, y expandiéndose con el perímetro de seguridad, no por delante de él.</w:t>
      </w:r>
    </w:p>
    <w:p>
      <w:pPr>
        <w:pStyle w:val="ListParagraph"/>
        <w:numPr>
          <w:ilvl w:val="0"/>
          <w:numId w:val="3"/>
        </w:numPr>
        <w:spacing w:after="120" w:line="300"/>
        <w:jc w:val="both"/>
      </w:pPr>
      <w:r>
        <w:rPr>
          <w:rFonts w:ascii="Georgia" w:cs="Georgia" w:eastAsia="Georgia" w:hAnsi="Georgia"/>
          <w:b/>
          <w:bCs/>
          <w:sz w:val="22"/>
          <w:szCs w:val="22"/>
        </w:rPr>
        <w:t xml:space="preserve">La seguridad de los reclamantes como criterio de dónde, no como componente de acompañamiento. </w:t>
      </w:r>
      <w:r>
        <w:rPr>
          <w:rFonts w:ascii="Georgia" w:cs="Georgia" w:eastAsia="Georgia" w:hAnsi="Georgia"/>
          <w:sz w:val="22"/>
          <w:szCs w:val="22"/>
        </w:rPr>
        <w:t xml:space="preserve">La presencia estatal integral (no solo militar: justicia, protección efectiva, desmantelamiento de estructuras criminales locales) deja de ser un anexo del programa y pasa a ser la variable que decide en qué territorios opera todo lo demás. Donde no existe, el programa no entra — porque entrar sin ella es fabricar víctimas.</w:t>
      </w:r>
    </w:p>
    <w:p>
      <w:pPr>
        <w:spacing w:after="160"/>
      </w:pPr>
    </w:p>
    <w:p>
      <w:pPr>
        <w:spacing w:after="160" w:line="300"/>
        <w:jc w:val="both"/>
      </w:pPr>
      <w:r>
        <w:rPr>
          <w:rFonts w:ascii="Georgia" w:cs="Georgia" w:eastAsia="Georgia" w:hAnsi="Georgia"/>
          <w:sz w:val="22"/>
          <w:szCs w:val="22"/>
        </w:rPr>
        <w:t xml:space="preserve">El resultado es un diseño menos heroico que el original: gradual, selectivo, de década y media en el mejor escenario. Pero es el que sobrevive al contacto con los datos. El paso operativo inmediato es el cruce cartográfico: identificar los municipios que cumplen simultáneamente (a) catastro multipropósito actualizado, (b) seguridad territorial verificable, y (c) alta concentración de tierra improductiva según la brecha uso/vocación del componente agrológico. Ese mapa diría dónde el mecanismo puede encenderse de verdad.</w:t>
      </w:r>
    </w:p>
    <w:p>
      <w:pPr>
        <w:pStyle w:val="Heading1"/>
        <w:spacing w:after="200" w:before="360"/>
      </w:pPr>
      <w:r>
        <w:rPr>
          <w:rFonts w:ascii="Georgia" w:cs="Georgia" w:eastAsia="Georgia" w:hAnsi="Georgia"/>
          <w:b/>
          <w:bCs/>
          <w:color w:val="1F3B57"/>
          <w:sz w:val="30"/>
          <w:szCs w:val="30"/>
        </w:rPr>
        <w:t xml:space="preserve">8. Autocrítica: puntos débiles que permanecen</w:t>
      </w:r>
    </w:p>
    <w:p>
      <w:pPr>
        <w:spacing w:after="160" w:line="300"/>
        <w:jc w:val="both"/>
      </w:pPr>
      <w:r>
        <w:rPr>
          <w:rFonts w:ascii="Georgia" w:cs="Georgia" w:eastAsia="Georgia" w:hAnsi="Georgia"/>
          <w:sz w:val="22"/>
          <w:szCs w:val="22"/>
        </w:rPr>
        <w:t xml:space="preserve">Aplicando el principio δοκιμάζετε πάντα al propio diseño:</w:t>
      </w:r>
    </w:p>
    <w:p>
      <w:pPr>
        <w:pStyle w:val="ListParagraph"/>
        <w:numPr>
          <w:ilvl w:val="0"/>
          <w:numId w:val="2"/>
        </w:numPr>
        <w:spacing w:after="120" w:line="300"/>
        <w:jc w:val="both"/>
      </w:pPr>
      <w:r>
        <w:rPr>
          <w:rFonts w:ascii="Georgia" w:cs="Georgia" w:eastAsia="Georgia" w:hAnsi="Georgia"/>
          <w:b/>
          <w:bCs/>
          <w:sz w:val="22"/>
          <w:szCs w:val="22"/>
        </w:rPr>
        <w:t xml:space="preserve">El problema del bootstrap. </w:t>
      </w:r>
      <w:r>
        <w:rPr>
          <w:rFonts w:ascii="Georgia" w:cs="Georgia" w:eastAsia="Georgia" w:hAnsi="Georgia"/>
          <w:sz w:val="22"/>
          <w:szCs w:val="22"/>
        </w:rPr>
        <w:t xml:space="preserve">El paquete completo (nacional) requiere pasar por el Congreso una vez y sobrevivir a la Corte Constitucional. La batalla se comprimió de guerra permanente a batalla única, pero la batalla única sigue siendo contra la misma élite con la misma bancada. La respuesta parcial es la Pieza 3: fracturar a la élite separando a quienes quieren salida rentable de quienes quieren acumulación perpetua.</w:t>
      </w:r>
    </w:p>
    <w:p>
      <w:pPr>
        <w:pStyle w:val="ListParagraph"/>
        <w:numPr>
          <w:ilvl w:val="0"/>
          <w:numId w:val="2"/>
        </w:numPr>
        <w:spacing w:after="120" w:line="300"/>
        <w:jc w:val="both"/>
      </w:pPr>
      <w:r>
        <w:rPr>
          <w:rFonts w:ascii="Georgia" w:cs="Georgia" w:eastAsia="Georgia" w:hAnsi="Georgia"/>
          <w:b/>
          <w:bCs/>
          <w:sz w:val="22"/>
          <w:szCs w:val="22"/>
        </w:rPr>
        <w:t xml:space="preserve">La captura del avalúo. </w:t>
      </w:r>
      <w:r>
        <w:rPr>
          <w:rFonts w:ascii="Georgia" w:cs="Georgia" w:eastAsia="Georgia" w:hAnsi="Georgia"/>
          <w:sz w:val="22"/>
          <w:szCs w:val="22"/>
        </w:rPr>
        <w:t xml:space="preserve">Todo el motor depende de avalúos honestos, y los avalúos se gestionan localmente, donde la captura es más fácil. Mitigación: avalúo masivo automatizado con datos satelitales y de transacciones, auditado centralmente. Es el punto donde un adversario racional atacaría el sistema.</w:t>
      </w:r>
    </w:p>
    <w:p>
      <w:pPr>
        <w:pStyle w:val="ListParagraph"/>
        <w:numPr>
          <w:ilvl w:val="0"/>
          <w:numId w:val="2"/>
        </w:numPr>
        <w:spacing w:after="120" w:line="300"/>
        <w:jc w:val="both"/>
      </w:pPr>
      <w:r>
        <w:rPr>
          <w:rFonts w:ascii="Georgia" w:cs="Georgia" w:eastAsia="Georgia" w:hAnsi="Georgia"/>
          <w:b/>
          <w:bCs/>
          <w:sz w:val="22"/>
          <w:szCs w:val="22"/>
        </w:rPr>
        <w:t xml:space="preserve">El riesgo de la autonomía. </w:t>
      </w:r>
      <w:r>
        <w:rPr>
          <w:rFonts w:ascii="Georgia" w:cs="Georgia" w:eastAsia="Georgia" w:hAnsi="Georgia"/>
          <w:sz w:val="22"/>
          <w:szCs w:val="22"/>
        </w:rPr>
        <w:t xml:space="preserve">Un fondo autónomo capturado es peor que uno capturado sin autonomía, porque la captura se vuelve inamovible. El diseño de la junta lo es todo, y el precedente INCORA/Chicoral demuestra que el riesgo es real, no teórico.</w:t>
      </w:r>
    </w:p>
    <w:p>
      <w:pPr>
        <w:pStyle w:val="ListParagraph"/>
        <w:numPr>
          <w:ilvl w:val="0"/>
          <w:numId w:val="2"/>
        </w:numPr>
        <w:spacing w:after="120" w:line="300"/>
        <w:jc w:val="both"/>
      </w:pPr>
      <w:r>
        <w:rPr>
          <w:rFonts w:ascii="Georgia" w:cs="Georgia" w:eastAsia="Georgia" w:hAnsi="Georgia"/>
          <w:b/>
          <w:bCs/>
          <w:sz w:val="22"/>
          <w:szCs w:val="22"/>
        </w:rPr>
        <w:t xml:space="preserve">La incógnita de secuencia. </w:t>
      </w:r>
      <w:r>
        <w:rPr>
          <w:rFonts w:ascii="Georgia" w:cs="Georgia" w:eastAsia="Georgia" w:hAnsi="Georgia"/>
          <w:sz w:val="22"/>
          <w:szCs w:val="22"/>
        </w:rPr>
        <w:t xml:space="preserve">Kerala tenía el movimiento antes de la ley. Este diseño intenta que la ley (y los pilotos municipales) fabriquen el movimiento. No hay precedente claro de que funcione en ese orden. Es la apuesta más incierta del ensamblaje.</w:t>
      </w:r>
    </w:p>
    <w:p>
      <w:pPr>
        <w:pStyle w:val="ListParagraph"/>
        <w:numPr>
          <w:ilvl w:val="0"/>
          <w:numId w:val="2"/>
        </w:numPr>
        <w:spacing w:after="120" w:line="300"/>
        <w:jc w:val="both"/>
      </w:pPr>
      <w:r>
        <w:rPr>
          <w:rFonts w:ascii="Georgia" w:cs="Georgia" w:eastAsia="Georgia" w:hAnsi="Georgia"/>
          <w:b/>
          <w:bCs/>
          <w:sz w:val="22"/>
          <w:szCs w:val="22"/>
        </w:rPr>
        <w:t xml:space="preserve">La restricción de reventa tiene costos. </w:t>
      </w:r>
      <w:r>
        <w:rPr>
          <w:rFonts w:ascii="Georgia" w:cs="Georgia" w:eastAsia="Georgia" w:hAnsi="Georgia"/>
          <w:sz w:val="22"/>
          <w:szCs w:val="22"/>
        </w:rPr>
        <w:t xml:space="preserve">Limitar la enajenación 10–15 años protege contra la reconcentración, pero también reduce el valor del activo como colateral de crédito — tensión directa con la lección de COFOPRI. El equilibrio (permitir hipoteca al fondo o a banca pública, prohibir venta a terceros) requiere ingeniería fina.</w:t>
      </w:r>
    </w:p>
    <w:p>
      <w:r>
        <w:br w:type="page"/>
      </w:r>
    </w:p>
    <w:p>
      <w:pPr>
        <w:pStyle w:val="Heading1"/>
        <w:spacing w:after="200" w:before="360"/>
      </w:pPr>
      <w:r>
        <w:rPr>
          <w:rFonts w:ascii="Georgia" w:cs="Georgia" w:eastAsia="Georgia" w:hAnsi="Georgia"/>
          <w:b/>
          <w:bCs/>
          <w:color w:val="1F3B57"/>
          <w:sz w:val="30"/>
          <w:szCs w:val="30"/>
        </w:rPr>
        <w:t xml:space="preserve">9. Blindaje de la idea en el debate público</w:t>
      </w:r>
    </w:p>
    <w:p>
      <w:pPr>
        <w:spacing w:after="160" w:line="300"/>
        <w:jc w:val="both"/>
      </w:pPr>
      <w:r>
        <w:rPr>
          <w:rFonts w:ascii="Georgia" w:cs="Georgia" w:eastAsia="Georgia" w:hAnsi="Georgia"/>
          <w:sz w:val="22"/>
          <w:szCs w:val="22"/>
        </w:rPr>
        <w:t xml:space="preserve">El caso del "impuesto a la tierra ociosa" (sección 6.3) no murió por derrota argumental: murió por ejecución retórica. Antes de repetir la táctica, hay que nombrar el fallo con precisión, porque un blindaje que no corrige la causa de la muerte anterior es cosmético.</w:t>
      </w:r>
    </w:p>
    <w:p>
      <w:pPr>
        <w:pStyle w:val="Heading2"/>
        <w:spacing w:after="160" w:before="280"/>
      </w:pPr>
      <w:r>
        <w:rPr>
          <w:rFonts w:ascii="Georgia" w:cs="Georgia" w:eastAsia="Georgia" w:hAnsi="Georgia"/>
          <w:b/>
          <w:bCs/>
          <w:color w:val="2E5A7A"/>
          <w:sz w:val="25"/>
          <w:szCs w:val="25"/>
        </w:rPr>
        <w:t xml:space="preserve">9.1 Diagnóstico de la muerte comunicacional</w:t>
      </w:r>
    </w:p>
    <w:p>
      <w:pPr>
        <w:pStyle w:val="ListParagraph"/>
        <w:numPr>
          <w:ilvl w:val="0"/>
          <w:numId w:val="3"/>
        </w:numPr>
        <w:spacing w:after="120" w:line="300"/>
        <w:jc w:val="both"/>
      </w:pPr>
      <w:r>
        <w:rPr>
          <w:rFonts w:ascii="Georgia" w:cs="Georgia" w:eastAsia="Georgia" w:hAnsi="Georgia"/>
          <w:b/>
          <w:bCs/>
          <w:sz w:val="22"/>
          <w:szCs w:val="22"/>
        </w:rPr>
        <w:t xml:space="preserve">Se dejó fusionar con el predial general. </w:t>
      </w:r>
      <w:r>
        <w:rPr>
          <w:rFonts w:ascii="Georgia" w:cs="Georgia" w:eastAsia="Georgia" w:hAnsi="Georgia"/>
          <w:sz w:val="22"/>
          <w:szCs w:val="22"/>
        </w:rPr>
        <w:t xml:space="preserve">Nunca se separó, en cada mención pública, "impuesto al latifundio improductivo" de "actualización catastral general". Cuando el catastro subió el predial a todos —incluido el pequeño campesino—, la opinión pública dejó de distinguir las dos cosas, y el adversario (gremios ganaderos, sectores opositores) tuvo el mejor material posible: campesinos furiosos sirviendo de testimonio contra una política que en teoría los protegía.</w:t>
      </w:r>
    </w:p>
    <w:p>
      <w:pPr>
        <w:pStyle w:val="ListParagraph"/>
        <w:numPr>
          <w:ilvl w:val="0"/>
          <w:numId w:val="3"/>
        </w:numPr>
        <w:spacing w:after="120" w:line="300"/>
        <w:jc w:val="both"/>
      </w:pPr>
      <w:r>
        <w:rPr>
          <w:rFonts w:ascii="Georgia" w:cs="Georgia" w:eastAsia="Georgia" w:hAnsi="Georgia"/>
          <w:b/>
          <w:bCs/>
          <w:sz w:val="22"/>
          <w:szCs w:val="22"/>
        </w:rPr>
        <w:t xml:space="preserve">Se personalizó en una figura de gobierno. </w:t>
      </w:r>
      <w:r>
        <w:rPr>
          <w:rFonts w:ascii="Georgia" w:cs="Georgia" w:eastAsia="Georgia" w:hAnsi="Georgia"/>
          <w:sz w:val="22"/>
          <w:szCs w:val="22"/>
        </w:rPr>
        <w:t xml:space="preserve">La idea quedó marcada como propuesta de un presidente, no como política de Estado con linaje bipartidista (López Pumarejo, liberal, 1936). Una idea atada a una persona hereda la fecha de caducidad de esa persona — muere con el cambio de gobierno, como predicen los analistas sobre el intento de julio de 2026.</w:t>
      </w:r>
    </w:p>
    <w:p>
      <w:pPr>
        <w:pStyle w:val="ListParagraph"/>
        <w:numPr>
          <w:ilvl w:val="0"/>
          <w:numId w:val="3"/>
        </w:numPr>
        <w:spacing w:after="120" w:line="300"/>
        <w:jc w:val="both"/>
      </w:pPr>
      <w:r>
        <w:rPr>
          <w:rFonts w:ascii="Georgia" w:cs="Georgia" w:eastAsia="Georgia" w:hAnsi="Georgia"/>
          <w:b/>
          <w:bCs/>
          <w:sz w:val="22"/>
          <w:szCs w:val="22"/>
        </w:rPr>
        <w:t xml:space="preserve">Se defendió reactivamente, nunca se instaló proactivamente. </w:t>
      </w:r>
      <w:r>
        <w:rPr>
          <w:rFonts w:ascii="Georgia" w:cs="Georgia" w:eastAsia="Georgia" w:hAnsi="Georgia"/>
          <w:sz w:val="22"/>
          <w:szCs w:val="22"/>
        </w:rPr>
        <w:t xml:space="preserve">La respuesta al hundimiento del proyecto de topes fue atribuir culpas — corrección de daños, no ofensiva. Nunca hubo una campaña sostenida que dividiera públicamente a la élite ganadera entre productiva e improductiva.</w:t>
      </w:r>
    </w:p>
    <w:p>
      <w:pPr>
        <w:pStyle w:val="Heading2"/>
        <w:spacing w:after="160" w:before="280"/>
      </w:pPr>
      <w:r>
        <w:rPr>
          <w:rFonts w:ascii="Georgia" w:cs="Georgia" w:eastAsia="Georgia" w:hAnsi="Georgia"/>
          <w:b/>
          <w:bCs/>
          <w:color w:val="2E5A7A"/>
          <w:sz w:val="25"/>
          <w:szCs w:val="25"/>
        </w:rPr>
        <w:t xml:space="preserve">9.2 Seis tácticas de blindaje</w:t>
      </w:r>
    </w:p>
    <w:p>
      <w:pPr>
        <w:pStyle w:val="ListParagraph"/>
        <w:numPr>
          <w:ilvl w:val="0"/>
          <w:numId w:val="2"/>
        </w:numPr>
        <w:spacing w:after="120" w:line="300"/>
        <w:jc w:val="both"/>
      </w:pPr>
      <w:r>
        <w:rPr>
          <w:rFonts w:ascii="Georgia" w:cs="Georgia" w:eastAsia="Georgia" w:hAnsi="Georgia"/>
          <w:b/>
          <w:bCs/>
          <w:sz w:val="22"/>
          <w:szCs w:val="22"/>
        </w:rPr>
        <w:t xml:space="preserve">Desacoplar de cualquier figura de gobierno, anclar en linaje bipartidista. </w:t>
      </w:r>
      <w:r>
        <w:rPr>
          <w:rFonts w:ascii="Georgia" w:cs="Georgia" w:eastAsia="Georgia" w:hAnsi="Georgia"/>
          <w:sz w:val="22"/>
          <w:szCs w:val="22"/>
        </w:rPr>
        <w:t xml:space="preserve">Cada mención pública debe citar a López Pumarejo (liberal, 1936) y a Milton Friedman (quien llamó al impuesto a la tierra "el menos malo que existe"). Esa combinación obliga a que cualquier crítico de derecha, para atacar la idea, tenga que atacar también a Friedman.</w:t>
      </w:r>
    </w:p>
    <w:p>
      <w:pPr>
        <w:pStyle w:val="ListParagraph"/>
        <w:numPr>
          <w:ilvl w:val="0"/>
          <w:numId w:val="2"/>
        </w:numPr>
        <w:spacing w:after="120" w:line="300"/>
        <w:jc w:val="both"/>
      </w:pPr>
      <w:r>
        <w:rPr>
          <w:rFonts w:ascii="Georgia" w:cs="Georgia" w:eastAsia="Georgia" w:hAnsi="Georgia"/>
          <w:b/>
          <w:bCs/>
          <w:sz w:val="22"/>
          <w:szCs w:val="22"/>
        </w:rPr>
        <w:t xml:space="preserve">Bundling obligatorio: nunca la frase sin el umbral y la exención. </w:t>
      </w:r>
      <w:r>
        <w:rPr>
          <w:rFonts w:ascii="Georgia" w:cs="Georgia" w:eastAsia="Georgia" w:hAnsi="Georgia"/>
          <w:sz w:val="22"/>
          <w:szCs w:val="22"/>
        </w:rPr>
        <w:t xml:space="preserve">Jamás decir "impuesto a la tierra improductiva" sin especificar en la misma frase el umbral (p. ej. más de 1.000 hectáreas, baja carga animal por hectárea) y la exención explícita al pequeño propietario. Un enunciado repetible siempre idéntico es inmune a la descontextualización; separado en piezas sueltas, el adversario solo necesita citar la pieza genérica.</w:t>
      </w:r>
    </w:p>
    <w:p>
      <w:pPr>
        <w:pStyle w:val="ListParagraph"/>
        <w:numPr>
          <w:ilvl w:val="0"/>
          <w:numId w:val="2"/>
        </w:numPr>
        <w:spacing w:after="120" w:line="300"/>
        <w:jc w:val="both"/>
      </w:pPr>
      <w:r>
        <w:rPr>
          <w:rFonts w:ascii="Georgia" w:cs="Georgia" w:eastAsia="Georgia" w:hAnsi="Georgia"/>
          <w:b/>
          <w:bCs/>
          <w:sz w:val="22"/>
          <w:szCs w:val="22"/>
        </w:rPr>
        <w:t xml:space="preserve">Entrada Caballo de Horia contra el ataque más fuerte ("es expropiación disfrazada"). </w:t>
      </w:r>
      <w:r>
        <w:rPr>
          <w:rFonts w:ascii="Georgia" w:cs="Georgia" w:eastAsia="Georgia" w:hAnsi="Georgia"/>
          <w:sz w:val="22"/>
          <w:szCs w:val="22"/>
        </w:rPr>
        <w:t xml:space="preserve">No negar de entrada: aceptar la desconfianza legítima hacia cualquier cosa que suene a quitar tierra, y luego mostrar que el dueño decide — paga más si no produce, o vende al precio que fije el mercado, no el Estado. La fricción se instala después de la concesión, no antes.</w:t>
      </w:r>
    </w:p>
    <w:p>
      <w:pPr>
        <w:pStyle w:val="ListParagraph"/>
        <w:numPr>
          <w:ilvl w:val="0"/>
          <w:numId w:val="2"/>
        </w:numPr>
        <w:spacing w:after="120" w:line="300"/>
        <w:jc w:val="both"/>
      </w:pPr>
      <w:r>
        <w:rPr>
          <w:rFonts w:ascii="Georgia" w:cs="Georgia" w:eastAsia="Georgia" w:hAnsi="Georgia"/>
          <w:b/>
          <w:bCs/>
          <w:sz w:val="22"/>
          <w:szCs w:val="22"/>
        </w:rPr>
        <w:t xml:space="preserve">Fracturar la élite en público, por sector, no por persona. </w:t>
      </w:r>
      <w:r>
        <w:rPr>
          <w:rFonts w:ascii="Georgia" w:cs="Georgia" w:eastAsia="Georgia" w:hAnsi="Georgia"/>
          <w:sz w:val="22"/>
          <w:szCs w:val="22"/>
        </w:rPr>
        <w:t xml:space="preserve">El ganadero tecnificado con alta carga por hectárea es un aliado natural: compite en desventaja frente a quien retiene tierra ociosa como reserva de valor. Nombrar ese patrón sectorial (sin señalar individuos) separa a la élite productiva de la acumuladora.</w:t>
      </w:r>
    </w:p>
    <w:p>
      <w:pPr>
        <w:pStyle w:val="ListParagraph"/>
        <w:numPr>
          <w:ilvl w:val="0"/>
          <w:numId w:val="2"/>
        </w:numPr>
        <w:spacing w:after="120" w:line="300"/>
        <w:jc w:val="both"/>
      </w:pPr>
      <w:r>
        <w:rPr>
          <w:rFonts w:ascii="Georgia" w:cs="Georgia" w:eastAsia="Georgia" w:hAnsi="Georgia"/>
          <w:b/>
          <w:bCs/>
          <w:sz w:val="22"/>
          <w:szCs w:val="22"/>
        </w:rPr>
        <w:t xml:space="preserve">Conceder el punto débil antes de que lo señalen. </w:t>
      </w:r>
      <w:r>
        <w:rPr>
          <w:rFonts w:ascii="Georgia" w:cs="Georgia" w:eastAsia="Georgia" w:hAnsi="Georgia"/>
          <w:sz w:val="22"/>
          <w:szCs w:val="22"/>
        </w:rPr>
        <w:t xml:space="preserve">Admitir públicamente y primero que el mecanismo depende de avalúos honestos y que un alcalde capturado puede sabotearlo — y por eso la veeduría del avalúo importa tanto como el impuesto mismo. Quien concede la debilidad primero controla el marco de la conversación siguiente.</w:t>
      </w:r>
    </w:p>
    <w:p>
      <w:pPr>
        <w:pStyle w:val="ListParagraph"/>
        <w:numPr>
          <w:ilvl w:val="0"/>
          <w:numId w:val="2"/>
        </w:numPr>
        <w:spacing w:after="120" w:line="300"/>
        <w:jc w:val="both"/>
      </w:pPr>
      <w:r>
        <w:rPr>
          <w:rFonts w:ascii="Georgia" w:cs="Georgia" w:eastAsia="Georgia" w:hAnsi="Georgia"/>
          <w:b/>
          <w:bCs/>
          <w:sz w:val="22"/>
          <w:szCs w:val="22"/>
        </w:rPr>
        <w:t xml:space="preserve">Anclar cada afirmación en el dato agrológico ya existente, no en el argumento abstracto. </w:t>
      </w:r>
      <w:r>
        <w:rPr>
          <w:rFonts w:ascii="Georgia" w:cs="Georgia" w:eastAsia="Georgia" w:hAnsi="Georgia"/>
          <w:sz w:val="22"/>
          <w:szCs w:val="22"/>
        </w:rPr>
        <w:t xml:space="preserve">El catastro multipropósito ya tiene información de uso real versus vocación del suelo sobre 76 millones de hectáreas. Un dato concreto y verificable predio por predio es mucho más difícil de demagogizar que "hay que gravar el latifundio" en abstracto.</w:t>
      </w:r>
    </w:p>
    <w:p>
      <w:pPr>
        <w:spacing w:after="160" w:line="300"/>
        <w:jc w:val="both"/>
      </w:pPr>
      <w:r>
        <w:rPr>
          <w:rFonts w:ascii="Georgia" w:cs="Georgia" w:eastAsia="Georgia" w:hAnsi="Georgia"/>
          <w:sz w:val="22"/>
          <w:szCs w:val="22"/>
        </w:rPr>
        <w:t xml:space="preserve">La condición común a las seis tácticas: la idea sobrevive a la alternancia política solo cuando deja de sonar a consigna de un gobierno y empieza a sonar a dato verificable sobre uso del suelo que cualquier alcalde, de cualquier partido, puede aplicar mañana con herramientas que ya existen.</w:t>
      </w:r>
    </w:p>
    <w:p>
      <w:r>
        <w:br w:type="page"/>
      </w:r>
    </w:p>
    <w:p>
      <w:pPr>
        <w:pStyle w:val="Heading1"/>
        <w:spacing w:after="200" w:before="360"/>
      </w:pPr>
      <w:r>
        <w:rPr>
          <w:rFonts w:ascii="Georgia" w:cs="Georgia" w:eastAsia="Georgia" w:hAnsi="Georgia"/>
          <w:b/>
          <w:bCs/>
          <w:color w:val="1F3B57"/>
          <w:sz w:val="30"/>
          <w:szCs w:val="30"/>
        </w:rPr>
        <w:t xml:space="preserve">10. Estrategia para lograr la aprobación legislativa</w:t>
      </w:r>
    </w:p>
    <w:p>
      <w:pPr>
        <w:spacing w:after="160" w:line="300"/>
        <w:jc w:val="both"/>
      </w:pPr>
      <w:r>
        <w:rPr>
          <w:rFonts w:ascii="Georgia" w:cs="Georgia" w:eastAsia="Georgia" w:hAnsi="Georgia"/>
          <w:sz w:val="22"/>
          <w:szCs w:val="22"/>
        </w:rPr>
        <w:t xml:space="preserve">El Congreso elegido el 8 de marzo de 2026 (período 2026-2030) quedó fragmentado: Pacto Histórico lidera con 25 curules en el Senado sin alcanzar mayoría, seguido por Centro Democrático (17), Partido Liberal (13), Conservador y La U (cerca de 10 cada uno), Cambio Radical (9) y Alianza Verde (8). Ningún bloque controla la mayoría simple por sí solo, y el poder ejecutivo —en manos de un gobierno cuya base incluye al sector ganadero y terrateniente que este impuesto afectaría— puede objetar cualquier ley aprobada. Esto impone una expectativa realista: la aprobación nacional en este cuatrienio es poco probable, y la estrategia debe distinguir entre maximizar la probabilidad inmediata y construir las condiciones para el siguiente ciclo (2030).</w:t>
      </w:r>
    </w:p>
    <w:p>
      <w:pPr>
        <w:pStyle w:val="Heading2"/>
        <w:spacing w:after="160" w:before="280"/>
      </w:pPr>
      <w:r>
        <w:rPr>
          <w:rFonts w:ascii="Georgia" w:cs="Georgia" w:eastAsia="Georgia" w:hAnsi="Georgia"/>
          <w:b/>
          <w:bCs/>
          <w:color w:val="2E5A7A"/>
          <w:sz w:val="25"/>
          <w:szCs w:val="25"/>
        </w:rPr>
        <w:t xml:space="preserve">10.1 Siete tácticas</w:t>
      </w:r>
    </w:p>
    <w:p>
      <w:pPr>
        <w:pStyle w:val="ListParagraph"/>
        <w:numPr>
          <w:ilvl w:val="0"/>
          <w:numId w:val="3"/>
        </w:numPr>
        <w:spacing w:after="120" w:line="300"/>
        <w:jc w:val="both"/>
      </w:pPr>
      <w:r>
        <w:rPr>
          <w:rFonts w:ascii="Georgia" w:cs="Georgia" w:eastAsia="Georgia" w:hAnsi="Georgia"/>
          <w:b/>
          <w:bCs/>
          <w:sz w:val="22"/>
          <w:szCs w:val="22"/>
        </w:rPr>
        <w:t xml:space="preserve">Vehículo: iniciativa parlamentaria, no del ejecutivo. </w:t>
      </w:r>
      <w:r>
        <w:rPr>
          <w:rFonts w:ascii="Georgia" w:cs="Georgia" w:eastAsia="Georgia" w:hAnsi="Georgia"/>
          <w:sz w:val="22"/>
          <w:szCs w:val="22"/>
        </w:rPr>
        <w:t xml:space="preserve">Los proyectos tributarios pueden originarse en congresistas y deben iniciar en la Cámara de Representantes (art. 154 C.P.). No depender de que el gobierno lo radique. Buscar un ponente con legitimidad transversal, no etiquetado ideológicamente.</w:t>
      </w:r>
    </w:p>
    <w:p>
      <w:pPr>
        <w:pStyle w:val="ListParagraph"/>
        <w:numPr>
          <w:ilvl w:val="0"/>
          <w:numId w:val="3"/>
        </w:numPr>
        <w:spacing w:after="120" w:line="300"/>
        <w:jc w:val="both"/>
      </w:pPr>
      <w:r>
        <w:rPr>
          <w:rFonts w:ascii="Georgia" w:cs="Georgia" w:eastAsia="Georgia" w:hAnsi="Georgia"/>
          <w:b/>
          <w:bCs/>
          <w:sz w:val="22"/>
          <w:szCs w:val="22"/>
        </w:rPr>
        <w:t xml:space="preserve">Diseño angosto, desacoplado de "reforma agraria". </w:t>
      </w:r>
      <w:r>
        <w:rPr>
          <w:rFonts w:ascii="Georgia" w:cs="Georgia" w:eastAsia="Georgia" w:hAnsi="Georgia"/>
          <w:sz w:val="22"/>
          <w:szCs w:val="22"/>
        </w:rPr>
        <w:t xml:space="preserve">Un proyecto que module tarifas prediales por productividad agrológica (dato que ya genera el catastro) puede presentarse como reforma técnica de eficiencia tributaria, no como reforma agraria — evitando la politización que hundió el proyecto de 2023.</w:t>
      </w:r>
    </w:p>
    <w:p>
      <w:pPr>
        <w:pStyle w:val="ListParagraph"/>
        <w:numPr>
          <w:ilvl w:val="0"/>
          <w:numId w:val="3"/>
        </w:numPr>
        <w:spacing w:after="120" w:line="300"/>
        <w:jc w:val="both"/>
      </w:pPr>
      <w:r>
        <w:rPr>
          <w:rFonts w:ascii="Georgia" w:cs="Georgia" w:eastAsia="Georgia" w:hAnsi="Georgia"/>
          <w:b/>
          <w:bCs/>
          <w:sz w:val="22"/>
          <w:szCs w:val="22"/>
        </w:rPr>
        <w:t xml:space="preserve">Coalición matemática: cortejar a los partidos transaccionales. </w:t>
      </w:r>
      <w:r>
        <w:rPr>
          <w:rFonts w:ascii="Georgia" w:cs="Georgia" w:eastAsia="Georgia" w:hAnsi="Georgia"/>
          <w:sz w:val="22"/>
          <w:szCs w:val="22"/>
        </w:rPr>
        <w:t xml:space="preserve">Liberal, Conservador, La U y Cambio Radical negocian por incentivos regionales, no por doctrina fija. El argumento persuasivo para ellos no es la justicia redistributiva sino la renta propia municipal: más recaudo predial financia vías, acueductos y seguridad locales sin subir impuestos al elector urbano.</w:t>
      </w:r>
    </w:p>
    <w:p>
      <w:pPr>
        <w:pStyle w:val="ListParagraph"/>
        <w:numPr>
          <w:ilvl w:val="0"/>
          <w:numId w:val="3"/>
        </w:numPr>
        <w:spacing w:after="120" w:line="300"/>
        <w:jc w:val="both"/>
      </w:pPr>
      <w:r>
        <w:rPr>
          <w:rFonts w:ascii="Georgia" w:cs="Georgia" w:eastAsia="Georgia" w:hAnsi="Georgia"/>
          <w:b/>
          <w:bCs/>
          <w:sz w:val="22"/>
          <w:szCs w:val="22"/>
        </w:rPr>
        <w:t xml:space="preserve">Aprovechar la urgencia fiscal ya reconocida por el propio gobierno. </w:t>
      </w:r>
      <w:r>
        <w:rPr>
          <w:rFonts w:ascii="Georgia" w:cs="Georgia" w:eastAsia="Georgia" w:hAnsi="Georgia"/>
          <w:sz w:val="22"/>
          <w:szCs w:val="22"/>
        </w:rPr>
        <w:t xml:space="preserve">El Ministerio de Hacienda ha reconocido públicamente un hueco fiscal superior a $61,9 billones. Un proyecto de recaudo que no toque al ciudadano de a pie tiene un argumento fiscal transversal, útil incluso para congresistas que rechazarían el argumento redistributivo.</w:t>
      </w:r>
    </w:p>
    <w:p>
      <w:pPr>
        <w:pStyle w:val="ListParagraph"/>
        <w:numPr>
          <w:ilvl w:val="0"/>
          <w:numId w:val="3"/>
        </w:numPr>
        <w:spacing w:after="120" w:line="300"/>
        <w:jc w:val="both"/>
      </w:pPr>
      <w:r>
        <w:rPr>
          <w:rFonts w:ascii="Georgia" w:cs="Georgia" w:eastAsia="Georgia" w:hAnsi="Georgia"/>
          <w:b/>
          <w:bCs/>
          <w:sz w:val="22"/>
          <w:szCs w:val="22"/>
        </w:rPr>
        <w:t xml:space="preserve">Fracturar el gremio antes del debate, no durante. </w:t>
      </w:r>
      <w:r>
        <w:rPr>
          <w:rFonts w:ascii="Georgia" w:cs="Georgia" w:eastAsia="Georgia" w:hAnsi="Georgia"/>
          <w:sz w:val="22"/>
          <w:szCs w:val="22"/>
        </w:rPr>
        <w:t xml:space="preserve">Identificar públicamente, con datos del componente agrológico del catastro, a ganaderos tecnificados en desventaja frente a la tierra ociosa vecina, y buscar su respaldo explícito antes del primer debate. Un testimonio ganadero a favor pesa más que un argumento técnico.</w:t>
      </w:r>
    </w:p>
    <w:p>
      <w:pPr>
        <w:pStyle w:val="ListParagraph"/>
        <w:numPr>
          <w:ilvl w:val="0"/>
          <w:numId w:val="3"/>
        </w:numPr>
        <w:spacing w:after="120" w:line="300"/>
        <w:jc w:val="both"/>
      </w:pPr>
      <w:r>
        <w:rPr>
          <w:rFonts w:ascii="Georgia" w:cs="Georgia" w:eastAsia="Georgia" w:hAnsi="Georgia"/>
          <w:b/>
          <w:bCs/>
          <w:sz w:val="22"/>
          <w:szCs w:val="22"/>
        </w:rPr>
        <w:t xml:space="preserve">Neutralizar la objeción presidencial por costo político. </w:t>
      </w:r>
      <w:r>
        <w:rPr>
          <w:rFonts w:ascii="Georgia" w:cs="Georgia" w:eastAsia="Georgia" w:hAnsi="Georgia"/>
          <w:sz w:val="22"/>
          <w:szCs w:val="22"/>
        </w:rPr>
        <w:t xml:space="preserve">Un proyecto aprobado con votos de Liberal, Conservador y La U además de Pacto Histórico convierte una objeción presidencial en un gesto visiblemente proteccionista hacia el latifundio, no en una decisión fiscal neutral — encareciendo políticamente el veto.</w:t>
      </w:r>
    </w:p>
    <w:p>
      <w:pPr>
        <w:pStyle w:val="ListParagraph"/>
        <w:numPr>
          <w:ilvl w:val="0"/>
          <w:numId w:val="3"/>
        </w:numPr>
        <w:spacing w:after="120" w:line="300"/>
        <w:jc w:val="both"/>
      </w:pPr>
      <w:r>
        <w:rPr>
          <w:rFonts w:ascii="Georgia" w:cs="Georgia" w:eastAsia="Georgia" w:hAnsi="Georgia"/>
          <w:b/>
          <w:bCs/>
          <w:sz w:val="22"/>
          <w:szCs w:val="22"/>
        </w:rPr>
        <w:t xml:space="preserve">Correr en paralelo la vía municipal, que no depende de nada de lo anterior. </w:t>
      </w:r>
      <w:r>
        <w:rPr>
          <w:rFonts w:ascii="Georgia" w:cs="Georgia" w:eastAsia="Georgia" w:hAnsi="Georgia"/>
          <w:sz w:val="22"/>
          <w:szCs w:val="22"/>
        </w:rPr>
        <w:t xml:space="preserve">Activar ya los pilotos municipales (sección 7, paso 2) mientras el proyecto nacional avanza o se estanca. Resultados verificables de recaudo y productividad en dos o tres años son la evidencia empírica más persuasiva para el siguiente intento nacional.</w:t>
      </w:r>
    </w:p>
    <w:p>
      <w:pPr>
        <w:pStyle w:val="Heading2"/>
        <w:spacing w:after="160" w:before="280"/>
      </w:pPr>
      <w:r>
        <w:rPr>
          <w:rFonts w:ascii="Georgia" w:cs="Georgia" w:eastAsia="Georgia" w:hAnsi="Georgia"/>
          <w:b/>
          <w:bCs/>
          <w:color w:val="2E5A7A"/>
          <w:sz w:val="25"/>
          <w:szCs w:val="25"/>
        </w:rPr>
        <w:t xml:space="preserve">10.2 El horizonte realista</w:t>
      </w:r>
    </w:p>
    <w:p>
      <w:pPr>
        <w:spacing w:after="160" w:line="300"/>
        <w:jc w:val="both"/>
      </w:pPr>
      <w:r>
        <w:rPr>
          <w:rFonts w:ascii="Georgia" w:cs="Georgia" w:eastAsia="Georgia" w:hAnsi="Georgia"/>
          <w:sz w:val="22"/>
          <w:szCs w:val="22"/>
        </w:rPr>
        <w:t xml:space="preserve">Dado el mapa de fuerzas actual, el objetivo de este cuatrienio no debería ser "aprobar la ley" sino construir las tres condiciones que la hacen aprobable en el ciclo siguiente: una coalición transversal ya probada en el Congreso, evidencia municipal de que el mecanismo funciona, y un gremio dividido públicamente entre productivo y acumulador. Si sobreviene una crisis fiscal seria antes de 2030 —probable, dado el hueco ya reconocido— esa urgencia puede abrir una ventana antes de lo previsto, y quien ya tenga el proyecto diseñado y la coalición armada estará mejor posicionado para aprovecharla.</w:t>
      </w:r>
    </w:p>
    <w:p>
      <w:r>
        <w:br w:type="page"/>
      </w:r>
    </w:p>
    <w:p>
      <w:pPr>
        <w:pStyle w:val="Heading1"/>
        <w:spacing w:after="200" w:before="360"/>
      </w:pPr>
      <w:r>
        <w:rPr>
          <w:rFonts w:ascii="Georgia" w:cs="Georgia" w:eastAsia="Georgia" w:hAnsi="Georgia"/>
          <w:b/>
          <w:bCs/>
          <w:color w:val="1F3B57"/>
          <w:sz w:val="30"/>
          <w:szCs w:val="30"/>
        </w:rPr>
        <w:t xml:space="preserve">11. Referencias y fuentes principales</w:t>
      </w:r>
    </w:p>
    <w:p>
      <w:pPr>
        <w:pStyle w:val="ListParagraph"/>
        <w:numPr>
          <w:ilvl w:val="0"/>
          <w:numId w:val="4"/>
        </w:numPr>
        <w:spacing w:after="120" w:line="300"/>
        <w:jc w:val="both"/>
      </w:pPr>
      <w:r>
        <w:rPr>
          <w:rFonts w:ascii="Georgia" w:cs="Georgia" w:eastAsia="Georgia" w:hAnsi="Georgia"/>
          <w:sz w:val="22"/>
          <w:szCs w:val="22"/>
        </w:rPr>
        <w:t xml:space="preserve">Albertus, Michael (2015). Autocracy and Redistribution: The Politics of Land Reform. Cambridge University Press. [Premio Luebbert 2016; premio Bryce Wood LASA 2017]</w:t>
      </w:r>
    </w:p>
    <w:p>
      <w:pPr>
        <w:pStyle w:val="ListParagraph"/>
        <w:numPr>
          <w:ilvl w:val="0"/>
          <w:numId w:val="4"/>
        </w:numPr>
        <w:spacing w:after="120" w:line="300"/>
        <w:jc w:val="both"/>
      </w:pPr>
      <w:r>
        <w:rPr>
          <w:rFonts w:ascii="Georgia" w:cs="Georgia" w:eastAsia="Georgia" w:hAnsi="Georgia"/>
          <w:sz w:val="22"/>
          <w:szCs w:val="22"/>
        </w:rPr>
        <w:t xml:space="preserve">Albertus, Michael y Oliver Kaplan (2013). "Land Reform as a Counterinsurgency Policy: The Case of Colombia". Journal of Conflict Resolution 57(2).</w:t>
      </w:r>
    </w:p>
    <w:p>
      <w:pPr>
        <w:pStyle w:val="ListParagraph"/>
        <w:numPr>
          <w:ilvl w:val="0"/>
          <w:numId w:val="4"/>
        </w:numPr>
        <w:spacing w:after="120" w:line="300"/>
        <w:jc w:val="both"/>
      </w:pPr>
      <w:r>
        <w:rPr>
          <w:rFonts w:ascii="Georgia" w:cs="Georgia" w:eastAsia="Georgia" w:hAnsi="Georgia"/>
          <w:sz w:val="22"/>
          <w:szCs w:val="22"/>
        </w:rPr>
        <w:t xml:space="preserve">George, Henry (1879). Progress and Poverty.</w:t>
      </w:r>
    </w:p>
    <w:p>
      <w:pPr>
        <w:pStyle w:val="ListParagraph"/>
        <w:numPr>
          <w:ilvl w:val="0"/>
          <w:numId w:val="4"/>
        </w:numPr>
        <w:spacing w:after="120" w:line="300"/>
        <w:jc w:val="both"/>
      </w:pPr>
      <w:r>
        <w:rPr>
          <w:rFonts w:ascii="Georgia" w:cs="Georgia" w:eastAsia="Georgia" w:hAnsi="Georgia"/>
          <w:sz w:val="22"/>
          <w:szCs w:val="22"/>
        </w:rPr>
        <w:t xml:space="preserve">Kelso, Louis y Mortimer Adler (1958). The Capitalist Manifesto. — Y datos actuales del National Center for Employee Ownership (nceo.org): 6.400+ empresas ESOP, US$2+ billones en activos.</w:t>
      </w:r>
    </w:p>
    <w:p>
      <w:pPr>
        <w:pStyle w:val="ListParagraph"/>
        <w:numPr>
          <w:ilvl w:val="0"/>
          <w:numId w:val="4"/>
        </w:numPr>
        <w:spacing w:after="120" w:line="300"/>
        <w:jc w:val="both"/>
      </w:pPr>
      <w:r>
        <w:rPr>
          <w:rFonts w:ascii="Georgia" w:cs="Georgia" w:eastAsia="Georgia" w:hAnsi="Georgia"/>
          <w:sz w:val="22"/>
          <w:szCs w:val="22"/>
        </w:rPr>
        <w:t xml:space="preserve">Rawls, John (1971/2001). A Theory of Justice; Justice as Fairness: A Restatement. Sobre property-owning democracy: O’Neill, M. y T. Williamson (eds.) (2012), Property-Owning Democracy: Rawls and Beyond, Wiley-Blackwell.</w:t>
      </w:r>
    </w:p>
    <w:p>
      <w:pPr>
        <w:pStyle w:val="ListParagraph"/>
        <w:numPr>
          <w:ilvl w:val="0"/>
          <w:numId w:val="4"/>
        </w:numPr>
        <w:spacing w:after="120" w:line="300"/>
        <w:jc w:val="both"/>
      </w:pPr>
      <w:r>
        <w:rPr>
          <w:rFonts w:ascii="Georgia" w:cs="Georgia" w:eastAsia="Georgia" w:hAnsi="Georgia"/>
          <w:sz w:val="22"/>
          <w:szCs w:val="22"/>
        </w:rPr>
        <w:t xml:space="preserve">De Soto, Hernando (2000). El misterio del capital. — Evaluaciones críticas del programa COFOPRI (Perú): incrementos nulos o marginales en acceso a crédito tras un millón de títulos.</w:t>
      </w:r>
    </w:p>
    <w:p>
      <w:pPr>
        <w:pStyle w:val="ListParagraph"/>
        <w:numPr>
          <w:ilvl w:val="0"/>
          <w:numId w:val="4"/>
        </w:numPr>
        <w:spacing w:after="120" w:line="300"/>
        <w:jc w:val="both"/>
      </w:pPr>
      <w:r>
        <w:rPr>
          <w:rFonts w:ascii="Georgia" w:cs="Georgia" w:eastAsia="Georgia" w:hAnsi="Georgia"/>
          <w:sz w:val="22"/>
          <w:szCs w:val="22"/>
        </w:rPr>
        <w:t xml:space="preserve">Lahiff, Edward (2007). "‘Willing buyer, willing seller’: South Africa’s failed experiment in market-led agrarian reform". Third World Quarterly 28(8). Y revisión sistemática 1994–2024 (Land, MDPI, dic. 2025): menos del 14% redistribuido frente a meta del 30%.</w:t>
      </w:r>
    </w:p>
    <w:p>
      <w:pPr>
        <w:pStyle w:val="ListParagraph"/>
        <w:numPr>
          <w:ilvl w:val="0"/>
          <w:numId w:val="4"/>
        </w:numPr>
        <w:spacing w:after="120" w:line="300"/>
        <w:jc w:val="both"/>
      </w:pPr>
      <w:r>
        <w:rPr>
          <w:rFonts w:ascii="Georgia" w:cs="Georgia" w:eastAsia="Georgia" w:hAnsi="Georgia"/>
          <w:sz w:val="22"/>
          <w:szCs w:val="22"/>
        </w:rPr>
        <w:t xml:space="preserve">IGAC (feb. 2026). Avance del Catastro Multipropósito: 67% del territorio con valores del suelo actualizados; 44+ millones de hectáreas con catastro multipropósito. Recaudo potencial: de $53,9 a $288,5 billones (art. 49 PND 2022–2026).</w:t>
      </w:r>
    </w:p>
    <w:p>
      <w:pPr>
        <w:pStyle w:val="ListParagraph"/>
        <w:numPr>
          <w:ilvl w:val="0"/>
          <w:numId w:val="4"/>
        </w:numPr>
        <w:spacing w:after="120" w:line="300"/>
        <w:jc w:val="both"/>
      </w:pPr>
      <w:r>
        <w:rPr>
          <w:rFonts w:ascii="Georgia" w:cs="Georgia" w:eastAsia="Georgia" w:hAnsi="Georgia"/>
          <w:sz w:val="22"/>
          <w:szCs w:val="22"/>
        </w:rPr>
        <w:t xml:space="preserve">Procuraduría General de la Nación (2018). "Violencia sistemática contra defensores de derechos territoriales en Colombia": 45 líderes de tierras asesinados bajo la Ley 1448 (jun. 2011–abr. 2018); homicidios triplicados 2015–2017. Human Rights Watch (2013); Fundación Forjando Futuros (2019).</w:t>
      </w:r>
    </w:p>
    <w:p>
      <w:pPr>
        <w:pStyle w:val="ListParagraph"/>
        <w:numPr>
          <w:ilvl w:val="0"/>
          <w:numId w:val="4"/>
        </w:numPr>
        <w:spacing w:after="120" w:line="300"/>
        <w:jc w:val="both"/>
      </w:pPr>
      <w:r>
        <w:rPr>
          <w:rFonts w:ascii="Georgia" w:cs="Georgia" w:eastAsia="Georgia" w:hAnsi="Georgia"/>
          <w:sz w:val="22"/>
          <w:szCs w:val="22"/>
        </w:rPr>
        <w:t xml:space="preserve">Marco jurídico colombiano: Constitución Política arts. 58 y 317; Ley 200 de 1936; Ley 135 de 1961 (INCORA); Ley 160 de 1994 (extinción administrativa por inexplotación); Ley 44 de 1990 y Ley 1995 de 2019 (topes al predial); Ley 1448 de 2011 (restitución); Acuerdo de Paz de 2016, punto 1 (Reforma Rural Integral); CONPES 3859 y 3958 (catastro multipropósito).</w:t>
      </w:r>
    </w:p>
    <w:p>
      <w:pPr>
        <w:pStyle w:val="ListParagraph"/>
        <w:numPr>
          <w:ilvl w:val="0"/>
          <w:numId w:val="4"/>
        </w:numPr>
        <w:spacing w:after="120" w:line="300"/>
        <w:jc w:val="both"/>
      </w:pPr>
      <w:r>
        <w:rPr>
          <w:rFonts w:ascii="Georgia" w:cs="Georgia" w:eastAsia="Georgia" w:hAnsi="Georgia"/>
          <w:sz w:val="22"/>
          <w:szCs w:val="22"/>
        </w:rPr>
        <w:t xml:space="preserve">Sobre Kerala: Kerala Land Reforms Act 1963 y enmienda de 1969; historia del Kerala Kisan Sabha y la Vimochana Samaram (1959).</w:t>
      </w:r>
    </w:p>
    <w:p>
      <w:pPr>
        <w:pStyle w:val="ListParagraph"/>
        <w:numPr>
          <w:ilvl w:val="0"/>
          <w:numId w:val="4"/>
        </w:numPr>
        <w:spacing w:after="120" w:line="300"/>
        <w:jc w:val="both"/>
      </w:pPr>
      <w:r>
        <w:rPr>
          <w:rFonts w:ascii="Georgia" w:cs="Georgia" w:eastAsia="Georgia" w:hAnsi="Georgia"/>
          <w:sz w:val="22"/>
          <w:szCs w:val="22"/>
        </w:rPr>
        <w:t xml:space="preserve">El Colombiano (jul. 2022). Declaraciones de Cecilia López sobre impuestos a tierras improductivas al inicio del gobierno de Petro. Y entrevista de Petro, El Cronista: "Colombia necesita gravar la tierra improductiva".</w:t>
      </w:r>
    </w:p>
    <w:p>
      <w:pPr>
        <w:pStyle w:val="ListParagraph"/>
        <w:numPr>
          <w:ilvl w:val="0"/>
          <w:numId w:val="4"/>
        </w:numPr>
        <w:spacing w:after="120" w:line="300"/>
        <w:jc w:val="both"/>
      </w:pPr>
      <w:r>
        <w:rPr>
          <w:rFonts w:ascii="Georgia" w:cs="Georgia" w:eastAsia="Georgia" w:hAnsi="Georgia"/>
          <w:sz w:val="22"/>
          <w:szCs w:val="22"/>
        </w:rPr>
        <w:t xml:space="preserve">IGAC / Ministerio de Agricultura (2023-2024). Proyecto de Ley 292 de 2023 (topes al Impuesto Predial Unificado); Infobae (abr. 2026): declaraciones de Petro atribuyendo el hundimiento del proyecto al "uribismo".</w:t>
      </w:r>
    </w:p>
    <w:p>
      <w:pPr>
        <w:pStyle w:val="ListParagraph"/>
        <w:numPr>
          <w:ilvl w:val="0"/>
          <w:numId w:val="4"/>
        </w:numPr>
        <w:spacing w:after="120" w:line="300"/>
        <w:jc w:val="both"/>
      </w:pPr>
      <w:r>
        <w:rPr>
          <w:rFonts w:ascii="Georgia" w:cs="Georgia" w:eastAsia="Georgia" w:hAnsi="Georgia"/>
          <w:sz w:val="22"/>
          <w:szCs w:val="22"/>
        </w:rPr>
        <w:t xml:space="preserve">El Colombiano (sept. 2024). Cambios al impuesto al patrimonio y gravamen a "activos improductivos" en la reforma tributaria de 2024. Infobae (jun. y jul. 2026): quinta reforma tributaria y su viabilidad ("saludo a la bandera").</w:t>
      </w:r>
    </w:p>
    <w:p>
      <w:pPr>
        <w:pStyle w:val="ListParagraph"/>
        <w:numPr>
          <w:ilvl w:val="0"/>
          <w:numId w:val="4"/>
        </w:numPr>
        <w:spacing w:after="120" w:line="300"/>
        <w:jc w:val="both"/>
      </w:pPr>
      <w:r>
        <w:rPr>
          <w:rFonts w:ascii="Georgia" w:cs="Georgia" w:eastAsia="Georgia" w:hAnsi="Georgia"/>
          <w:sz w:val="22"/>
          <w:szCs w:val="22"/>
        </w:rPr>
        <w:t xml:space="preserve">Resultados electorales legislativos de Colombia, 8 de marzo de 2026: composición del Senado y la Cámara de Representantes 2026-2030 (El Tiempo, CNN, La Silla Vacía, El Heraldo, Infobae).</w:t>
      </w:r>
    </w:p>
    <w:p>
      <w:pPr>
        <w:spacing w:after="160"/>
      </w:pPr>
    </w:p>
    <w:p>
      <w:pPr>
        <w:pBdr>
          <w:top w:val="single" w:color="999999" w:sz="6" w:space="8"/>
        </w:pBdr>
        <w:spacing w:before="200"/>
      </w:pPr>
      <w:r>
        <w:rPr>
          <w:rFonts w:ascii="Georgia" w:cs="Georgia" w:eastAsia="Georgia" w:hAnsi="Georgia"/>
          <w:i/>
          <w:iCs/>
          <w:color w:val="555555"/>
          <w:sz w:val="20"/>
          <w:szCs w:val="20"/>
        </w:rPr>
        <w:t xml:space="preserve">Nota metodológica: este documento aplica el marco de análisis simétrico (verdad verificada / retórica insustancial / información manipulada) a las propias propuestas del autor, incluyendo la sección de autocrítica como parte integral del diseño y no como apéndice.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2026-07-13T14:21:58.738Z</dcterms:created>
  <dcterms:modified xsi:type="dcterms:W3CDTF">2026-07-13T14:21:58.772Z</dcterms:modified>
</cp:coreProperties>
</file>

<file path=docProps/custom.xml><?xml version="1.0" encoding="utf-8"?>
<Properties xmlns="http://schemas.openxmlformats.org/officeDocument/2006/custom-properties" xmlns:vt="http://schemas.openxmlformats.org/officeDocument/2006/docPropsVTypes"/>
</file>