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Versión</w:t>
      </w:r>
      <w:r>
        <w:t xml:space="preserve"> </w:t>
      </w:r>
      <w:r>
        <w:t xml:space="preserve">reorganizada</w:t>
      </w:r>
      <w:r>
        <w:t xml:space="preserve"> </w:t>
      </w:r>
      <w:r>
        <w:t xml:space="preserve">e</w:t>
      </w:r>
      <w:r>
        <w:t xml:space="preserve"> </w:t>
      </w:r>
      <w:r>
        <w:t xml:space="preserve">integrada</w:t>
      </w:r>
      <w:r>
        <w:t xml:space="preserve"> </w:t>
      </w:r>
      <w:r>
        <w:t xml:space="preserve">—</w:t>
      </w:r>
      <w:r>
        <w:t xml:space="preserve"> </w:t>
      </w:r>
      <w:r>
        <w:t xml:space="preserve">Junio</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 El Norte de Generación</w:t>
      </w:r>
    </w:p>
    <w:p>
      <w:pPr>
        <w:pStyle w:val="FirstParagraph"/>
      </w:pPr>
      <w:r>
        <w:t xml:space="preserve">Este programa gobierna 4 años. Pero las decisiones que toma tienen consecuencias para 16 años. La Visión Colombia 2042 no es una promesa de este gobierno —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Tigre Andino Democrático</w:t>
            </w:r>
            <w:r>
              <w:t xml:space="preserve">”</w:t>
            </w:r>
            <w:r>
              <w:t xml:space="preserve"> </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 es el único modelo que ha funcionado (Corea del Sur, Estonia, Chile, Singapur): décadas de continuidad en las apuestas fundamentales. El programa diseña las instituciones que hacen posible esa continuidad incluso cuando cambia quien gobierna —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w:t>
      </w:r>
      <w:r>
        <w:t xml:space="preserve">—en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 no lista de espera indefinida (ver 3.7).</w:t>
      </w:r>
    </w:p>
    <w:bookmarkEnd w:id="27"/>
    <w:bookmarkStart w:id="32" w:name="X0ceb240d3ae427dba8278db7de9b22587a8bb04"/>
    <w:p>
      <w:pPr>
        <w:pStyle w:val="Heading2"/>
      </w:pPr>
      <w:r>
        <w:t xml:space="preserve">3.3 Protocolo de selección de nodos —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 excepto cuando la evidencia justifica la salida.</w:t>
            </w:r>
          </w:p>
        </w:tc>
      </w:tr>
    </w:tbl>
    <w:bookmarkEnd w:id="31"/>
    <w:bookmarkEnd w:id="32"/>
    <w:bookmarkStart w:id="36" w:name="X687efcbe0f5d3bb409eb6288d02cc20b09449c7"/>
    <w:p>
      <w:pPr>
        <w:pStyle w:val="Heading2"/>
      </w:pPr>
      <w:r>
        <w:t xml:space="preserve">3.4 Blindaje de los nodos — difíciles de deshacer por capricho, no de corregir por evidencia</w:t>
      </w:r>
    </w:p>
    <w:p>
      <w:pPr>
        <w:pStyle w:val="FirstParagraph"/>
      </w:pPr>
      <w:r>
        <w:t xml:space="preserve">El riesgo central del modelo no es técnico —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 se hace autosuficiente.</w:t>
      </w:r>
    </w:p>
    <w:bookmarkEnd w:id="33"/>
    <w:bookmarkStart w:id="34" w:name="X7765cf61e6a7f2a154a8f21f99dbbfb886cb3bd"/>
    <w:p>
      <w:pPr>
        <w:pStyle w:val="Heading3"/>
      </w:pPr>
      <w:r>
        <w:t xml:space="preserve">3.4.3 El umbral de irreversibilidad —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carámbano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 su PILA sigue contando y su remesa fortalece el nodo de origen.</w:t>
      </w:r>
    </w:p>
    <w:bookmarkEnd w:id="41"/>
    <w:bookmarkStart w:id="44" w:name="frente-ii-reforma-agraria-integral"/>
    <w:p>
      <w:pPr>
        <w:pStyle w:val="Heading1"/>
      </w:pPr>
      <w:r>
        <w:t xml:space="preserve">Frente II —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 es la integración. Hacer que IA-satelital, drones y registro operen como un sistema único articulado con ANT y SNR, con un solo ingreso de dato, es una decisión de arquitectura institucional, no una inversión tecnológica nueva.</w:t>
      </w:r>
    </w:p>
    <w:bookmarkEnd w:id="43"/>
    <w:bookmarkEnd w:id="44"/>
    <w:bookmarkStart w:id="51" w:name="X6fb056096c407b019522fb160b94cd4b406fa8f"/>
    <w:p>
      <w:pPr>
        <w:pStyle w:val="Heading1"/>
      </w:pPr>
      <w:r>
        <w:t xml:space="preserve">Frente III —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45"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45"/>
    <w:bookmarkStart w:id="46"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 no en bajas, lo que elimina el incentivo que generó los falsos positivos. Solo se aplica donde la tasa de homicidios ya desciende (salvo el nodo de aprendizaje de 3.6, que se mantiene en Fase 0).</w:t>
      </w:r>
    </w:p>
    <w:bookmarkEnd w:id="46"/>
    <w:bookmarkStart w:id="47" w:name="X532d66123b9442d5630c33e3f658f341f92d400"/>
    <w:p>
      <w:pPr>
        <w:pStyle w:val="Heading2"/>
      </w:pPr>
      <w:r>
        <w:t xml:space="preserve">3.3 Capacidades de inteligencia — la brecha más urgente</w:t>
      </w:r>
    </w:p>
    <w:p>
      <w:pPr>
        <w:pStyle w:val="FirstParagraph"/>
      </w:pPr>
      <w:r>
        <w:t xml:space="preserve">En 2025 la Fuerza Pública aumentó sus acciones 34% sin mejora de seguridad: el problema no es déficit de operaciones —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47"/>
    <w:bookmarkStart w:id="48" w:name="Xf7ad9bf6432f6e674456902cd7465f3a754fe6c"/>
    <w:p>
      <w:pPr>
        <w:pStyle w:val="Heading2"/>
      </w:pPr>
      <w:r>
        <w:t xml:space="preserve">3.4 Jóvenes en Paz — cortar el reclutamiento desde la raíz</w:t>
      </w:r>
    </w:p>
    <w:p>
      <w:pPr>
        <w:pStyle w:val="FirstParagraph"/>
      </w:pPr>
      <w:r>
        <w:t xml:space="preserve">El reclutamiento no se detiene con operaciones —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48"/>
    <w:bookmarkStart w:id="49" w:name="X6ba3ae1e4becc3dcb03e8bc5a1df200742b0da1"/>
    <w:p>
      <w:pPr>
        <w:pStyle w:val="Heading2"/>
      </w:pPr>
      <w:r>
        <w:t xml:space="preserve">3.5 Puente de ingreso para sustitución de coca —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49"/>
    <w:bookmarkStart w:id="50"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 lo que además le quita a actores externos el pretexto barato para intervenir.</w:t>
      </w:r>
    </w:p>
    <w:bookmarkEnd w:id="50"/>
    <w:bookmarkEnd w:id="51"/>
    <w:bookmarkStart w:id="52" w:name="frente-iv-anticorrupción"/>
    <w:p>
      <w:pPr>
        <w:pStyle w:val="Heading1"/>
      </w:pPr>
      <w:r>
        <w:t xml:space="preserve">Frente IV —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2"/>
    <w:bookmarkStart w:id="53" w:name="frente-v-sostenibilidad-fiscal"/>
    <w:p>
      <w:pPr>
        <w:pStyle w:val="Heading1"/>
      </w:pPr>
      <w:r>
        <w:t xml:space="preserve">Frente V —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53"/>
    <w:bookmarkStart w:id="54" w:name="frente-vi-salud"/>
    <w:p>
      <w:pPr>
        <w:pStyle w:val="Heading1"/>
      </w:pPr>
      <w:r>
        <w:t xml:space="preserve">Frente VI —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54"/>
    <w:bookmarkStart w:id="55" w:name="frente-vii-educación"/>
    <w:p>
      <w:pPr>
        <w:pStyle w:val="Heading1"/>
      </w:pPr>
      <w:r>
        <w:t xml:space="preserve">Frente VII —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55"/>
    <w:bookmarkStart w:id="62" w:name="X09fe9273843d1b882bb63686b495cc2ac9ab41a"/>
    <w:p>
      <w:pPr>
        <w:pStyle w:val="Heading1"/>
      </w:pPr>
      <w:r>
        <w:t xml:space="preserve">Frente VIII —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56" w:name="Xe6eb94b91175e11a3903a18ff99c3a01d56a154"/>
    <w:p>
      <w:pPr>
        <w:pStyle w:val="Heading2"/>
      </w:pPr>
      <w:r>
        <w:t xml:space="preserve">A. Talento humano —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56"/>
    <w:bookmarkStart w:id="57" w:name="X342690028504017f8fc2c57dcb87b9e5f543216"/>
    <w:p>
      <w:pPr>
        <w:pStyle w:val="Heading2"/>
      </w:pPr>
      <w:r>
        <w:t xml:space="preserve">B. Ejecución presupuestal — eliminar el carámbano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57"/>
    <w:bookmarkStart w:id="58" w:name="Xb162f2cd9f86a2e0e07e26e04f517a235526d7d"/>
    <w:p>
      <w:pPr>
        <w:pStyle w:val="Heading2"/>
      </w:pPr>
      <w:r>
        <w:t xml:space="preserve">C. Coordinación nación–territorio —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58"/>
    <w:bookmarkStart w:id="59" w:name="X2d970ec646a4bebe670c5382d37253608bc4046"/>
    <w:p>
      <w:pPr>
        <w:pStyle w:val="Heading2"/>
      </w:pPr>
      <w:r>
        <w:t xml:space="preserve">D. Contratación pública —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59"/>
    <w:bookmarkStart w:id="60"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0"/>
    <w:bookmarkStart w:id="61"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 y la retención del talento clave se ata a la vía rápida hacia la Alta Dirección Pública (misma lógica de la Credencial de Ciudadanía Activa).</w:t>
      </w:r>
    </w:p>
    <w:bookmarkEnd w:id="61"/>
    <w:bookmarkEnd w:id="62"/>
    <w:bookmarkStart w:id="65" w:name="frente-ix-infraestructura-estratégica"/>
    <w:p>
      <w:pPr>
        <w:pStyle w:val="Heading1"/>
      </w:pPr>
      <w:r>
        <w:t xml:space="preserve">Frente IX — Infraestructura Estratégica</w:t>
      </w:r>
    </w:p>
    <w:p>
      <w:pPr>
        <w:pStyle w:val="FirstParagraph"/>
      </w:pPr>
      <w:r>
        <w:rPr>
          <w:bCs/>
          <w:b/>
        </w:rPr>
        <w:t xml:space="preserve">Principio:</w:t>
      </w:r>
      <w:r>
        <w:t xml:space="preserve"> </w:t>
      </w:r>
      <w:r>
        <w:t xml:space="preserve">Colombia no tiene déficit de proyectos anunciados — tiene déficit de proyectos terminados y activados. El mayor retorno está en activar lo que el país ya pagó, no en anunciar obras nuevas.</w:t>
      </w:r>
    </w:p>
    <w:bookmarkStart w:id="63"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63"/>
    <w:bookmarkStart w:id="64" w:name="puertos-qué-hacer-y-qué-no"/>
    <w:p>
      <w:pPr>
        <w:pStyle w:val="Heading2"/>
      </w:pPr>
      <w:r>
        <w:t xml:space="preserve">9.2 Puertos —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64"/>
    <w:bookmarkEnd w:id="65"/>
    <w:bookmarkStart w:id="70" w:name="X2f6c928d123bc981ffad937b3bd8ba4677d8180"/>
    <w:p>
      <w:pPr>
        <w:pStyle w:val="Heading1"/>
      </w:pPr>
      <w:r>
        <w:t xml:space="preserve">Frente X — Industria Avanzada y Capacidad Tecnológica</w:t>
      </w:r>
    </w:p>
    <w:p>
      <w:pPr>
        <w:pStyle w:val="FirstParagraph"/>
      </w:pPr>
      <w:r>
        <w:t xml:space="preserve">No es paralelo a los demás — es la capa de valor agregado que el programa ya construye. La tecnología avanzada es el siguiente eslabón de cadenas que los frentes anteriores activan.</w:t>
      </w:r>
    </w:p>
    <w:bookmarkStart w:id="66"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66"/>
    <w:bookmarkStart w:id="67"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67"/>
    <w:bookmarkStart w:id="68"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68"/>
    <w:bookmarkStart w:id="69" w:name="Xc2c87e99ec3785ae71c01c47159b269548efa3c"/>
    <w:p>
      <w:pPr>
        <w:pStyle w:val="Heading2"/>
      </w:pPr>
      <w:r>
        <w:t xml:space="preserve">Sistema Nervioso —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69"/>
    <w:bookmarkEnd w:id="70"/>
    <w:bookmarkStart w:id="77" w:name="X80587d1274c45fdb557b85c24f679ba0042fef2"/>
    <w:p>
      <w:pPr>
        <w:pStyle w:val="Heading1"/>
      </w:pPr>
      <w:r>
        <w:t xml:space="preserve">Frente XI —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 tiene un problema de cobertura real. El agua potable existe en el papel para el 88.9%, pero el 39% de las plantas no funciona y 12.5 millones no tienen alcantarillado. Nadie opera lo que se construye.</w:t>
      </w:r>
    </w:p>
    <w:bookmarkStart w:id="71" w:name="diagnóstico-la-trampa-del-abandono"/>
    <w:p>
      <w:pPr>
        <w:pStyle w:val="Heading2"/>
      </w:pPr>
      <w:r>
        <w:t xml:space="preserve">11.1 Diagnóstico — la trampa del abandono</w:t>
      </w:r>
    </w:p>
    <w:p>
      <w:pPr>
        <w:pStyle w:val="FirstParagraph"/>
      </w:pPr>
      <w:r>
        <w:t xml:space="preserve">De 684 plantas evaluadas por la Contraloría, solo el 39% funciona. El problema no es fiscal ni técnico — es de diseño contractual: el contrato de obra no incluía el de operación. El MinVivienda ejecutó históricamente apenas el 7.2% de los recursos de agua y en 2025 recortó el presupuesto 53%.</w:t>
      </w:r>
    </w:p>
    <w:bookmarkEnd w:id="71"/>
    <w:bookmarkStart w:id="72" w:name="X001e9a38f418189df669e4f2b3742056f9bbc02"/>
    <w:p>
      <w:pPr>
        <w:pStyle w:val="Heading2"/>
      </w:pPr>
      <w:r>
        <w:t xml:space="preserve">11.2 El modelo que funciona —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2"/>
    <w:bookmarkStart w:id="73" w:name="Xa4cd304851d4a0bf90e4213a86ddfef360774c0"/>
    <w:p>
      <w:pPr>
        <w:pStyle w:val="Heading2"/>
      </w:pPr>
      <w:r>
        <w:t xml:space="preserve">11.3 Municipios prioritarios —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73"/>
    <w:bookmarkStart w:id="74"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74"/>
    <w:bookmarkStart w:id="75"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75"/>
    <w:bookmarkStart w:id="76"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76"/>
    <w:bookmarkEnd w:id="77"/>
    <w:bookmarkStart w:id="82" w:name="X4f62eec2f5b561c9a3006ff1624de90841123b4"/>
    <w:p>
      <w:pPr>
        <w:pStyle w:val="Heading1"/>
      </w:pPr>
      <w:r>
        <w:t xml:space="preserve">Frente XII —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 superando por primera vez al carbón y al café juntos. El problema no es volumen — es distribución: el 92% de las reservas se concentra en Bogotá, Medellín y Cartagena.</w:t>
      </w:r>
    </w:p>
    <w:bookmarkStart w:id="78"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78"/>
    <w:bookmarkStart w:id="79"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 el mayor impacto urbano directo</w:t>
            </w:r>
          </w:p>
        </w:tc>
        <w:tc>
          <w:tcPr/>
          <w:p>
            <w:pPr>
              <w:pStyle w:val="Compact"/>
              <w:jc w:val="left"/>
            </w:pPr>
            <w:r>
              <w:t xml:space="preserve">Año 1 (decreto), 1–4 (impl.)</w:t>
            </w:r>
          </w:p>
        </w:tc>
      </w:tr>
    </w:tbl>
    <w:p>
      <w:pPr>
        <w:pStyle w:val="BodyText"/>
      </w:pPr>
      <w:r>
        <w:rPr>
          <w:bCs/>
          <w:b/>
        </w:rPr>
        <w:t xml:space="preserve">C. Teletrabajo regulado —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79"/>
    <w:bookmarkStart w:id="80" w:name="X1bba574aa25410650f7841df1158dd6ea3828c5"/>
    <w:p>
      <w:pPr>
        <w:pStyle w:val="Heading2"/>
      </w:pPr>
      <w:r>
        <w:t xml:space="preserve">12.3 El turismo — estrategia de alto impacto dentro del presupuesto</w:t>
      </w:r>
    </w:p>
    <w:p>
      <w:pPr>
        <w:pStyle w:val="FirstParagraph"/>
      </w:pPr>
      <w:r>
        <w:t xml:space="preserve">La estrategia no es gastar más —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80"/>
    <w:bookmarkStart w:id="81" w:name="Xf79264da502ae9ac5a1795ed90ae6eedd6d1f37"/>
    <w:p>
      <w:pPr>
        <w:pStyle w:val="Heading2"/>
      </w:pPr>
      <w:r>
        <w:t xml:space="preserve">12.4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81"/>
    <w:bookmarkEnd w:id="82"/>
    <w:bookmarkStart w:id="93" w:name="X3356fa1ebf2d69c2684f142fc61bec6de18686a"/>
    <w:p>
      <w:pPr>
        <w:pStyle w:val="Heading1"/>
      </w:pPr>
      <w:r>
        <w:t xml:space="preserve">Frente XIII —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83"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83"/>
    <w:bookmarkStart w:id="84" w:name="Xbe1bc1ffe34ded2f92eda4082bd128705780a83"/>
    <w:p>
      <w:pPr>
        <w:pStyle w:val="Heading2"/>
      </w:pPr>
      <w:r>
        <w:t xml:space="preserve">13.2 Optimización del Estado — liberar recursos para empleo real</w:t>
      </w:r>
    </w:p>
    <w:p>
      <w:pPr>
        <w:pStyle w:val="FirstParagraph"/>
      </w:pPr>
      <w:r>
        <w:t xml:space="preserve">No es ideológica —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84"/>
    <w:bookmarkStart w:id="85" w:name="Xfebf870c2c394019a95ecc0180aa7025eb2a4af"/>
    <w:p>
      <w:pPr>
        <w:pStyle w:val="Heading2"/>
      </w:pPr>
      <w:r>
        <w:t xml:space="preserve">13.3 Antirracismo Estructural —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85"/>
    <w:bookmarkStart w:id="86" w:name="X021ffd85052d4393a2d0f56afd4a3ff51f9fae0"/>
    <w:p>
      <w:pPr>
        <w:pStyle w:val="Heading2"/>
      </w:pPr>
      <w:r>
        <w:t xml:space="preserve">13.4 Anticlasismo —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 </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86"/>
    <w:bookmarkStart w:id="87" w:name="Xf5b4c686dba9c5577ecb87553f8f18292bc15b9"/>
    <w:p>
      <w:pPr>
        <w:pStyle w:val="Heading2"/>
      </w:pPr>
      <w:r>
        <w:t xml:space="preserve">13.5 La ética como práctica institucional —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87"/>
    <w:bookmarkStart w:id="88" w:name="X6089359649d7a4a7f1dd461f2e4ee211200a0d9"/>
    <w:p>
      <w:pPr>
        <w:pStyle w:val="Heading2"/>
      </w:pPr>
      <w:r>
        <w:t xml:space="preserve">13.6 El dividendo ético — empleo que genera la integridad estructural</w:t>
      </w:r>
    </w:p>
    <w:p>
      <w:pPr>
        <w:pStyle w:val="FirstParagraph"/>
      </w:pPr>
      <w:r>
        <w:t xml:space="preserve">La optimización, el antirracismo y el anticlasismo no son costos —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 no por nueva deuda.</w:t>
      </w:r>
    </w:p>
    <w:bookmarkEnd w:id="88"/>
    <w:bookmarkStart w:id="89"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89"/>
    <w:bookmarkStart w:id="90" w:name="los-ocho-mecanismos-de-diseño"/>
    <w:p>
      <w:pPr>
        <w:pStyle w:val="Heading2"/>
      </w:pPr>
      <w:r>
        <w:t xml:space="preserve">13.8 Los ocho mecanismos de diseño</w:t>
      </w:r>
    </w:p>
    <w:p>
      <w:pPr>
        <w:pStyle w:val="FirstParagraph"/>
      </w:pPr>
      <w:r>
        <w:rPr>
          <w:bCs/>
          <w:b/>
        </w:rPr>
        <w:t xml:space="preserve">Mecanismo 1 —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w:t>
      </w:r>
    </w:p>
    <w:p>
      <w:pPr>
        <w:pStyle w:val="BodyText"/>
      </w:pPr>
      <w:r>
        <w:rPr>
          <w:bCs/>
          <w:b/>
        </w:rPr>
        <w:t xml:space="preserve">Mecanismo 7 —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w:t>
      </w:r>
      <w:r>
        <w:t xml:space="preserve">—se dice hoy exactamente qué dato se hará público si un nodo incumple—, porque el poder disuasivo está en la pre-comisión a revelar, no en el dato en sí.</w:t>
      </w:r>
    </w:p>
    <w:p>
      <w:pPr>
        <w:pStyle w:val="BodyText"/>
      </w:pPr>
      <w:r>
        <w:rPr>
          <w:bCs/>
          <w:b/>
        </w:rPr>
        <w:t xml:space="preserve">Mecanismo 8 —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 la resistencia a la captura sí.</w:t>
      </w:r>
    </w:p>
    <w:bookmarkEnd w:id="90"/>
    <w:bookmarkStart w:id="91"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91"/>
    <w:bookmarkStart w:id="92" w:name="X3427fda87ec4dbe2d4edb93053a5ae465351199"/>
    <w:p>
      <w:pPr>
        <w:pStyle w:val="Heading2"/>
      </w:pPr>
      <w:r>
        <w:t xml:space="preserve">13.10 La intervención territorial —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92"/>
    <w:bookmarkEnd w:id="93"/>
    <w:bookmarkStart w:id="103" w:name="Xbc642ba39422177b7a477569c28a5373a2663f2"/>
    <w:p>
      <w:pPr>
        <w:pStyle w:val="Heading1"/>
      </w:pPr>
      <w:r>
        <w:t xml:space="preserve">Frente XIV —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 y la universalidad garantiza que eso ocurra para todos.</w:t>
      </w:r>
    </w:p>
    <w:bookmarkStart w:id="94"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94"/>
    <w:bookmarkStart w:id="95" w:name="X8f4dbd14b20fbf0212aedf6d78669c95af2197b"/>
    <w:p>
      <w:pPr>
        <w:pStyle w:val="Heading2"/>
      </w:pPr>
      <w:r>
        <w:t xml:space="preserve">14.2 Las tres modalidades —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95"/>
    <w:bookmarkStart w:id="96" w:name="X2ab33b8e26a824172e96759dd37ec715d0bd7d5"/>
    <w:p>
      <w:pPr>
        <w:pStyle w:val="Heading2"/>
      </w:pPr>
      <w:r>
        <w:t xml:space="preserve">14.3 La universalidad real —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 </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96"/>
    <w:bookmarkStart w:id="97"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97"/>
    <w:bookmarkStart w:id="98" w:name="X73188e79240bf31e3872e4b857e6e02a31de94f"/>
    <w:p>
      <w:pPr>
        <w:pStyle w:val="Heading2"/>
      </w:pPr>
      <w:r>
        <w:t xml:space="preserve">14.5 Secuencia de implementación —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 pero no se abandona la universalidad: se revisa el valor del servicio, no la ambición.</w:t>
      </w:r>
    </w:p>
    <w:bookmarkEnd w:id="98"/>
    <w:bookmarkStart w:id="99" w:name="lo-que-produce-el-triple-resultado"/>
    <w:p>
      <w:pPr>
        <w:pStyle w:val="Heading2"/>
      </w:pPr>
      <w:r>
        <w:t xml:space="preserve">14.6 Lo que produce —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99"/>
    <w:bookmarkStart w:id="100" w:name="dih-y-ética-no-negociable"/>
    <w:p>
      <w:pPr>
        <w:pStyle w:val="Heading2"/>
      </w:pPr>
      <w:r>
        <w:t xml:space="preserve">14.7 DIH y ética —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00"/>
    <w:bookmarkStart w:id="101" w:name="costo-fiscal-con-honestidad"/>
    <w:p>
      <w:pPr>
        <w:pStyle w:val="Heading2"/>
      </w:pPr>
      <w:r>
        <w:t xml:space="preserve">14.8 Costo fiscal —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01"/>
    <w:bookmarkStart w:id="102"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02"/>
    <w:bookmarkEnd w:id="103"/>
    <w:bookmarkStart w:id="104"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04"/>
    <w:bookmarkStart w:id="108"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 el plan la implementa, no la crea; (b) el catastro multipropósito ya es servicio público (Ley 1955/2019, Decreto 148/2020) —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05"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 </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05"/>
    <w:bookmarkStart w:id="106"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06"/>
    <w:bookmarkStart w:id="107"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w:t>
      </w:r>
      <w:r>
        <w:t xml:space="preserve">—no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07"/>
    <w:bookmarkEnd w:id="108"/>
    <w:bookmarkStart w:id="114"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09"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09"/>
    <w:bookmarkStart w:id="110" w:name="escenario-base-sin-reforma-tributaria"/>
    <w:p>
      <w:pPr>
        <w:pStyle w:val="Heading2"/>
      </w:pPr>
      <w:r>
        <w:t xml:space="preserve">Escenario base —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10"/>
    <w:bookmarkStart w:id="111" w:name="X469a5fa7720b6041b511ba7c856f00452ca54b6"/>
    <w:p>
      <w:pPr>
        <w:pStyle w:val="Heading2"/>
      </w:pPr>
      <w:r>
        <w:t xml:space="preserve">Escenario ampliado —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 no habilita el núcleo, lo expande.</w:t>
      </w:r>
    </w:p>
    <w:bookmarkEnd w:id="111"/>
    <w:bookmarkStart w:id="112"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12"/>
    <w:bookmarkStart w:id="113" w:name="X9c418e63bddc0f86d9f158c9fa2c10f39119c03"/>
    <w:p>
      <w:pPr>
        <w:pStyle w:val="Heading2"/>
      </w:pPr>
      <w:r>
        <w:t xml:space="preserve">Stress test —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13"/>
    <w:bookmarkEnd w:id="114"/>
    <w:bookmarkStart w:id="115"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 suben la probabilidad de éxito sin agravar el riesgo de proliferación institucional que el propio Frente XIII busca evitar.</w:t>
      </w:r>
    </w:p>
    <w:p>
      <w:r>
        <w:pict>
          <v:rect style="width:0;height:1.5pt" o:hralign="center" o:hrstd="t" o:hr="t"/>
        </w:pict>
      </w:r>
    </w:p>
    <w:bookmarkEnd w:id="115"/>
    <w:bookmarkStart w:id="118" w:name="secuencia-de-gobierno"/>
    <w:p>
      <w:pPr>
        <w:pStyle w:val="Heading1"/>
      </w:pPr>
      <w:r>
        <w:t xml:space="preserve">Secuencia de Gobierno</w:t>
      </w:r>
    </w:p>
    <w:bookmarkStart w:id="116" w:name="X3f19c8a57f0489f02498b4816e1596433230a25"/>
    <w:p>
      <w:pPr>
        <w:pStyle w:val="Heading2"/>
      </w:pPr>
      <w:r>
        <w:t xml:space="preserve">La Transición —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 empieza a ejecutar.</w:t>
      </w:r>
    </w:p>
    <w:p>
      <w:pPr>
        <w:pStyle w:val="FirstParagraph"/>
      </w:pPr>
      <w:r>
        <w:rPr>
          <w:bCs/>
          <w:b/>
        </w:rPr>
        <w:t xml:space="preserve">Obstáculo 1 —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16"/>
    <w:bookmarkStart w:id="117"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17"/>
    <w:bookmarkEnd w:id="118"/>
    <w:bookmarkStart w:id="119"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carámbano)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19"/>
    <w:bookmarkStart w:id="120"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20"/>
    <w:bookmarkStart w:id="121"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 periferia, afros, indígenas, campesinos.</w:t>
      </w:r>
    </w:p>
    <w:p>
      <w:pPr>
        <w:pStyle w:val="BodyText"/>
      </w:pPr>
      <w:r>
        <w:t xml:space="preserve">Patriotismo abierto que tolera la autocrítica y no necesita enemigos —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 y, en esta versión, el blindaje protege lo construido del abandono por capricho sin impedir su corrección por evidencia.</w:t>
      </w:r>
    </w:p>
    <w:p>
      <w:r>
        <w:pict>
          <v:rect style="width:0;height:1.5pt" o:hralign="center" o:hrstd="t" o:hr="t"/>
        </w:pict>
      </w:r>
    </w:p>
    <w:bookmarkEnd w:id="121"/>
    <w:bookmarkStart w:id="125" w:name="hitos-de-credibilidad-política"/>
    <w:p>
      <w:pPr>
        <w:pStyle w:val="Heading1"/>
      </w:pPr>
      <w:r>
        <w:t xml:space="preserve">Hitos de Credibilidad Política</w:t>
      </w:r>
    </w:p>
    <w:p>
      <w:pPr>
        <w:pStyle w:val="FirstParagraph"/>
      </w:pPr>
      <w:r>
        <w:t xml:space="preserve">Las victorias tempranas no tienen que ser las más grandes — tienen que ser las más irreversibles (y, ahora, las más legítimas).</w:t>
      </w:r>
    </w:p>
    <w:bookmarkStart w:id="122"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22"/>
    <w:bookmarkStart w:id="123" w:name="X570d003b3f7a6d5463237df464eec852c2a2ca2"/>
    <w:p>
      <w:pPr>
        <w:pStyle w:val="Heading2"/>
      </w:pPr>
      <w:r>
        <w:t xml:space="preserve">Año 1 —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23"/>
    <w:bookmarkStart w:id="124" w:name="Xa62cfd974d430fbd7c2b598818d6b625d2b2995"/>
    <w:p>
      <w:pPr>
        <w:pStyle w:val="Heading2"/>
      </w:pPr>
      <w:r>
        <w:t xml:space="preserve">Años 2–4 —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24"/>
    <w:bookmarkEnd w:id="125"/>
    <w:bookmarkStart w:id="132" w:name="X812fbe57f7047e7cc2b3d123e211b38b27f1044"/>
    <w:p>
      <w:pPr>
        <w:pStyle w:val="Heading1"/>
      </w:pPr>
      <w:r>
        <w:t xml:space="preserve">ANEXO A —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 dominó su propio mercado con acceso a infraestructura estatal que ningún privado podía tener. En 2019 salió a bolsa manteniendo el Estado la mayoría del capital. Ese es el modelo.</w:t>
      </w:r>
    </w:p>
    <w:bookmarkStart w:id="126" w:name="X13e252fe4095065decc34bd8793323709d4f723"/>
    <w:p>
      <w:pPr>
        <w:pStyle w:val="Heading2"/>
      </w:pPr>
      <w:r>
        <w:t xml:space="preserve">Los tres mercados donde Colombia Viva gana —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26"/>
    <w:bookmarkStart w:id="127"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27"/>
    <w:bookmarkStart w:id="128"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 relaciones con el sistema financiero que a una empresa extranjera le toman años.</w:t>
      </w:r>
    </w:p>
    <w:bookmarkEnd w:id="128"/>
    <w:bookmarkStart w:id="129"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29"/>
    <w:bookmarkStart w:id="130"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30"/>
    <w:bookmarkStart w:id="131"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 la diferencia es que aquí sería en turismo, no en trenes.</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 Estado en el Territorio</dc:title>
  <dc:creator/>
  <dc:language>es</dc:language>
  <cp:keywords/>
  <dcterms:created xsi:type="dcterms:W3CDTF">2026-06-24T14:06:37Z</dcterms:created>
  <dcterms:modified xsi:type="dcterms:W3CDTF">2026-06-24T14:06:37Z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reorganizada e integrada — Junio 2026</vt:lpwstr>
  </property>
  <property fmtid="{D5CDD505-2E9C-101B-9397-08002B2CF9AE}" pid="3" name="subtitle">
    <vt:lpwstr>Empleo de calidad, instituciones honestas y carga justa</vt:lpwstr>
  </property>
</Properties>
</file>