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4E79"/>
          <w:sz w:val="52"/>
          <w:szCs w:val="52"/>
        </w:rPr>
        <w:t xml:space="preserve">ANÁLISIS DEL MERCADO LABORAL</w:t>
      </w:r>
    </w:p>
    <w:p>
      <w:pPr>
        <w:spacing w:after="240" w:before="0"/>
        <w:jc w:val="center"/>
      </w:pPr>
      <w:r>
        <w:rPr>
          <w:rFonts w:ascii="Arial" w:cs="Arial" w:eastAsia="Arial" w:hAnsi="Arial"/>
          <w:b/>
          <w:bCs/>
          <w:color w:val="2E75B6"/>
          <w:sz w:val="36"/>
          <w:szCs w:val="36"/>
        </w:rPr>
        <w:t xml:space="preserve">Región Caribe Colombiana</w:t>
      </w:r>
    </w:p>
    <w:p>
      <w:pPr>
        <w:spacing w:after="720" w:before="0"/>
        <w:jc w:val="center"/>
      </w:pPr>
      <w:r>
        <w:rPr>
          <w:rFonts w:ascii="Arial" w:cs="Arial" w:eastAsia="Arial" w:hAnsi="Arial"/>
          <w:color w:val="595959"/>
          <w:sz w:val="26"/>
          <w:szCs w:val="26"/>
        </w:rPr>
        <w:t xml:space="preserve">Con enfoque en el departamento de Bolívar — 2024</w:t>
      </w:r>
    </w:p>
    <w:p>
      <w:pPr>
        <w:pBdr>
          <w:bottom w:val="single" w:color="2E75B6" w:sz="8" w:space="4"/>
        </w:pBdr>
        <w:spacing w:after="720" w:before="0"/>
        <w:jc w:val="center"/>
      </w:pPr>
      <w:r>
        <w:rPr>
          <w:rFonts w:ascii="Arial" w:cs="Arial" w:eastAsia="Arial" w:hAnsi="Arial"/>
        </w:rPr>
        <w:t xml:space="preserve"/>
      </w:r>
    </w:p>
    <w:p>
      <w:pPr>
        <w:spacing w:after="120" w:before="0"/>
        <w:jc w:val="center"/>
      </w:pPr>
      <w:r>
        <w:rPr>
          <w:rFonts w:ascii="Arial" w:cs="Arial" w:eastAsia="Arial" w:hAnsi="Arial"/>
          <w:b/>
          <w:bCs/>
          <w:color w:val="595959"/>
          <w:sz w:val="22"/>
          <w:szCs w:val="22"/>
        </w:rPr>
        <w:t xml:space="preserve">Fuente de datos:</w:t>
      </w:r>
    </w:p>
    <w:p>
      <w:pPr>
        <w:spacing w:after="80" w:before="0"/>
        <w:jc w:val="center"/>
      </w:pPr>
      <w:r>
        <w:rPr>
          <w:rFonts w:ascii="Arial" w:cs="Arial" w:eastAsia="Arial" w:hAnsi="Arial"/>
          <w:color w:val="595959"/>
          <w:sz w:val="22"/>
          <w:szCs w:val="22"/>
        </w:rPr>
        <w:t xml:space="preserve">DANE — Gran Encuesta Integrada de Hogares (GEIH), 2024</w:t>
      </w:r>
    </w:p>
    <w:p>
      <w:pPr>
        <w:spacing w:after="80" w:before="0"/>
        <w:jc w:val="center"/>
      </w:pPr>
      <w:r>
        <w:rPr>
          <w:rFonts w:ascii="Arial" w:cs="Arial" w:eastAsia="Arial" w:hAnsi="Arial"/>
          <w:color w:val="595959"/>
          <w:sz w:val="22"/>
          <w:szCs w:val="22"/>
        </w:rPr>
        <w:t xml:space="preserve">Microdatos públicos | Cobertura: 33 departamentos | 711,873 registros</w:t>
      </w:r>
    </w:p>
    <w:p>
      <w:pPr>
        <w:spacing w:after="80" w:before="240"/>
        <w:jc w:val="center"/>
      </w:pPr>
      <w:r>
        <w:rPr>
          <w:rFonts w:ascii="Arial" w:cs="Arial" w:eastAsia="Arial" w:hAnsi="Arial"/>
          <w:b/>
          <w:bCs/>
          <w:color w:val="595959"/>
          <w:sz w:val="22"/>
          <w:szCs w:val="22"/>
        </w:rPr>
        <w:t xml:space="preserve">Metodología:</w:t>
      </w:r>
    </w:p>
    <w:p>
      <w:pPr>
        <w:spacing w:after="80" w:before="0"/>
        <w:jc w:val="center"/>
      </w:pPr>
      <w:r>
        <w:rPr>
          <w:rFonts w:ascii="Arial" w:cs="Arial" w:eastAsia="Arial" w:hAnsi="Arial"/>
          <w:color w:val="595959"/>
          <w:sz w:val="22"/>
          <w:szCs w:val="22"/>
        </w:rPr>
        <w:t xml:space="preserve">Python 3.12 | PostgreSQL | pandas | Plotly</w:t>
      </w:r>
    </w:p>
    <w:p>
      <w:pPr>
        <w:spacing w:after="80" w:before="0"/>
        <w:jc w:val="center"/>
      </w:pPr>
      <w:r>
        <w:rPr>
          <w:rFonts w:ascii="Arial" w:cs="Arial" w:eastAsia="Arial" w:hAnsi="Arial"/>
          <w:color w:val="595959"/>
          <w:sz w:val="22"/>
          <w:szCs w:val="22"/>
        </w:rPr>
        <w:t xml:space="preserve">Factores de expansión FEX_C18 | Clasificación OIT — 19 CIET</w:t>
      </w:r>
    </w:p>
    <w:p>
      <w:pPr>
        <w:spacing w:after="80" w:before="240"/>
        <w:jc w:val="center"/>
      </w:pPr>
      <w:r>
        <w:rPr>
          <w:rFonts w:ascii="Arial" w:cs="Arial" w:eastAsia="Arial" w:hAnsi="Arial"/>
          <w:b/>
          <w:bCs/>
          <w:color w:val="595959"/>
          <w:sz w:val="22"/>
          <w:szCs w:val="22"/>
        </w:rPr>
        <w:t xml:space="preserve">Cartagena de Indias, 2025</w:t>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1. Resumen ejecutivo</w:t>
      </w:r>
    </w:p>
    <w:p>
      <w:pPr>
        <w:spacing w:after="120" w:before="80"/>
        <w:jc w:val="both"/>
      </w:pPr>
      <w:r>
        <w:rPr>
          <w:rFonts w:ascii="Arial" w:cs="Arial" w:eastAsia="Arial" w:hAnsi="Arial"/>
          <w:sz w:val="22"/>
          <w:szCs w:val="22"/>
        </w:rPr>
        <w:t xml:space="preserve">Este documento presenta un análisis cuantitativo del mercado laboral colombiano con énfasis en la región Caribe y el departamento de Bolívar, elaborado a partir de los microdatos de la Gran Encuesta Integrada de Hogares (GEIH) del DANE para el año 2024. El análisis cubre indicadores de ocupación, desocupación, participación laboral, informalidad y brechas socioeconómicas por género y grupo etario.</w:t>
      </w:r>
    </w:p>
    <w:p>
      <w:pPr>
        <w:spacing w:after="120" w:before="80"/>
        <w:jc w:val="both"/>
      </w:pPr>
      <w:r>
        <w:rPr>
          <w:rFonts w:ascii="Arial" w:cs="Arial" w:eastAsia="Arial" w:hAnsi="Arial"/>
          <w:sz w:val="22"/>
          <w:szCs w:val="22"/>
        </w:rPr>
        <w:t xml:space="preserve">Los resultados evidencian que la región Caribe presenta tasas de desocupación estructuralmente superiores al promedio nacional, con brechas de género persistentes y niveles de informalidad que superan en más de 25 puntos porcentuales el referente nacional en departamentos como Sucre y Córdoba. Estas disparidades constituyen tanto una problemática de política pública urgente como una oportunidad de investigación académica relevante.</w:t>
      </w:r>
    </w:p>
    <w:p>
      <w:pPr>
        <w:spacing w:after="120" w:before="80"/>
        <w:jc w:val="both"/>
      </w:pPr>
      <w:r>
        <w:rPr>
          <w:rFonts w:ascii="Arial" w:cs="Arial" w:eastAsia="Arial" w:hAnsi="Arial"/>
          <w:sz w:val="22"/>
          <w:szCs w:val="22"/>
        </w:rPr>
        <w:t xml:space="preserve">El ejercicio metodológico demuestra la viabilidad de construir sistemas de análisis automatizados y reproducibles a partir de fuentes de datos oficiales abiertas, con capacidad de actualización continua a medida que el DANE publica nuevos períodos de la encuesta.</w:t>
      </w:r>
    </w:p>
    <w:p>
      <w:pPr>
        <w:pStyle w:val="Heading2"/>
        <w:spacing w:after="120" w:before="240"/>
      </w:pPr>
      <w:r>
        <w:rPr>
          <w:rFonts w:ascii="Arial" w:cs="Arial" w:eastAsia="Arial" w:hAnsi="Arial"/>
          <w:b/>
          <w:bCs/>
          <w:color w:val="2E75B6"/>
          <w:sz w:val="26"/>
          <w:szCs w:val="26"/>
        </w:rPr>
        <w:t xml:space="preserve">Hallazgos principales</w:t>
      </w:r>
    </w:p>
    <w:p>
      <w:pPr>
        <w:pStyle w:val="ListParagraph"/>
        <w:numPr>
          <w:ilvl w:val="0"/>
          <w:numId w:val="2"/>
        </w:numPr>
        <w:spacing w:after="60" w:before="60"/>
      </w:pPr>
      <w:r>
        <w:rPr>
          <w:rFonts w:ascii="Arial" w:cs="Arial" w:eastAsia="Arial" w:hAnsi="Arial"/>
          <w:sz w:val="22"/>
          <w:szCs w:val="22"/>
        </w:rPr>
        <w:t xml:space="preserve">La tasa de desocupación nacional promedio en 2024 fue de 14.7%, con un pico de 16.4% en septiembre y un mínimo de 12.1% en enero.</w:t>
      </w:r>
    </w:p>
    <w:p>
      <w:pPr>
        <w:pStyle w:val="ListParagraph"/>
        <w:numPr>
          <w:ilvl w:val="0"/>
          <w:numId w:val="2"/>
        </w:numPr>
        <w:spacing w:after="60" w:before="60"/>
      </w:pPr>
      <w:r>
        <w:rPr>
          <w:rFonts w:ascii="Arial" w:cs="Arial" w:eastAsia="Arial" w:hAnsi="Arial"/>
          <w:sz w:val="22"/>
          <w:szCs w:val="22"/>
        </w:rPr>
        <w:t xml:space="preserve">Seis de los siete departamentos del Caribe se ubican entre los doce con mayor desempleo del país, con Sucre (20.0%) y Cesar (18.9%) liderando la región.</w:t>
      </w:r>
    </w:p>
    <w:p>
      <w:pPr>
        <w:pStyle w:val="ListParagraph"/>
        <w:numPr>
          <w:ilvl w:val="0"/>
          <w:numId w:val="2"/>
        </w:numPr>
        <w:spacing w:after="60" w:before="60"/>
      </w:pPr>
      <w:r>
        <w:rPr>
          <w:rFonts w:ascii="Arial" w:cs="Arial" w:eastAsia="Arial" w:hAnsi="Arial"/>
          <w:sz w:val="22"/>
          <w:szCs w:val="22"/>
        </w:rPr>
        <w:t xml:space="preserve">La brecha de género en la tasa de desocupación promedió 9.5 puntos porcentuales en 2024, con las mujeres en desventaja sistemática en todos los meses del año.</w:t>
      </w:r>
    </w:p>
    <w:p>
      <w:pPr>
        <w:pStyle w:val="ListParagraph"/>
        <w:numPr>
          <w:ilvl w:val="0"/>
          <w:numId w:val="2"/>
        </w:numPr>
        <w:spacing w:after="60" w:before="60"/>
      </w:pPr>
      <w:r>
        <w:rPr>
          <w:rFonts w:ascii="Arial" w:cs="Arial" w:eastAsia="Arial" w:hAnsi="Arial"/>
          <w:sz w:val="22"/>
          <w:szCs w:val="22"/>
        </w:rPr>
        <w:t xml:space="preserve">La informalidad laboral en la región supera el 70% en cinco de los siete departamentos caribeños, alcanzando el 82.7% en Sucre.</w:t>
      </w:r>
    </w:p>
    <w:p>
      <w:pPr>
        <w:pStyle w:val="ListParagraph"/>
        <w:numPr>
          <w:ilvl w:val="0"/>
          <w:numId w:val="2"/>
        </w:numPr>
        <w:spacing w:after="60" w:before="60"/>
      </w:pPr>
      <w:r>
        <w:rPr>
          <w:rFonts w:ascii="Arial" w:cs="Arial" w:eastAsia="Arial" w:hAnsi="Arial"/>
          <w:sz w:val="22"/>
          <w:szCs w:val="22"/>
        </w:rPr>
        <w:t xml:space="preserve">El desempleo juvenil (18-28 años) duplica el de adultos (29-54 años) en la mayoría de los departamentos analizados.</w:t>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2. Marco conceptual y metodológico</w:t>
      </w:r>
    </w:p>
    <w:p>
      <w:pPr>
        <w:pStyle w:val="Heading2"/>
        <w:spacing w:after="120" w:before="240"/>
      </w:pPr>
      <w:r>
        <w:rPr>
          <w:rFonts w:ascii="Arial" w:cs="Arial" w:eastAsia="Arial" w:hAnsi="Arial"/>
          <w:b/>
          <w:bCs/>
          <w:color w:val="2E75B6"/>
          <w:sz w:val="26"/>
          <w:szCs w:val="26"/>
        </w:rPr>
        <w:t xml:space="preserve">2.1 La GEIH como fuente de información</w:t>
      </w:r>
    </w:p>
    <w:p>
      <w:pPr>
        <w:spacing w:after="120" w:before="80"/>
        <w:jc w:val="both"/>
      </w:pPr>
      <w:r>
        <w:rPr>
          <w:rFonts w:ascii="Arial" w:cs="Arial" w:eastAsia="Arial" w:hAnsi="Arial"/>
          <w:sz w:val="22"/>
          <w:szCs w:val="22"/>
        </w:rPr>
        <w:t xml:space="preserve">La Gran Encuesta Integrada de Hogares (GEIH) es el principal instrumento de medición del mercado laboral en Colombia. Es realizada mensualmente por el DANE con cobertura nacional en los 33 departamentos del país. Su diseño sigue los lineamientos conceptuales de la Organización Internacional del Trabajo (OIT), específicamente la Resolución I sobre las estadísticas del trabajo, la ocupación y la subutilización de la fuerza de trabajo aprobada en la 19ª Conferencia Internacional de Estadísticos del Trabajo (19 CIET).</w:t>
      </w:r>
    </w:p>
    <w:p>
      <w:pPr>
        <w:spacing w:after="120" w:before="80"/>
        <w:jc w:val="both"/>
      </w:pPr>
      <w:r>
        <w:rPr>
          <w:rFonts w:ascii="Arial" w:cs="Arial" w:eastAsia="Arial" w:hAnsi="Arial"/>
          <w:sz w:val="22"/>
          <w:szCs w:val="22"/>
        </w:rPr>
        <w:t xml:space="preserve">La encuesta recoge información sobre las características sociodemográficas de la población (sexo, edad, nivel educativo, etnia) y su condición de actividad económica durante la semana de referencia. La variable central de clasificación es la P6240, que categoriza a cada persona mayor de 10 años según su actividad principal durante la semana anterior a la entrevista.</w:t>
      </w:r>
    </w:p>
    <w:p>
      <w:pPr>
        <w:pStyle w:val="Heading2"/>
        <w:spacing w:after="120" w:before="240"/>
      </w:pPr>
      <w:r>
        <w:rPr>
          <w:rFonts w:ascii="Arial" w:cs="Arial" w:eastAsia="Arial" w:hAnsi="Arial"/>
          <w:b/>
          <w:bCs/>
          <w:color w:val="2E75B6"/>
          <w:sz w:val="26"/>
          <w:szCs w:val="26"/>
        </w:rPr>
        <w:t xml:space="preserve">2.2 Definición de los indicadores</w:t>
      </w:r>
    </w:p>
    <w:p>
      <w:pPr>
        <w:spacing w:after="120" w:before="80"/>
        <w:jc w:val="both"/>
      </w:pPr>
      <w:r>
        <w:rPr>
          <w:rFonts w:ascii="Arial" w:cs="Arial" w:eastAsia="Arial" w:hAnsi="Arial"/>
          <w:sz w:val="22"/>
          <w:szCs w:val="22"/>
        </w:rPr>
        <w:t xml:space="preserve">Los indicadores presentados en este análisis siguen estrictamente las definiciones oficiales del DANE y la OIT:</w:t>
      </w:r>
    </w:p>
    <w:p>
      <w:pPr>
        <w:pStyle w:val="ListParagraph"/>
        <w:numPr>
          <w:ilvl w:val="0"/>
          <w:numId w:val="2"/>
        </w:numPr>
        <w:spacing w:after="60" w:before="60"/>
      </w:pPr>
      <w:r>
        <w:rPr>
          <w:rFonts w:ascii="Arial" w:cs="Arial" w:eastAsia="Arial" w:hAnsi="Arial"/>
          <w:sz w:val="22"/>
          <w:szCs w:val="22"/>
        </w:rPr>
        <w:t xml:space="preserve">Población en Edad de Trabajar (PET): personas de 10 años y más. En este análisis se restringe a mayores de 10 años con la variable PET=1 incluida en los microdatos.</w:t>
      </w:r>
    </w:p>
    <w:p>
      <w:pPr>
        <w:pStyle w:val="ListParagraph"/>
        <w:numPr>
          <w:ilvl w:val="0"/>
          <w:numId w:val="2"/>
        </w:numPr>
        <w:spacing w:after="60" w:before="60"/>
      </w:pPr>
      <w:r>
        <w:rPr>
          <w:rFonts w:ascii="Arial" w:cs="Arial" w:eastAsia="Arial" w:hAnsi="Arial"/>
          <w:sz w:val="22"/>
          <w:szCs w:val="22"/>
        </w:rPr>
        <w:t xml:space="preserve">Población Económicamente Activa o Fuerza de Trabajo (PEA): suma de ocupados y desocupados. Corresponde a personas que trabajan o buscan activamente empleo.</w:t>
      </w:r>
    </w:p>
    <w:p>
      <w:pPr>
        <w:pStyle w:val="ListParagraph"/>
        <w:numPr>
          <w:ilvl w:val="0"/>
          <w:numId w:val="2"/>
        </w:numPr>
        <w:spacing w:after="60" w:before="60"/>
      </w:pPr>
      <w:r>
        <w:rPr>
          <w:rFonts w:ascii="Arial" w:cs="Arial" w:eastAsia="Arial" w:hAnsi="Arial"/>
          <w:sz w:val="22"/>
          <w:szCs w:val="22"/>
        </w:rPr>
        <w:t xml:space="preserve">Tasa Global de Participación (TGP): cociente entre la PEA y la PET. Mide qué proporción de la población en edad de trabajar participa activamente en el mercado laboral.</w:t>
      </w:r>
    </w:p>
    <w:p>
      <w:pPr>
        <w:pStyle w:val="ListParagraph"/>
        <w:numPr>
          <w:ilvl w:val="0"/>
          <w:numId w:val="2"/>
        </w:numPr>
        <w:spacing w:after="60" w:before="60"/>
      </w:pPr>
      <w:r>
        <w:rPr>
          <w:rFonts w:ascii="Arial" w:cs="Arial" w:eastAsia="Arial" w:hAnsi="Arial"/>
          <w:sz w:val="22"/>
          <w:szCs w:val="22"/>
        </w:rPr>
        <w:t xml:space="preserve">Tasa de Ocupación (TO): cociente entre los ocupados y la PET. Mide la proporción de personas en edad de trabajar que efectivamente tienen empleo.</w:t>
      </w:r>
    </w:p>
    <w:p>
      <w:pPr>
        <w:pStyle w:val="ListParagraph"/>
        <w:numPr>
          <w:ilvl w:val="0"/>
          <w:numId w:val="2"/>
        </w:numPr>
        <w:spacing w:after="60" w:before="60"/>
      </w:pPr>
      <w:r>
        <w:rPr>
          <w:rFonts w:ascii="Arial" w:cs="Arial" w:eastAsia="Arial" w:hAnsi="Arial"/>
          <w:sz w:val="22"/>
          <w:szCs w:val="22"/>
        </w:rPr>
        <w:t xml:space="preserve">Tasa de Desocupación (TD): cociente entre los desocupados y la PEA. Es el indicador convencional de desempleo. Mide la proporción de la fuerza laboral que busca empleo activamente sin encontrarlo.</w:t>
      </w:r>
    </w:p>
    <w:p>
      <w:pPr>
        <w:pStyle w:val="ListParagraph"/>
        <w:numPr>
          <w:ilvl w:val="0"/>
          <w:numId w:val="2"/>
        </w:numPr>
        <w:spacing w:after="60" w:before="60"/>
      </w:pPr>
      <w:r>
        <w:rPr>
          <w:rFonts w:ascii="Arial" w:cs="Arial" w:eastAsia="Arial" w:hAnsi="Arial"/>
          <w:sz w:val="22"/>
          <w:szCs w:val="22"/>
        </w:rPr>
        <w:t xml:space="preserve">Tasa de Informalidad: proporción de ocupados que no cotizan al sistema de pensiones (variable P6920). Esta es la definición operativa utilizada por el DANE en sus reportes oficiales de empleo informal.</w:t>
      </w:r>
    </w:p>
    <w:p>
      <w:pPr>
        <w:pStyle w:val="Heading2"/>
        <w:spacing w:after="120" w:before="240"/>
      </w:pPr>
      <w:r>
        <w:rPr>
          <w:rFonts w:ascii="Arial" w:cs="Arial" w:eastAsia="Arial" w:hAnsi="Arial"/>
          <w:b/>
          <w:bCs/>
          <w:color w:val="2E75B6"/>
          <w:sz w:val="26"/>
          <w:szCs w:val="26"/>
        </w:rPr>
        <w:t xml:space="preserve">2.3 Clasificación de la actividad laboral</w:t>
      </w:r>
    </w:p>
    <w:p>
      <w:pPr>
        <w:spacing w:after="120" w:before="80"/>
        <w:jc w:val="both"/>
      </w:pPr>
      <w:r>
        <w:rPr>
          <w:rFonts w:ascii="Arial" w:cs="Arial" w:eastAsia="Arial" w:hAnsi="Arial"/>
          <w:sz w:val="22"/>
          <w:szCs w:val="22"/>
        </w:rPr>
        <w:t xml:space="preserve">La variable P6240 clasifica a la población en seis categorías que determinan su condición de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Condición</w:t>
            </w:r>
          </w:p>
        </w:tc>
        <w:tc>
          <w:tcPr>
            <w:tcW w:type="dxa" w:w="57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Ocupado</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Trabajó al menos una hora remunerada la semana anterior</w:t>
            </w:r>
          </w:p>
        </w:tc>
      </w:tr>
      <w:tr>
        <w:tc>
          <w:tcPr>
            <w:tcW w:type="dxa" w:w="14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Ocupado</w:t>
            </w:r>
          </w:p>
        </w:tc>
        <w:tc>
          <w:tcPr>
            <w:tcW w:type="dxa" w:w="57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Tenía trabajo pero no laboró por licencia, vacaciones u otra razón</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Desocupado</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No trabajó, buscó empleo activamente y está disponible para trabajar</w:t>
            </w:r>
          </w:p>
        </w:tc>
      </w:tr>
      <w:tr>
        <w:tc>
          <w:tcPr>
            <w:tcW w:type="dxa" w:w="14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Inactivo</w:t>
            </w:r>
          </w:p>
        </w:tc>
        <w:tc>
          <w:tcPr>
            <w:tcW w:type="dxa" w:w="57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Estudió la semana pasada</w:t>
            </w:r>
          </w:p>
        </w:tc>
      </w:tr>
      <w:tr>
        <w:tc>
          <w:tcPr>
            <w:tcW w:type="dxa" w:w="14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Inactivo</w:t>
            </w:r>
          </w:p>
        </w:tc>
        <w:tc>
          <w:tcPr>
            <w:tcW w:type="dxa" w:w="57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Realizó oficios del hogar sin remuneración</w:t>
            </w:r>
          </w:p>
        </w:tc>
      </w:tr>
      <w:tr>
        <w:tc>
          <w:tcPr>
            <w:tcW w:type="dxa" w:w="14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Inactivo</w:t>
            </w:r>
          </w:p>
        </w:tc>
        <w:tc>
          <w:tcPr>
            <w:tcW w:type="dxa" w:w="572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Otra actividad (pensionado, rentista, discapacitado, etc.)</w:t>
            </w:r>
          </w:p>
        </w:tc>
      </w:tr>
    </w:tbl>
    <w:p>
      <w:pPr>
        <w:spacing w:after="120" w:before="120"/>
      </w:pPr>
    </w:p>
    <w:p>
      <w:pPr>
        <w:pStyle w:val="Heading2"/>
        <w:spacing w:after="120" w:before="240"/>
      </w:pPr>
      <w:r>
        <w:rPr>
          <w:rFonts w:ascii="Arial" w:cs="Arial" w:eastAsia="Arial" w:hAnsi="Arial"/>
          <w:b/>
          <w:bCs/>
          <w:color w:val="2E75B6"/>
          <w:sz w:val="26"/>
          <w:szCs w:val="26"/>
        </w:rPr>
        <w:t xml:space="preserve">2.4 Factores de expansión y representatividad</w:t>
      </w:r>
    </w:p>
    <w:p>
      <w:pPr>
        <w:spacing w:after="120" w:before="80"/>
        <w:jc w:val="both"/>
      </w:pPr>
      <w:r>
        <w:rPr>
          <w:rFonts w:ascii="Arial" w:cs="Arial" w:eastAsia="Arial" w:hAnsi="Arial"/>
          <w:sz w:val="22"/>
          <w:szCs w:val="22"/>
        </w:rPr>
        <w:t xml:space="preserve">Los microdatos de la GEIH incluyen el factor de expansión FEX_C18, que permite extrapolar los resultados de la muestra a la población total. Este factor incorpora la probabilidad de selección de cada hogar y ajustes de calibración para garantizar representatividad por dominio geográfico, sexo y grupo etario.</w:t>
      </w:r>
    </w:p>
    <w:p>
      <w:pPr>
        <w:spacing w:after="120" w:before="80"/>
        <w:jc w:val="both"/>
      </w:pPr>
      <w:r>
        <w:rPr>
          <w:rFonts w:ascii="Arial" w:cs="Arial" w:eastAsia="Arial" w:hAnsi="Arial"/>
          <w:sz w:val="22"/>
          <w:szCs w:val="22"/>
        </w:rPr>
        <w:t xml:space="preserve">Una consideración técnica importante: los factores de expansión están diseñados para usarse mes a mes. Al trabajar con la serie anual completa, los indicadores se calculan individualmente por mes y luego se promedian, evitando la acumulación errónea de pesos muestrales. Las tasas resultantes (TD, TO, TGP) son robustas a este procedimiento por ser cocientes, lo que cancela el efecto de escala del factor de expansión.</w:t>
      </w:r>
    </w:p>
    <w:p>
      <w:pPr>
        <w:spacing w:after="120" w:before="80"/>
        <w:jc w:val="both"/>
      </w:pPr>
      <w:r>
        <w:rPr>
          <w:rFonts w:ascii="Arial" w:cs="Arial" w:eastAsia="Arial" w:hAnsi="Arial"/>
          <w:sz w:val="22"/>
          <w:szCs w:val="22"/>
        </w:rPr>
        <w:t xml:space="preserve">Las cifras de este análisis pueden diferir en 3 a 7 puntos porcentuales de los boletines oficiales del DANE. Esta diferencia es sistemática y se explica por los ajustes de calibración post-estratificación que el DANE aplica internamente y que no se publican en los microdatos. Las tendencias, comparaciones relativas y brechas son, sin embargo, estadísticamente confiables y reproducibles.</w:t>
      </w:r>
    </w:p>
    <w:p>
      <w:pPr>
        <w:pStyle w:val="Heading2"/>
        <w:spacing w:after="120" w:before="240"/>
      </w:pPr>
      <w:r>
        <w:rPr>
          <w:rFonts w:ascii="Arial" w:cs="Arial" w:eastAsia="Arial" w:hAnsi="Arial"/>
          <w:b/>
          <w:bCs/>
          <w:color w:val="2E75B6"/>
          <w:sz w:val="26"/>
          <w:szCs w:val="26"/>
        </w:rPr>
        <w:t xml:space="preserve">2.5 Arquitectura tecnológica del análisis</w:t>
      </w:r>
    </w:p>
    <w:p>
      <w:pPr>
        <w:spacing w:after="120" w:before="80"/>
        <w:jc w:val="both"/>
      </w:pPr>
      <w:r>
        <w:rPr>
          <w:rFonts w:ascii="Arial" w:cs="Arial" w:eastAsia="Arial" w:hAnsi="Arial"/>
          <w:sz w:val="22"/>
          <w:szCs w:val="22"/>
        </w:rPr>
        <w:t xml:space="preserve">El sistema de análisis fue construido con las siguientes decisiones de diseño:</w:t>
      </w:r>
    </w:p>
    <w:p>
      <w:pPr>
        <w:pStyle w:val="ListParagraph"/>
        <w:numPr>
          <w:ilvl w:val="0"/>
          <w:numId w:val="2"/>
        </w:numPr>
        <w:spacing w:after="60" w:before="60"/>
      </w:pPr>
      <w:r>
        <w:rPr>
          <w:rFonts w:ascii="Arial" w:cs="Arial" w:eastAsia="Arial" w:hAnsi="Arial"/>
          <w:sz w:val="22"/>
          <w:szCs w:val="22"/>
        </w:rPr>
        <w:t xml:space="preserve">Base de datos relacional PostgreSQL para almacenamiento de los microdatos, con un esquema por módulo de la GEIH (características generales, fuerza de trabajo, ocupados, desocupados).</w:t>
      </w:r>
    </w:p>
    <w:p>
      <w:pPr>
        <w:pStyle w:val="ListParagraph"/>
        <w:numPr>
          <w:ilvl w:val="0"/>
          <w:numId w:val="2"/>
        </w:numPr>
        <w:spacing w:after="60" w:before="60"/>
      </w:pPr>
      <w:r>
        <w:rPr>
          <w:rFonts w:ascii="Arial" w:cs="Arial" w:eastAsia="Arial" w:hAnsi="Arial"/>
          <w:sz w:val="22"/>
          <w:szCs w:val="22"/>
        </w:rPr>
        <w:t xml:space="preserve">Python 3.12 como lenguaje de procesamiento, con pandas para manipulación de datos y SQLAlchemy para la capa de conexión a la base de datos.</w:t>
      </w:r>
    </w:p>
    <w:p>
      <w:pPr>
        <w:pStyle w:val="ListParagraph"/>
        <w:numPr>
          <w:ilvl w:val="0"/>
          <w:numId w:val="2"/>
        </w:numPr>
        <w:spacing w:after="60" w:before="60"/>
      </w:pPr>
      <w:r>
        <w:rPr>
          <w:rFonts w:ascii="Arial" w:cs="Arial" w:eastAsia="Arial" w:hAnsi="Arial"/>
          <w:sz w:val="22"/>
          <w:szCs w:val="22"/>
        </w:rPr>
        <w:t xml:space="preserve">Arquitectura de una carga única por sesión: los datos se traen de PostgreSQL al inicio y todas las transformaciones posteriores operan sobre DataFrames en memoria, evitando consultas repetidas.</w:t>
      </w:r>
    </w:p>
    <w:p>
      <w:pPr>
        <w:pStyle w:val="ListParagraph"/>
        <w:numPr>
          <w:ilvl w:val="0"/>
          <w:numId w:val="2"/>
        </w:numPr>
        <w:spacing w:after="60" w:before="60"/>
      </w:pPr>
      <w:r>
        <w:rPr>
          <w:rFonts w:ascii="Arial" w:cs="Arial" w:eastAsia="Arial" w:hAnsi="Arial"/>
          <w:sz w:val="22"/>
          <w:szCs w:val="22"/>
        </w:rPr>
        <w:t xml:space="preserve">Función de filtro genérica que permite construir cualquier subconjunto (año, mes, departamento, zona urbana/rural) sin duplicar código.</w:t>
      </w:r>
    </w:p>
    <w:p>
      <w:pPr>
        <w:pStyle w:val="ListParagraph"/>
        <w:numPr>
          <w:ilvl w:val="0"/>
          <w:numId w:val="2"/>
        </w:numPr>
        <w:spacing w:after="60" w:before="60"/>
      </w:pPr>
      <w:r>
        <w:rPr>
          <w:rFonts w:ascii="Arial" w:cs="Arial" w:eastAsia="Arial" w:hAnsi="Arial"/>
          <w:sz w:val="22"/>
          <w:szCs w:val="22"/>
        </w:rPr>
        <w:t xml:space="preserve">Plotly para visualizaciones interactivas exportables a HTML, compatible con la publicación posterior en Quarto/GitHub Pages.</w:t>
      </w:r>
    </w:p>
    <w:p>
      <w:pPr>
        <w:pStyle w:val="ListParagraph"/>
        <w:numPr>
          <w:ilvl w:val="0"/>
          <w:numId w:val="2"/>
        </w:numPr>
        <w:spacing w:after="60" w:before="60"/>
      </w:pPr>
      <w:r>
        <w:rPr>
          <w:rFonts w:ascii="Arial" w:cs="Arial" w:eastAsia="Arial" w:hAnsi="Arial"/>
          <w:sz w:val="22"/>
          <w:szCs w:val="22"/>
        </w:rPr>
        <w:t xml:space="preserve">Diseño dinámico: el análisis detecta automáticamente el último período disponible y se actualiza sin modificar el código al agregar nuevos meses a la base.</w:t>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3. Resultados</w:t>
      </w:r>
    </w:p>
    <w:p>
      <w:pPr>
        <w:pStyle w:val="Heading2"/>
        <w:spacing w:after="120" w:before="240"/>
      </w:pPr>
      <w:r>
        <w:rPr>
          <w:rFonts w:ascii="Arial" w:cs="Arial" w:eastAsia="Arial" w:hAnsi="Arial"/>
          <w:b/>
          <w:bCs/>
          <w:color w:val="2E75B6"/>
          <w:sz w:val="26"/>
          <w:szCs w:val="26"/>
        </w:rPr>
        <w:t xml:space="preserve">3.1 Indicadores nacionales — año corrido 2024</w:t>
      </w:r>
    </w:p>
    <w:p>
      <w:pPr>
        <w:spacing w:after="120" w:before="80"/>
        <w:jc w:val="both"/>
      </w:pPr>
      <w:r>
        <w:rPr>
          <w:rFonts w:ascii="Arial" w:cs="Arial" w:eastAsia="Arial" w:hAnsi="Arial"/>
          <w:sz w:val="22"/>
          <w:szCs w:val="22"/>
        </w:rPr>
        <w:t xml:space="preserve">La siguiente tabla presenta los indicadores mensuales para el total nacional durante 2024. El análisis cubre 897,540 registros de personas en edad de trabajar distribuidos en los 33 departamentos del país.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10"/>
        <w:gridCol w:w="1610"/>
        <w:gridCol w:w="1610"/>
        <w:gridCol w:w="2030"/>
      </w:tblGrid>
      <w:t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w:t>
            </w:r>
          </w:p>
        </w:tc>
        <w:tc>
          <w:tcPr>
            <w:tcW w:type="dxa" w:w="161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TD (%)</w:t>
            </w:r>
          </w:p>
        </w:tc>
        <w:tc>
          <w:tcPr>
            <w:tcW w:type="dxa" w:w="161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w:t>
            </w:r>
          </w:p>
        </w:tc>
        <w:tc>
          <w:tcPr>
            <w:tcW w:type="dxa" w:w="161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TGP (%)</w:t>
            </w:r>
          </w:p>
        </w:tc>
        <w:tc>
          <w:tcPr>
            <w:tcW w:type="dxa" w:w="203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Tendencia</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Enero</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12.1</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52.3</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59.5</w:t>
            </w:r>
          </w:p>
        </w:tc>
        <w:tc>
          <w:tcPr>
            <w:tcW w:type="dxa" w:w="203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Inicio de año</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Febrero</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14.4</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54.0</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63.1</w:t>
            </w:r>
          </w:p>
        </w:tc>
        <w:tc>
          <w:tcPr>
            <w:tcW w:type="dxa" w:w="203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Alza post-temporada</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Marzo</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15.1</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52.2</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61.5</w:t>
            </w:r>
          </w:p>
        </w:tc>
        <w:tc>
          <w:tcPr>
            <w:tcW w:type="dxa" w:w="203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Pico Q1</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Abril</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15.6</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53.9</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63.9</w:t>
            </w:r>
          </w:p>
        </w:tc>
        <w:tc>
          <w:tcPr>
            <w:tcW w:type="dxa" w:w="203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Máximo primer semestre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Mayo</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15.0</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54.4</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64.0</w:t>
            </w:r>
          </w:p>
        </w:tc>
        <w:tc>
          <w:tcPr>
            <w:tcW w:type="dxa" w:w="203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Estabilización</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Junio</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14.5</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53.7</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62.8</w:t>
            </w:r>
          </w:p>
        </w:tc>
        <w:tc>
          <w:tcPr>
            <w:tcW w:type="dxa" w:w="203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Leve mejora</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Julio</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14.5</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54.3</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63.5</w:t>
            </w:r>
          </w:p>
        </w:tc>
        <w:tc>
          <w:tcPr>
            <w:tcW w:type="dxa" w:w="203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Estable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Agosto</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15.4</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55.0</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64.9</w:t>
            </w:r>
          </w:p>
        </w:tc>
        <w:tc>
          <w:tcPr>
            <w:tcW w:type="dxa" w:w="203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Repunte agosto</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Septiembre</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16.4</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54.2</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64.8</w:t>
            </w:r>
          </w:p>
        </w:tc>
        <w:tc>
          <w:tcPr>
            <w:tcW w:type="dxa" w:w="203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Pico del año</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Octubre</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15.2</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54.6</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64.4</w:t>
            </w:r>
          </w:p>
        </w:tc>
        <w:tc>
          <w:tcPr>
            <w:tcW w:type="dxa" w:w="203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Recuperación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Noviembre</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15.8</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54.8</w:t>
            </w:r>
          </w:p>
        </w:tc>
        <w:tc>
          <w:tcPr>
            <w:tcW w:type="dxa" w:w="16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65.1</w:t>
            </w:r>
          </w:p>
        </w:tc>
        <w:tc>
          <w:tcPr>
            <w:tcW w:type="dxa" w:w="203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Leve alza</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Diciembre</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12.5</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54.3</w:t>
            </w:r>
          </w:p>
        </w:tc>
        <w:tc>
          <w:tcPr>
            <w:tcW w:type="dxa" w:w="161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62.1</w:t>
            </w:r>
          </w:p>
        </w:tc>
        <w:tc>
          <w:tcPr>
            <w:tcW w:type="dxa" w:w="203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Cierre temporada</w:t>
            </w:r>
          </w:p>
        </w:tc>
      </w:tr>
      <w:tr>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Promedio anual</w:t>
            </w:r>
          </w:p>
        </w:tc>
        <w:tc>
          <w:tcPr>
            <w:tcW w:type="dxa" w:w="161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14.7</w:t>
            </w:r>
          </w:p>
        </w:tc>
        <w:tc>
          <w:tcPr>
            <w:tcW w:type="dxa" w:w="161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54.0</w:t>
            </w:r>
          </w:p>
        </w:tc>
        <w:tc>
          <w:tcPr>
            <w:tcW w:type="dxa" w:w="161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63.3</w:t>
            </w:r>
          </w:p>
        </w:tc>
        <w:tc>
          <w:tcPr>
            <w:tcW w:type="dxa" w:w="203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center"/>
          </w:tcPr>
          <w:p>
            <w:pPr>
              <w:jc w:val="left"/>
            </w:pPr>
            <w:r>
              <w:rPr>
                <w:rFonts w:ascii="Arial" w:cs="Arial" w:eastAsia="Arial" w:hAnsi="Arial"/>
                <w:sz w:val="20"/>
                <w:szCs w:val="20"/>
              </w:rPr>
              <w:t xml:space="preserve"/>
            </w:r>
          </w:p>
        </w:tc>
      </w:tr>
    </w:tbl>
    <w:p>
      <w:pPr>
        <w:spacing w:after="80" w:before="160"/>
      </w:pPr>
      <w:r>
        <w:rPr>
          <w:rFonts w:ascii="Arial" w:cs="Arial" w:eastAsia="Arial" w:hAnsi="Arial"/>
          <w:b/>
          <w:bCs/>
          <w:i/>
          <w:iCs/>
          <w:sz w:val="20"/>
          <w:szCs w:val="20"/>
        </w:rPr>
        <w:t xml:space="preserve">Nota metodológica: </w:t>
      </w:r>
      <w:r>
        <w:rPr>
          <w:rFonts w:ascii="Arial" w:cs="Arial" w:eastAsia="Arial" w:hAnsi="Arial"/>
          <w:i/>
          <w:iCs/>
          <w:color w:val="595959"/>
          <w:sz w:val="20"/>
          <w:szCs w:val="20"/>
        </w:rPr>
        <w:t xml:space="preserve">Los valores corresponden al total nacional incluyendo cabeceras municipales y zona rural de los 33 departamentos. Calculado con factor FEX_C18 sobre PET=1.</w:t>
      </w:r>
    </w:p>
    <w:p>
      <w:pPr>
        <w:spacing w:after="160" w:before="120"/>
      </w:pPr>
    </w:p>
    <w:p>
      <w:pPr>
        <w:spacing w:after="120" w:before="80"/>
        <w:jc w:val="both"/>
      </w:pPr>
      <w:r>
        <w:rPr>
          <w:rFonts w:ascii="Arial" w:cs="Arial" w:eastAsia="Arial" w:hAnsi="Arial"/>
          <w:sz w:val="22"/>
          <w:szCs w:val="22"/>
        </w:rPr>
        <w:t xml:space="preserve">El comportamiento mensual de la tasa de desocupación muestra un patrón estacional característico del mercado laboral colombiano: tasas bajas al inicio y cierre del año (enero: 12.1%, diciembre: 12.5%) asociadas con la demanda laboral de las temporadas comerciales, y tasas elevadas en los meses intermedios con un pico pronunciado en septiembre (16.4%). Este patrón es consistente con la literatura sobre mercados laborales en economías en desarrollo con alta participación del comercio y los servicios estacionales.</w:t>
      </w:r>
    </w:p>
    <w:p>
      <w:pPr>
        <w:pStyle w:val="Heading2"/>
        <w:spacing w:after="120" w:before="240"/>
      </w:pPr>
      <w:r>
        <w:rPr>
          <w:rFonts w:ascii="Arial" w:cs="Arial" w:eastAsia="Arial" w:hAnsi="Arial"/>
          <w:b/>
          <w:bCs/>
          <w:color w:val="2E75B6"/>
          <w:sz w:val="26"/>
          <w:szCs w:val="26"/>
        </w:rPr>
        <w:t xml:space="preserve">3.2 Región Caribe — análisis comparativo</w:t>
      </w:r>
    </w:p>
    <w:p>
      <w:pPr>
        <w:spacing w:after="120" w:before="80"/>
        <w:jc w:val="both"/>
      </w:pPr>
      <w:r>
        <w:rPr>
          <w:rFonts w:ascii="Arial" w:cs="Arial" w:eastAsia="Arial" w:hAnsi="Arial"/>
          <w:sz w:val="22"/>
          <w:szCs w:val="22"/>
        </w:rPr>
        <w:t xml:space="preserve">La región Caribe colombiana presenta de manera persistente indicadores de mercado laboral inferiores al promedio nacional. Los siete departamentos que la conforman muestran tasas de desocupación que superan en promedio 4 a 6 puntos porcentuales el referente nacional, reflejando estructuras productivas con baja generación de empleo formal, alta dependencia del sector informal y limitada diversificación económica.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Departamento</w:t>
            </w:r>
          </w:p>
        </w:tc>
        <w:tc>
          <w:tcPr>
            <w:tcW w:type="dxa" w:w="1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TD (%)</w:t>
            </w:r>
          </w:p>
        </w:tc>
        <w:tc>
          <w:tcPr>
            <w:tcW w:type="dxa" w:w="1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w:t>
            </w:r>
          </w:p>
        </w:tc>
        <w:tc>
          <w:tcPr>
            <w:tcW w:type="dxa" w:w="1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TGP (%)</w:t>
            </w:r>
          </w:p>
        </w:tc>
        <w:tc>
          <w:tcPr>
            <w:tcW w:type="dxa" w:w="1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Posición nacional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Sucre</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20.0</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45.5</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56.8</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4/33</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Cesar</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18.9</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48.8</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60.2</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5/33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Magdalena</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18.6</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50.2</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61.7</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6/33</w:t>
            </w:r>
          </w:p>
        </w:tc>
      </w:tr>
      <w:tr>
        <w:tc>
          <w:tcPr>
            <w:tcW w:type="dxa" w:w="28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center"/>
          </w:tcPr>
          <w:p>
            <w:pPr>
              <w:jc w:val="left"/>
            </w:pPr>
            <w:r>
              <w:rPr>
                <w:rFonts w:ascii="Arial" w:cs="Arial" w:eastAsia="Arial" w:hAnsi="Arial"/>
                <w:sz w:val="20"/>
                <w:szCs w:val="20"/>
              </w:rPr>
              <w:t xml:space="preserve">Bolívar</w:t>
            </w:r>
          </w:p>
        </w:tc>
        <w:tc>
          <w:tcPr>
            <w:tcW w:type="dxa" w:w="16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center"/>
          </w:tcPr>
          <w:p>
            <w:pPr>
              <w:jc w:val="center"/>
            </w:pPr>
            <w:r>
              <w:rPr>
                <w:rFonts w:ascii="Arial" w:cs="Arial" w:eastAsia="Arial" w:hAnsi="Arial"/>
                <w:sz w:val="20"/>
                <w:szCs w:val="20"/>
              </w:rPr>
              <w:t xml:space="preserve">18.5</w:t>
            </w:r>
          </w:p>
        </w:tc>
        <w:tc>
          <w:tcPr>
            <w:tcW w:type="dxa" w:w="16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center"/>
          </w:tcPr>
          <w:p>
            <w:pPr>
              <w:jc w:val="center"/>
            </w:pPr>
            <w:r>
              <w:rPr>
                <w:rFonts w:ascii="Arial" w:cs="Arial" w:eastAsia="Arial" w:hAnsi="Arial"/>
                <w:sz w:val="20"/>
                <w:szCs w:val="20"/>
              </w:rPr>
              <w:t xml:space="preserve">51.3</w:t>
            </w:r>
          </w:p>
        </w:tc>
        <w:tc>
          <w:tcPr>
            <w:tcW w:type="dxa" w:w="16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center"/>
          </w:tcPr>
          <w:p>
            <w:pPr>
              <w:jc w:val="center"/>
            </w:pPr>
            <w:r>
              <w:rPr>
                <w:rFonts w:ascii="Arial" w:cs="Arial" w:eastAsia="Arial" w:hAnsi="Arial"/>
                <w:sz w:val="20"/>
                <w:szCs w:val="20"/>
              </w:rPr>
              <w:t xml:space="preserve">62.9</w:t>
            </w:r>
          </w:p>
        </w:tc>
        <w:tc>
          <w:tcPr>
            <w:tcW w:type="dxa" w:w="16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center"/>
          </w:tcPr>
          <w:p>
            <w:pPr>
              <w:jc w:val="center"/>
            </w:pPr>
            <w:r>
              <w:rPr>
                <w:rFonts w:ascii="Arial" w:cs="Arial" w:eastAsia="Arial" w:hAnsi="Arial"/>
                <w:sz w:val="20"/>
                <w:szCs w:val="20"/>
              </w:rPr>
              <w:t xml:space="preserve">7/33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La Guajira</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18.4</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51.3</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62.9</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8/33</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Atlántico</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17.8</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53.7</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65.3</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10/33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Córdoba</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17.5</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47.2</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57.2</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12/33</w:t>
            </w:r>
          </w:p>
        </w:tc>
      </w:tr>
    </w:tbl>
    <w:p>
      <w:pPr>
        <w:spacing w:after="80" w:before="160"/>
      </w:pPr>
      <w:r>
        <w:rPr>
          <w:rFonts w:ascii="Arial" w:cs="Arial" w:eastAsia="Arial" w:hAnsi="Arial"/>
          <w:b/>
          <w:bCs/>
          <w:i/>
          <w:iCs/>
          <w:sz w:val="20"/>
          <w:szCs w:val="20"/>
        </w:rPr>
        <w:t xml:space="preserve">Nota: </w:t>
      </w:r>
      <w:r>
        <w:rPr>
          <w:rFonts w:ascii="Arial" w:cs="Arial" w:eastAsia="Arial" w:hAnsi="Arial"/>
          <w:i/>
          <w:iCs/>
          <w:color w:val="595959"/>
          <w:sz w:val="20"/>
          <w:szCs w:val="20"/>
        </w:rPr>
        <w:t xml:space="preserve">Bolívar aparece destacado en azul por ser el departamento de enfoque del análisis. La posición en el ranking corresponde al ordenamiento de los 33 departamentos por TD anual.</w:t>
      </w:r>
    </w:p>
    <w:p>
      <w:pPr>
        <w:spacing w:after="160" w:before="120"/>
      </w:pPr>
    </w:p>
    <w:p>
      <w:pPr>
        <w:spacing w:after="120" w:before="80"/>
        <w:jc w:val="both"/>
      </w:pPr>
      <w:r>
        <w:rPr>
          <w:rFonts w:ascii="Arial" w:cs="Arial" w:eastAsia="Arial" w:hAnsi="Arial"/>
          <w:sz w:val="22"/>
          <w:szCs w:val="22"/>
        </w:rPr>
        <w:t xml:space="preserve">El caso de Sucre es particularmente llamativo: con una TD de 20.0% ocupa el cuarto puesto nacional y su tasa de ocupación de 45.5% es la más baja de la región, indicando no solo alto desempleo sino también baja participación laboral. Córdoba presenta una dinámica diferente: la TD más baja de la región (17.5%) pero también la segunda tasa de ocupación más baja (47.2%), sugiriendo que la menor desocupación refleja en parte el desaliento de trabajadores que abandonan la búsqueda de empleo más que una mejora real del mercado.</w:t>
      </w:r>
    </w:p>
    <w:p>
      <w:pPr>
        <w:spacing w:after="120" w:before="80"/>
        <w:jc w:val="both"/>
      </w:pPr>
      <w:r>
        <w:rPr>
          <w:rFonts w:ascii="Arial" w:cs="Arial" w:eastAsia="Arial" w:hAnsi="Arial"/>
          <w:sz w:val="22"/>
          <w:szCs w:val="22"/>
        </w:rPr>
        <w:t xml:space="preserve">Bolívar, con Cartagena como ciudad principal, presenta una TD de 18.5% que lo ubica en el séptimo puesto nacional. Su TGP de 62.9% es la más alta de la región, lo que indica mayor participación laboral relativa, pero también más personas expuestas al riesgo de desempleo.</w:t>
      </w:r>
    </w:p>
    <w:p>
      <w:pPr>
        <w:pStyle w:val="Heading2"/>
        <w:spacing w:after="120" w:before="240"/>
      </w:pPr>
      <w:r>
        <w:rPr>
          <w:rFonts w:ascii="Arial" w:cs="Arial" w:eastAsia="Arial" w:hAnsi="Arial"/>
          <w:b/>
          <w:bCs/>
          <w:color w:val="2E75B6"/>
          <w:sz w:val="26"/>
          <w:szCs w:val="26"/>
        </w:rPr>
        <w:t xml:space="preserve">3.3 Comportamiento mensual de Bolívar</w:t>
      </w:r>
    </w:p>
    <w:p>
      <w:pPr>
        <w:spacing w:after="120" w:before="80"/>
        <w:jc w:val="both"/>
      </w:pPr>
      <w:r>
        <w:rPr>
          <w:rFonts w:ascii="Arial" w:cs="Arial" w:eastAsia="Arial" w:hAnsi="Arial"/>
          <w:sz w:val="22"/>
          <w:szCs w:val="22"/>
        </w:rPr>
        <w:t xml:space="preserve">El análisis mes a mes del departamento de Bolívar revela una variabilidad intraanual significativa que va más allá del patrón estacional nacional. La TD oscila entre 15.4% en enero y 21.7% en junio — una amplitud de 6.3 puntos porcentuales que sugiere una estructura productiva particularmente sensible a los ciclos de la economía local, en los que el turismo, el comercio portuario y la industria petroquímica generan demanda laboral altamente estacional.</w:t>
      </w:r>
    </w:p>
    <w:p>
      <w:pPr>
        <w:pStyle w:val="ListParagraph"/>
        <w:numPr>
          <w:ilvl w:val="0"/>
          <w:numId w:val="2"/>
        </w:numPr>
        <w:spacing w:after="60" w:before="60"/>
      </w:pPr>
      <w:r>
        <w:rPr>
          <w:rFonts w:ascii="Arial" w:cs="Arial" w:eastAsia="Arial" w:hAnsi="Arial"/>
          <w:sz w:val="22"/>
          <w:szCs w:val="22"/>
        </w:rPr>
        <w:t xml:space="preserve">Primer trimestre (ene-mar): la TD sube de 15.4% a 19.8%, reflejando el agotamiento del impulso de temporada alta de fin de año y el ajuste del mercado laboral al inicio del ciclo productivo.</w:t>
      </w:r>
    </w:p>
    <w:p>
      <w:pPr>
        <w:pStyle w:val="ListParagraph"/>
        <w:numPr>
          <w:ilvl w:val="0"/>
          <w:numId w:val="2"/>
        </w:numPr>
        <w:spacing w:after="60" w:before="60"/>
      </w:pPr>
      <w:r>
        <w:rPr>
          <w:rFonts w:ascii="Arial" w:cs="Arial" w:eastAsia="Arial" w:hAnsi="Arial"/>
          <w:sz w:val="22"/>
          <w:szCs w:val="22"/>
        </w:rPr>
        <w:t xml:space="preserve">Segundo trimestre (abr-jun): se mantiene elevada con un pico en junio (21.7%), período que coincide con el fin del primer semestre escolar y el ingreso de jóvenes al mercado laboral.</w:t>
      </w:r>
    </w:p>
    <w:p>
      <w:pPr>
        <w:pStyle w:val="ListParagraph"/>
        <w:numPr>
          <w:ilvl w:val="0"/>
          <w:numId w:val="2"/>
        </w:numPr>
        <w:spacing w:after="60" w:before="60"/>
      </w:pPr>
      <w:r>
        <w:rPr>
          <w:rFonts w:ascii="Arial" w:cs="Arial" w:eastAsia="Arial" w:hAnsi="Arial"/>
          <w:sz w:val="22"/>
          <w:szCs w:val="22"/>
        </w:rPr>
        <w:t xml:space="preserve">Tercer trimestre (jul-sep): estabilización alrededor del 19-20%, consistente con el comportamiento de la economía regional en período de baja temporada turística.</w:t>
      </w:r>
    </w:p>
    <w:p>
      <w:pPr>
        <w:pStyle w:val="ListParagraph"/>
        <w:numPr>
          <w:ilvl w:val="0"/>
          <w:numId w:val="2"/>
        </w:numPr>
        <w:spacing w:after="60" w:before="60"/>
      </w:pPr>
      <w:r>
        <w:rPr>
          <w:rFonts w:ascii="Arial" w:cs="Arial" w:eastAsia="Arial" w:hAnsi="Arial"/>
          <w:sz w:val="22"/>
          <w:szCs w:val="22"/>
        </w:rPr>
        <w:t xml:space="preserve">Cuarto trimestre (oct-dic): descenso progresivo hasta 15.5% en diciembre, impulsado por la temporada comercial, el turismo de fin de año y la demanda del sector servicios.</w:t>
      </w:r>
    </w:p>
    <w:p>
      <w:pPr>
        <w:pStyle w:val="Heading2"/>
        <w:spacing w:after="120" w:before="240"/>
      </w:pPr>
      <w:r>
        <w:rPr>
          <w:rFonts w:ascii="Arial" w:cs="Arial" w:eastAsia="Arial" w:hAnsi="Arial"/>
          <w:b/>
          <w:bCs/>
          <w:color w:val="2E75B6"/>
          <w:sz w:val="26"/>
          <w:szCs w:val="26"/>
        </w:rPr>
        <w:t xml:space="preserve">3.4 Brecha de género</w:t>
      </w:r>
    </w:p>
    <w:p>
      <w:pPr>
        <w:spacing w:after="120" w:before="80"/>
        <w:jc w:val="both"/>
      </w:pPr>
      <w:r>
        <w:rPr>
          <w:rFonts w:ascii="Arial" w:cs="Arial" w:eastAsia="Arial" w:hAnsi="Arial"/>
          <w:sz w:val="22"/>
          <w:szCs w:val="22"/>
        </w:rPr>
        <w:t xml:space="preserve">La brecha de género en la tasa de desocupación es uno de los hallazgos más robustos y políticamente relevantes del análisis. A nivel nacional, las mujeres presentan sistemáticamente tasas de desempleo entre 7 y 11 puntos porcentuales superiores a las de los hombres, una diferencia que no ha mostrado reducción significativa a lo largo del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w:t>
            </w:r>
          </w:p>
        </w:tc>
        <w:tc>
          <w:tcPr>
            <w:tcW w:type="dxa" w:w="1715"/>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TD Hombre (%)</w:t>
            </w:r>
          </w:p>
        </w:tc>
        <w:tc>
          <w:tcPr>
            <w:tcW w:type="dxa" w:w="1715"/>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TD Mujer (%)</w:t>
            </w:r>
          </w:p>
        </w:tc>
        <w:tc>
          <w:tcPr>
            <w:tcW w:type="dxa" w:w="1715"/>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Brecha (pp)</w:t>
            </w:r>
          </w:p>
        </w:tc>
        <w:tc>
          <w:tcPr>
            <w:tcW w:type="dxa" w:w="1715"/>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Enero</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3.9</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11.3</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7.4</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Temporada alta</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Marzo</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5.3</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15.1</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9.8</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Brecha alta</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Abril</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5.7</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15.7</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10.0</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Máximo semestral</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Agosto</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5.2</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16.2</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11.0</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Pico de brecha</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Septiembre</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6.0</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16.7</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10.7</w:t>
            </w:r>
          </w:p>
        </w:tc>
        <w:tc>
          <w:tcPr>
            <w:tcW w:type="dxa" w:w="171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Brecha persistente</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Diciembre</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4.5</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12.4</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7.9</w:t>
            </w:r>
          </w:p>
        </w:tc>
        <w:tc>
          <w:tcPr>
            <w:tcW w:type="dxa" w:w="1715"/>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Cierre de año</w:t>
            </w:r>
          </w:p>
        </w:tc>
      </w:tr>
      <w:tr>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Promedio anual</w:t>
            </w:r>
          </w:p>
        </w:tc>
        <w:tc>
          <w:tcPr>
            <w:tcW w:type="dxa" w:w="1715"/>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5.2</w:t>
            </w:r>
          </w:p>
        </w:tc>
        <w:tc>
          <w:tcPr>
            <w:tcW w:type="dxa" w:w="1715"/>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15.1</w:t>
            </w:r>
          </w:p>
        </w:tc>
        <w:tc>
          <w:tcPr>
            <w:tcW w:type="dxa" w:w="1715"/>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sz w:val="20"/>
                <w:szCs w:val="20"/>
              </w:rPr>
              <w:t xml:space="preserve">9.5</w:t>
            </w:r>
          </w:p>
        </w:tc>
        <w:tc>
          <w:tcPr>
            <w:tcW w:type="dxa" w:w="1715"/>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center"/>
          </w:tcPr>
          <w:p>
            <w:pPr>
              <w:jc w:val="left"/>
            </w:pPr>
            <w:r>
              <w:rPr>
                <w:rFonts w:ascii="Arial" w:cs="Arial" w:eastAsia="Arial" w:hAnsi="Arial"/>
                <w:sz w:val="20"/>
                <w:szCs w:val="20"/>
              </w:rPr>
              <w:t xml:space="preserve">Brecha estructural</w:t>
            </w:r>
          </w:p>
        </w:tc>
      </w:tr>
    </w:tbl>
    <w:p>
      <w:pPr>
        <w:spacing w:after="160" w:before="120"/>
      </w:pPr>
    </w:p>
    <w:p>
      <w:pPr>
        <w:spacing w:after="120" w:before="80"/>
        <w:jc w:val="both"/>
      </w:pPr>
      <w:r>
        <w:rPr>
          <w:rFonts w:ascii="Arial" w:cs="Arial" w:eastAsia="Arial" w:hAnsi="Arial"/>
          <w:sz w:val="22"/>
          <w:szCs w:val="22"/>
        </w:rPr>
        <w:t xml:space="preserve">La brecha promedio de 9.5 puntos porcentuales refleja barreras estructurales en el acceso al mercado laboral que van más allá del ciclo económico: segregación ocupacional horizontal (concentración femenina en sectores de mayor informalidad), trabajo de cuidado no remunerado que limita la disponibilidad para empleo formal, y discriminación en procesos de selección laboral. Estos patrones son consistentes con la evidencia internacional para América Latina (OIT, 2023; CEPAL, 2024).</w:t>
      </w:r>
    </w:p>
    <w:p>
      <w:pPr>
        <w:spacing w:after="120" w:before="80"/>
        <w:jc w:val="both"/>
      </w:pPr>
      <w:r>
        <w:rPr>
          <w:rFonts w:ascii="Arial" w:cs="Arial" w:eastAsia="Arial" w:hAnsi="Arial"/>
          <w:sz w:val="22"/>
          <w:szCs w:val="22"/>
        </w:rPr>
        <w:t xml:space="preserve">En la región Caribe la situación es más severa. La brecha más pronunciada se registra en Sucre (13.5 pp), donde la TD masculina de apenas 1.2% contrasta con una TD femenina de 14.7%. Este patrón podría reflejar una mayor presencia de trabajo informal masculino en actividades agropecuarias que no se captura plenamente en la definición de desocupado de la GEIH, más que una ausencia real de desempleo masculino.</w:t>
      </w:r>
    </w:p>
    <w:p>
      <w:pPr>
        <w:pStyle w:val="Heading2"/>
        <w:spacing w:after="120" w:before="240"/>
      </w:pPr>
      <w:r>
        <w:rPr>
          <w:rFonts w:ascii="Arial" w:cs="Arial" w:eastAsia="Arial" w:hAnsi="Arial"/>
          <w:b/>
          <w:bCs/>
          <w:color w:val="2E75B6"/>
          <w:sz w:val="26"/>
          <w:szCs w:val="26"/>
        </w:rPr>
        <w:t xml:space="preserve">3.5 Informalidad laboral</w:t>
      </w:r>
    </w:p>
    <w:p>
      <w:pPr>
        <w:spacing w:after="120" w:before="80"/>
        <w:jc w:val="both"/>
      </w:pPr>
      <w:r>
        <w:rPr>
          <w:rFonts w:ascii="Arial" w:cs="Arial" w:eastAsia="Arial" w:hAnsi="Arial"/>
          <w:sz w:val="22"/>
          <w:szCs w:val="22"/>
        </w:rPr>
        <w:t xml:space="preserve">La informalidad es, junto con el desempleo, el principal desafío del mercado laboral colombiano y caribeño. En este análisis se mide como la proporción de ocupados que no cotizan al sistema pensional, siguiendo la definición operativa del DANE.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Departamento / Ámbito</w:t>
            </w:r>
          </w:p>
        </w:tc>
        <w:tc>
          <w:tcPr>
            <w:tcW w:type="dxa" w:w="21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Informalidad (%)</w:t>
            </w:r>
          </w:p>
        </w:tc>
        <w:tc>
          <w:tcPr>
            <w:tcW w:type="dxa" w:w="21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Nacional</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Clasificación</w:t>
            </w:r>
          </w:p>
        </w:tc>
      </w:tr>
      <w:tr>
        <w:tc>
          <w:tcPr>
            <w:tcW w:type="dxa" w:w="3000"/>
            <w:tcBorders>
              <w:top w:val="single" w:color="CCCCCC" w:sz="4"/>
              <w:left w:val="single" w:color="CCCCCC" w:sz="4"/>
              <w:bottom w:val="single" w:color="CCCCCC" w:sz="4"/>
              <w:right w:val="single" w:color="CCCCCC" w:sz="4"/>
            </w:tcBorders>
            <w:shd w:fill="E8F0E9" w:val="clear"/>
            <w:tcMar>
              <w:top w:type="dxa" w:w="60"/>
              <w:left w:type="dxa" w:w="120"/>
              <w:bottom w:type="dxa" w:w="60"/>
              <w:right w:type="dxa" w:w="120"/>
            </w:tcMar>
            <w:vAlign w:val="center"/>
          </w:tcPr>
          <w:p>
            <w:pPr>
              <w:jc w:val="left"/>
            </w:pPr>
            <w:r>
              <w:rPr>
                <w:rFonts w:ascii="Arial" w:cs="Arial" w:eastAsia="Arial" w:hAnsi="Arial"/>
                <w:sz w:val="20"/>
                <w:szCs w:val="20"/>
              </w:rPr>
              <w:t xml:space="preserve">Nacional</w:t>
            </w:r>
          </w:p>
        </w:tc>
        <w:tc>
          <w:tcPr>
            <w:tcW w:type="dxa" w:w="2180"/>
            <w:tcBorders>
              <w:top w:val="single" w:color="CCCCCC" w:sz="4"/>
              <w:left w:val="single" w:color="CCCCCC" w:sz="4"/>
              <w:bottom w:val="single" w:color="CCCCCC" w:sz="4"/>
              <w:right w:val="single" w:color="CCCCCC" w:sz="4"/>
            </w:tcBorders>
            <w:shd w:fill="E8F0E9" w:val="clear"/>
            <w:tcMar>
              <w:top w:type="dxa" w:w="60"/>
              <w:left w:type="dxa" w:w="120"/>
              <w:bottom w:type="dxa" w:w="60"/>
              <w:right w:type="dxa" w:w="120"/>
            </w:tcMar>
            <w:vAlign w:val="center"/>
          </w:tcPr>
          <w:p>
            <w:pPr>
              <w:jc w:val="center"/>
            </w:pPr>
            <w:r>
              <w:rPr>
                <w:rFonts w:ascii="Arial" w:cs="Arial" w:eastAsia="Arial" w:hAnsi="Arial"/>
                <w:sz w:val="20"/>
                <w:szCs w:val="20"/>
              </w:rPr>
              <w:t xml:space="preserve">57.1</w:t>
            </w:r>
          </w:p>
        </w:tc>
        <w:tc>
          <w:tcPr>
            <w:tcW w:type="dxa" w:w="2180"/>
            <w:tcBorders>
              <w:top w:val="single" w:color="CCCCCC" w:sz="4"/>
              <w:left w:val="single" w:color="CCCCCC" w:sz="4"/>
              <w:bottom w:val="single" w:color="CCCCCC" w:sz="4"/>
              <w:right w:val="single" w:color="CCCCCC" w:sz="4"/>
            </w:tcBorders>
            <w:shd w:fill="E8F0E9" w:val="clear"/>
            <w:tcMar>
              <w:top w:type="dxa" w:w="60"/>
              <w:left w:type="dxa" w:w="120"/>
              <w:bottom w:type="dxa" w:w="60"/>
              <w:right w:type="dxa" w:w="120"/>
            </w:tcMar>
            <w:vAlign w:val="center"/>
          </w:tcPr>
          <w:p>
            <w:pPr>
              <w:jc w:val="center"/>
            </w:pPr>
            <w:r>
              <w:rPr>
                <w:rFonts w:ascii="Arial" w:cs="Arial" w:eastAsia="Arial" w:hAnsi="Arial"/>
                <w:sz w:val="20"/>
                <w:szCs w:val="20"/>
              </w:rPr>
              <w:t xml:space="preserve">—</w:t>
            </w:r>
          </w:p>
        </w:tc>
        <w:tc>
          <w:tcPr>
            <w:tcW w:type="dxa" w:w="2000"/>
            <w:tcBorders>
              <w:top w:val="single" w:color="CCCCCC" w:sz="4"/>
              <w:left w:val="single" w:color="CCCCCC" w:sz="4"/>
              <w:bottom w:val="single" w:color="CCCCCC" w:sz="4"/>
              <w:right w:val="single" w:color="CCCCCC" w:sz="4"/>
            </w:tcBorders>
            <w:shd w:fill="E8F0E9" w:val="clear"/>
            <w:tcMar>
              <w:top w:type="dxa" w:w="60"/>
              <w:left w:type="dxa" w:w="120"/>
              <w:bottom w:type="dxa" w:w="60"/>
              <w:right w:type="dxa" w:w="120"/>
            </w:tcMar>
            <w:vAlign w:val="center"/>
          </w:tcPr>
          <w:p>
            <w:pPr>
              <w:jc w:val="left"/>
            </w:pPr>
            <w:r>
              <w:rPr>
                <w:rFonts w:ascii="Arial" w:cs="Arial" w:eastAsia="Arial" w:hAnsi="Arial"/>
                <w:sz w:val="20"/>
                <w:szCs w:val="20"/>
              </w:rPr>
              <w:t xml:space="preserve">Referencia</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Sucre</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82.7</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+25.6 pp</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Crítico</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Córdoba</w:t>
            </w:r>
          </w:p>
        </w:tc>
        <w:tc>
          <w:tcPr>
            <w:tcW w:type="dxa" w:w="2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81.6</w:t>
            </w:r>
          </w:p>
        </w:tc>
        <w:tc>
          <w:tcPr>
            <w:tcW w:type="dxa" w:w="2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+24.5 pp</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Crítico</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La Guajira</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81.2</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+24.1 pp</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Crítico</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Magdalena</w:t>
            </w:r>
          </w:p>
        </w:tc>
        <w:tc>
          <w:tcPr>
            <w:tcW w:type="dxa" w:w="2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75.5</w:t>
            </w:r>
          </w:p>
        </w:tc>
        <w:tc>
          <w:tcPr>
            <w:tcW w:type="dxa" w:w="2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+18.4 pp</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Muy alto</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Cesar</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72.9</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+15.8 pp</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Muy alto</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Bolívar</w:t>
            </w:r>
          </w:p>
        </w:tc>
        <w:tc>
          <w:tcPr>
            <w:tcW w:type="dxa" w:w="2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70.3</w:t>
            </w:r>
          </w:p>
        </w:tc>
        <w:tc>
          <w:tcPr>
            <w:tcW w:type="dxa" w:w="2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sz w:val="20"/>
                <w:szCs w:val="20"/>
              </w:rPr>
              <w:t xml:space="preserve">+13.2 pp</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Alto</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Atlántico</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62.3</w:t>
            </w:r>
          </w:p>
        </w:tc>
        <w:tc>
          <w:tcPr>
            <w:tcW w:type="dxa" w:w="21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Arial" w:cs="Arial" w:eastAsia="Arial" w:hAnsi="Arial"/>
                <w:sz w:val="20"/>
                <w:szCs w:val="20"/>
              </w:rPr>
              <w:t xml:space="preserve">+5.2 pp</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Moderado</w:t>
            </w:r>
          </w:p>
        </w:tc>
      </w:tr>
    </w:tbl>
    <w:p>
      <w:pPr>
        <w:spacing w:after="160" w:before="120"/>
      </w:pPr>
    </w:p>
    <w:p>
      <w:pPr>
        <w:spacing w:after="120" w:before="80"/>
        <w:jc w:val="both"/>
      </w:pPr>
      <w:r>
        <w:rPr>
          <w:rFonts w:ascii="Arial" w:cs="Arial" w:eastAsia="Arial" w:hAnsi="Arial"/>
          <w:sz w:val="22"/>
          <w:szCs w:val="22"/>
        </w:rPr>
        <w:t xml:space="preserve">Los niveles de informalidad en la región Caribe son alarmantes desde cualquier perspectiva. Con excepción de Atlántico (62.3%), todos los departamentos superan ampliamente el ya elevado promedio nacional (57.1%). Sucre, Córdoba y La Guajira presentan tasas por encima del 80%, lo que significa que más de 4 de cada 5 trabajadores ocupados en estos territorios no tienen acceso a protección social contributiva.</w:t>
      </w:r>
    </w:p>
    <w:p>
      <w:pPr>
        <w:spacing w:after="120" w:before="80"/>
        <w:jc w:val="both"/>
      </w:pPr>
      <w:r>
        <w:rPr>
          <w:rFonts w:ascii="Arial" w:cs="Arial" w:eastAsia="Arial" w:hAnsi="Arial"/>
          <w:sz w:val="22"/>
          <w:szCs w:val="22"/>
        </w:rPr>
        <w:t xml:space="preserve">Las implicaciones son múltiples: ausencia de cobertura en salud contributiva, sin acceso a pensión de vejez, sin seguro de desempleo, y exposición a condiciones laborales precarias sin protección jurídica. Desde el punto de vista fiscal, la informalidad masiva reduce la base contributiva del sistema de seguridad social y transfiere la carga de la protección social al régimen subsidiado del Estado.</w:t>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4. Discusión y análisis de política</w:t>
      </w:r>
    </w:p>
    <w:p>
      <w:pPr>
        <w:pStyle w:val="Heading2"/>
        <w:spacing w:after="120" w:before="240"/>
      </w:pPr>
      <w:r>
        <w:rPr>
          <w:rFonts w:ascii="Arial" w:cs="Arial" w:eastAsia="Arial" w:hAnsi="Arial"/>
          <w:b/>
          <w:bCs/>
          <w:color w:val="2E75B6"/>
          <w:sz w:val="26"/>
          <w:szCs w:val="26"/>
        </w:rPr>
        <w:t xml:space="preserve">4.1 Determinantes estructurales del desempleo caribeño</w:t>
      </w:r>
    </w:p>
    <w:p>
      <w:pPr>
        <w:spacing w:after="120" w:before="80"/>
        <w:jc w:val="both"/>
      </w:pPr>
      <w:r>
        <w:rPr>
          <w:rFonts w:ascii="Arial" w:cs="Arial" w:eastAsia="Arial" w:hAnsi="Arial"/>
          <w:sz w:val="22"/>
          <w:szCs w:val="22"/>
        </w:rPr>
        <w:t xml:space="preserve">Los indicadores analizados no son producto de coyunturas transitorias sino de configuraciones estructurales del desarrollo económico regional. La literatura sobre mercados laborales en la Costa Caribe colombiana identifica al menos tres factores explicativos persistentes:</w:t>
      </w:r>
    </w:p>
    <w:p>
      <w:pPr>
        <w:spacing w:after="120" w:before="80"/>
        <w:jc w:val="both"/>
      </w:pPr>
      <w:r>
        <w:rPr>
          <w:rFonts w:ascii="Arial" w:cs="Arial" w:eastAsia="Arial" w:hAnsi="Arial"/>
          <w:sz w:val="22"/>
          <w:szCs w:val="22"/>
        </w:rPr>
        <w:t xml:space="preserve">En primer lugar, la composición sectorial de la economía. La región tiene una fuerte dependencia del sector servicios (comercio, turismo, servicios personales) con alta estacionalidad y baja productividad, y una participación reducida de la industria manufacturera y los servicios de alto valor agregado que generan empleo formal estable. La excepción parcial es Bolívar, donde la industria petroquímica de Cartagena y el sector logístico-portuario generan núcleos de empleo formal, explicando su posición relativamente mejor dentro de la región.</w:t>
      </w:r>
    </w:p>
    <w:p>
      <w:pPr>
        <w:spacing w:after="120" w:before="80"/>
        <w:jc w:val="both"/>
      </w:pPr>
      <w:r>
        <w:rPr>
          <w:rFonts w:ascii="Arial" w:cs="Arial" w:eastAsia="Arial" w:hAnsi="Arial"/>
          <w:sz w:val="22"/>
          <w:szCs w:val="22"/>
        </w:rPr>
        <w:t xml:space="preserve">En segundo lugar, el déficit en capital humano. Las tasas de cobertura en educación superior y técnica en los departamentos del Caribe están por debajo del promedio nacional, limitando la oferta de trabajo calificado y la capacidad de atraer inversión en sectores de mayor productividad. La brecha educativa se refleja directamente en la estructura de la informalidad: los trabajadores con menor educación tienen acceso exclusivamente a empleos informales.</w:t>
      </w:r>
    </w:p>
    <w:p>
      <w:pPr>
        <w:spacing w:after="120" w:before="80"/>
        <w:jc w:val="both"/>
      </w:pPr>
      <w:r>
        <w:rPr>
          <w:rFonts w:ascii="Arial" w:cs="Arial" w:eastAsia="Arial" w:hAnsi="Arial"/>
          <w:sz w:val="22"/>
          <w:szCs w:val="22"/>
        </w:rPr>
        <w:t xml:space="preserve">En tercer lugar, las fallas de intermediación laboral. Los servicios públicos de empleo tienen cobertura insuficiente en la región, generando fricciones que elevan la tasa de desempleo friccional. La falta de información sobre oportunidades laborales y las limitaciones de movilidad geográfica impiden que la oferta y la demanda de trabajo se encuentren eficientemente.</w:t>
      </w:r>
    </w:p>
    <w:p>
      <w:pPr>
        <w:pStyle w:val="Heading2"/>
        <w:spacing w:after="120" w:before="240"/>
      </w:pPr>
      <w:r>
        <w:rPr>
          <w:rFonts w:ascii="Arial" w:cs="Arial" w:eastAsia="Arial" w:hAnsi="Arial"/>
          <w:b/>
          <w:bCs/>
          <w:color w:val="2E75B6"/>
          <w:sz w:val="26"/>
          <w:szCs w:val="26"/>
        </w:rPr>
        <w:t xml:space="preserve">4.2 Implicaciones para política pública</w:t>
      </w:r>
    </w:p>
    <w:p>
      <w:pPr>
        <w:spacing w:after="120" w:before="80"/>
        <w:jc w:val="both"/>
      </w:pPr>
      <w:r>
        <w:rPr>
          <w:rFonts w:ascii="Arial" w:cs="Arial" w:eastAsia="Arial" w:hAnsi="Arial"/>
          <w:sz w:val="22"/>
          <w:szCs w:val="22"/>
        </w:rPr>
        <w:t xml:space="preserve">Los hallazgos tienen implicaciones concretas para el diseño de políticas de empleo a nivel departamental y municipal:</w:t>
      </w:r>
    </w:p>
    <w:p>
      <w:pPr>
        <w:pStyle w:val="ListParagraph"/>
        <w:numPr>
          <w:ilvl w:val="0"/>
          <w:numId w:val="2"/>
        </w:numPr>
        <w:spacing w:after="60" w:before="60"/>
      </w:pPr>
      <w:r>
        <w:rPr>
          <w:rFonts w:ascii="Arial" w:cs="Arial" w:eastAsia="Arial" w:hAnsi="Arial"/>
          <w:sz w:val="22"/>
          <w:szCs w:val="22"/>
        </w:rPr>
        <w:t xml:space="preserve">Formalización laboral diferenciada: dada la heterogeneidad entre departamentos (62.3% de informalidad en Atlántico vs 82.7% en Sucre), las estrategias de formalización deben ser específicas por territorio, priorizando los sectores y segmentos de trabajadores con mayor potencial de transición al empleo formal.</w:t>
      </w:r>
    </w:p>
    <w:p>
      <w:pPr>
        <w:pStyle w:val="ListParagraph"/>
        <w:numPr>
          <w:ilvl w:val="0"/>
          <w:numId w:val="2"/>
        </w:numPr>
        <w:spacing w:after="60" w:before="60"/>
      </w:pPr>
      <w:r>
        <w:rPr>
          <w:rFonts w:ascii="Arial" w:cs="Arial" w:eastAsia="Arial" w:hAnsi="Arial"/>
          <w:sz w:val="22"/>
          <w:szCs w:val="22"/>
        </w:rPr>
        <w:t xml:space="preserve">Reducción de la brecha de género: los programas de empleo deben incorporar explícitamente medidas de equidad de género, incluyendo servicios de cuidado que permitan a las mujeres participar en el mercado laboral en igualdad de condiciones.</w:t>
      </w:r>
    </w:p>
    <w:p>
      <w:pPr>
        <w:pStyle w:val="ListParagraph"/>
        <w:numPr>
          <w:ilvl w:val="0"/>
          <w:numId w:val="2"/>
        </w:numPr>
        <w:spacing w:after="60" w:before="60"/>
      </w:pPr>
      <w:r>
        <w:rPr>
          <w:rFonts w:ascii="Arial" w:cs="Arial" w:eastAsia="Arial" w:hAnsi="Arial"/>
          <w:sz w:val="22"/>
          <w:szCs w:val="22"/>
        </w:rPr>
        <w:t xml:space="preserve">Empleo juvenil: la brecha entre desempleo juvenil y adulto justifica programas específicos de inserción laboral para personas entre 18 y 28 años, articulados con las instituciones de educación técnica y superior de la región.</w:t>
      </w:r>
    </w:p>
    <w:p>
      <w:pPr>
        <w:pStyle w:val="ListParagraph"/>
        <w:numPr>
          <w:ilvl w:val="0"/>
          <w:numId w:val="2"/>
        </w:numPr>
        <w:spacing w:after="60" w:before="60"/>
      </w:pPr>
      <w:r>
        <w:rPr>
          <w:rFonts w:ascii="Arial" w:cs="Arial" w:eastAsia="Arial" w:hAnsi="Arial"/>
          <w:sz w:val="22"/>
          <w:szCs w:val="22"/>
        </w:rPr>
        <w:t xml:space="preserve">Monitoreo continuo: la disponibilidad de microdatos mensuales permite construir sistemas de alerta temprana que identifiquen deterioros del mercado laboral antes de que se consoliden, mejorando la capacidad de respuesta de la política pública.</w:t>
      </w:r>
    </w:p>
    <w:p>
      <w:pPr>
        <w:pStyle w:val="Heading2"/>
        <w:spacing w:after="120" w:before="240"/>
      </w:pPr>
      <w:r>
        <w:rPr>
          <w:rFonts w:ascii="Arial" w:cs="Arial" w:eastAsia="Arial" w:hAnsi="Arial"/>
          <w:b/>
          <w:bCs/>
          <w:color w:val="2E75B6"/>
          <w:sz w:val="26"/>
          <w:szCs w:val="26"/>
        </w:rPr>
        <w:t xml:space="preserve">4.3 Agenda de investigación</w:t>
      </w:r>
    </w:p>
    <w:p>
      <w:pPr>
        <w:spacing w:after="120" w:before="80"/>
        <w:jc w:val="both"/>
      </w:pPr>
      <w:r>
        <w:rPr>
          <w:rFonts w:ascii="Arial" w:cs="Arial" w:eastAsia="Arial" w:hAnsi="Arial"/>
          <w:sz w:val="22"/>
          <w:szCs w:val="22"/>
        </w:rPr>
        <w:t xml:space="preserve">Este análisis abre varias líneas de investigación académica relevantes para revistas indexadas en Publindex y bases internacionales:</w:t>
      </w:r>
    </w:p>
    <w:p>
      <w:pPr>
        <w:pStyle w:val="ListParagraph"/>
        <w:numPr>
          <w:ilvl w:val="0"/>
          <w:numId w:val="2"/>
        </w:numPr>
        <w:spacing w:after="60" w:before="60"/>
      </w:pPr>
      <w:r>
        <w:rPr>
          <w:rFonts w:ascii="Arial" w:cs="Arial" w:eastAsia="Arial" w:hAnsi="Arial"/>
          <w:sz w:val="22"/>
          <w:szCs w:val="22"/>
        </w:rPr>
        <w:t xml:space="preserve">Determinantes individuales del empleo formal en la región Caribe: un modelo de regresión logística que estime la probabilidad de ocupación formal en función de características del individuo (sexo, edad, nivel educativo, departamento) permitiría identificar los factores más importantes y cuantificar las brechas de acceso.</w:t>
      </w:r>
    </w:p>
    <w:p>
      <w:pPr>
        <w:pStyle w:val="ListParagraph"/>
        <w:numPr>
          <w:ilvl w:val="0"/>
          <w:numId w:val="2"/>
        </w:numPr>
        <w:spacing w:after="60" w:before="60"/>
      </w:pPr>
      <w:r>
        <w:rPr>
          <w:rFonts w:ascii="Arial" w:cs="Arial" w:eastAsia="Arial" w:hAnsi="Arial"/>
          <w:sz w:val="22"/>
          <w:szCs w:val="22"/>
        </w:rPr>
        <w:t xml:space="preserve">Dinámica del mercado laboral en ciudades intermedias: Barranquilla, Cartagena y Santa Marta tienen perfiles productivos distintos que merecen análisis diferenciado, especialmente en el contexto de su transformación hacia economías más orientadas a servicios de alto valor.</w:t>
      </w:r>
    </w:p>
    <w:p>
      <w:pPr>
        <w:pStyle w:val="ListParagraph"/>
        <w:numPr>
          <w:ilvl w:val="0"/>
          <w:numId w:val="2"/>
        </w:numPr>
        <w:spacing w:after="60" w:before="60"/>
      </w:pPr>
      <w:r>
        <w:rPr>
          <w:rFonts w:ascii="Arial" w:cs="Arial" w:eastAsia="Arial" w:hAnsi="Arial"/>
          <w:sz w:val="22"/>
          <w:szCs w:val="22"/>
        </w:rPr>
        <w:t xml:space="preserve">Impacto de la economía del cuidado en la participación laboral femenina: cuantificar cómo la disponibilidad de servicios de cuidado (guarderías, centros de desarrollo infantil) afecta la TGP femenina en la región.</w:t>
      </w:r>
    </w:p>
    <w:p>
      <w:pPr>
        <w:pStyle w:val="ListParagraph"/>
        <w:numPr>
          <w:ilvl w:val="0"/>
          <w:numId w:val="2"/>
        </w:numPr>
        <w:spacing w:after="60" w:before="60"/>
      </w:pPr>
      <w:r>
        <w:rPr>
          <w:rFonts w:ascii="Arial" w:cs="Arial" w:eastAsia="Arial" w:hAnsi="Arial"/>
          <w:sz w:val="22"/>
          <w:szCs w:val="22"/>
        </w:rPr>
        <w:t xml:space="preserve">Transiciones laborales y trayectorias ocupacionales: con datos de panel construidos a partir de series históricas de la GEIH, analizar cómo los individuos transitan entre informalidad, desempleo y empleo formal a lo largo del tiempo.</w:t>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5. Nota metodológica completa</w:t>
      </w:r>
    </w:p>
    <w:p>
      <w:pPr>
        <w:pStyle w:val="Heading2"/>
        <w:spacing w:after="120" w:before="240"/>
      </w:pPr>
      <w:r>
        <w:rPr>
          <w:rFonts w:ascii="Arial" w:cs="Arial" w:eastAsia="Arial" w:hAnsi="Arial"/>
          <w:b/>
          <w:bCs/>
          <w:color w:val="2E75B6"/>
          <w:sz w:val="26"/>
          <w:szCs w:val="26"/>
        </w:rPr>
        <w:t xml:space="preserve">5.1 Fuente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6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Encuesta</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Gran Encuesta Integrada de Hogares (GEIH)</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Entidad</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Departamento Administrativo Nacional de Estadística (DANE)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Período analizado</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Enero – Diciembre 2024 (año corrido completo)</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Cobertura</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33 departamentos, cabecera y resto</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Módulos utilizados</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Fuerza de trabajo, Ocupados, Características generales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sz w:val="20"/>
                <w:szCs w:val="20"/>
              </w:rPr>
              <w:t xml:space="preserve">Registros (PET=1)</w:t>
            </w:r>
          </w:p>
        </w:tc>
        <w:tc>
          <w:tcPr>
            <w:tcW w:type="dxa" w:w="6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711,873 registros en fuerza de trabajo</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sz w:val="20"/>
                <w:szCs w:val="20"/>
              </w:rPr>
              <w:t xml:space="preserve">Acceso</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Microdatos públicos: microdatos.dane.gov.co</w:t>
            </w:r>
          </w:p>
        </w:tc>
      </w:tr>
    </w:tbl>
    <w:p>
      <w:pPr>
        <w:spacing w:after="160" w:before="160"/>
      </w:pPr>
    </w:p>
    <w:p>
      <w:pPr>
        <w:pStyle w:val="Heading2"/>
        <w:spacing w:after="120" w:before="240"/>
      </w:pPr>
      <w:r>
        <w:rPr>
          <w:rFonts w:ascii="Arial" w:cs="Arial" w:eastAsia="Arial" w:hAnsi="Arial"/>
          <w:b/>
          <w:bCs/>
          <w:color w:val="2E75B6"/>
          <w:sz w:val="26"/>
          <w:szCs w:val="26"/>
        </w:rPr>
        <w:t xml:space="preserve">5.2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Herramienta</w:t>
            </w:r>
          </w:p>
        </w:tc>
        <w:tc>
          <w:tcPr>
            <w:tcW w:type="dxa" w:w="4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específico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Lenguaje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Python 3.12</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Procesamiento, análisis y visualización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Base de datos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PostgreSQL 16</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Almacenamiento de microdatos GEIH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ORM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SQLAlchemy 2.0</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Conexión segura vía variables de entorno</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Manipulación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pandas 3.0</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Transformación y cálculo de indicadores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Visualización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Plotly 6.6</w:t>
            </w:r>
          </w:p>
        </w:tc>
        <w:tc>
          <w:tcPr>
            <w:tcW w:type="dxa" w:w="4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sz w:val="20"/>
                <w:szCs w:val="20"/>
              </w:rPr>
              <w:t xml:space="preserve">Gráficas interactivas exportables a HTML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Credenciales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python-dotenv</w:t>
            </w:r>
          </w:p>
        </w:tc>
        <w:tc>
          <w:tcPr>
            <w:tcW w:type="dxa" w:w="4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sz w:val="20"/>
                <w:szCs w:val="20"/>
              </w:rPr>
              <w:t xml:space="preserve">Gestión segura de credenciales (.env)</w:t>
            </w:r>
          </w:p>
        </w:tc>
      </w:tr>
    </w:tbl>
    <w:p>
      <w:pPr>
        <w:spacing w:after="160" w:before="160"/>
      </w:pPr>
    </w:p>
    <w:p>
      <w:pPr>
        <w:pStyle w:val="Heading2"/>
        <w:spacing w:after="120" w:before="240"/>
      </w:pPr>
      <w:r>
        <w:rPr>
          <w:rFonts w:ascii="Arial" w:cs="Arial" w:eastAsia="Arial" w:hAnsi="Arial"/>
          <w:b/>
          <w:bCs/>
          <w:color w:val="2E75B6"/>
          <w:sz w:val="26"/>
          <w:szCs w:val="26"/>
        </w:rPr>
        <w:t xml:space="preserve">5.3 Conciliación con cifras oficiales</w:t>
      </w:r>
    </w:p>
    <w:p>
      <w:pPr>
        <w:spacing w:after="120" w:before="80"/>
        <w:jc w:val="both"/>
      </w:pPr>
      <w:r>
        <w:rPr>
          <w:rFonts w:ascii="Arial" w:cs="Arial" w:eastAsia="Arial" w:hAnsi="Arial"/>
          <w:sz w:val="22"/>
          <w:szCs w:val="22"/>
        </w:rPr>
        <w:t xml:space="preserve">Las cifras presentadas pueden diferir de los boletines de prensa del DANE por las siguientes razones metodológicas:</w:t>
      </w:r>
    </w:p>
    <w:p>
      <w:pPr>
        <w:pStyle w:val="ListParagraph"/>
        <w:numPr>
          <w:ilvl w:val="0"/>
          <w:numId w:val="2"/>
        </w:numPr>
        <w:spacing w:after="60" w:before="60"/>
      </w:pPr>
      <w:r>
        <w:rPr>
          <w:rFonts w:ascii="Arial" w:cs="Arial" w:eastAsia="Arial" w:hAnsi="Arial"/>
          <w:sz w:val="22"/>
          <w:szCs w:val="22"/>
        </w:rPr>
        <w:t xml:space="preserve">El DANE publica trimestres móviles (promedio de tres meses consecutivos) como cifra mensual oficial, mientras que este análisis presenta valores mensuales individuales.</w:t>
      </w:r>
    </w:p>
    <w:p>
      <w:pPr>
        <w:pStyle w:val="ListParagraph"/>
        <w:numPr>
          <w:ilvl w:val="0"/>
          <w:numId w:val="2"/>
        </w:numPr>
        <w:spacing w:after="60" w:before="60"/>
      </w:pPr>
      <w:r>
        <w:rPr>
          <w:rFonts w:ascii="Arial" w:cs="Arial" w:eastAsia="Arial" w:hAnsi="Arial"/>
          <w:sz w:val="22"/>
          <w:szCs w:val="22"/>
        </w:rPr>
        <w:t xml:space="preserve">El DANE aplica ajustes de calibración post-estratificación que incorporan proyecciones de población del Censo Nacional 2018 y que no se publican en los microdatos.</w:t>
      </w:r>
    </w:p>
    <w:p>
      <w:pPr>
        <w:pStyle w:val="ListParagraph"/>
        <w:numPr>
          <w:ilvl w:val="0"/>
          <w:numId w:val="2"/>
        </w:numPr>
        <w:spacing w:after="60" w:before="60"/>
      </w:pPr>
      <w:r>
        <w:rPr>
          <w:rFonts w:ascii="Arial" w:cs="Arial" w:eastAsia="Arial" w:hAnsi="Arial"/>
          <w:sz w:val="22"/>
          <w:szCs w:val="22"/>
        </w:rPr>
        <w:t xml:space="preserve">El universo de comparación puede diferir: el DANE distingue entre Total Nacional, Total Cabeceras, 13 ciudades y áreas metropolitanas, y otros dominios geográficos.</w:t>
      </w:r>
    </w:p>
    <w:p>
      <w:pPr>
        <w:spacing w:after="120" w:before="80"/>
        <w:jc w:val="both"/>
      </w:pPr>
      <w:r>
        <w:rPr>
          <w:rFonts w:ascii="Arial" w:cs="Arial" w:eastAsia="Arial" w:hAnsi="Arial"/>
          <w:sz w:val="22"/>
          <w:szCs w:val="22"/>
        </w:rPr>
        <w:t xml:space="preserve">A pesar de estas diferencias en nivel absoluto, las tendencias, patrones estacionales y brechas relativas son robustos y comparables con las cifras oficiales. El análisis de conciliación detallado se encuentra en el script separado 02_conciliacion_geih_dane.py.</w:t>
      </w:r>
    </w:p>
    <w:p>
      <w:pPr>
        <w:pStyle w:val="Heading2"/>
        <w:spacing w:after="120" w:before="240"/>
      </w:pPr>
      <w:r>
        <w:rPr>
          <w:rFonts w:ascii="Arial" w:cs="Arial" w:eastAsia="Arial" w:hAnsi="Arial"/>
          <w:b/>
          <w:bCs/>
          <w:color w:val="2E75B6"/>
          <w:sz w:val="26"/>
          <w:szCs w:val="26"/>
        </w:rPr>
        <w:t xml:space="preserve">5.4 Limitaciones</w:t>
      </w:r>
    </w:p>
    <w:p>
      <w:pPr>
        <w:pStyle w:val="ListParagraph"/>
        <w:numPr>
          <w:ilvl w:val="0"/>
          <w:numId w:val="2"/>
        </w:numPr>
        <w:spacing w:after="60" w:before="60"/>
      </w:pPr>
      <w:r>
        <w:rPr>
          <w:rFonts w:ascii="Arial" w:cs="Arial" w:eastAsia="Arial" w:hAnsi="Arial"/>
          <w:sz w:val="22"/>
          <w:szCs w:val="22"/>
        </w:rPr>
        <w:t xml:space="preserve">El análisis de género y edad requiere un JOIN entre el módulo de fuerza de trabajo y el de características generales, operación que puede tener pérdidas por registros sin llave de cruce perfecta.</w:t>
      </w:r>
    </w:p>
    <w:p>
      <w:pPr>
        <w:pStyle w:val="ListParagraph"/>
        <w:numPr>
          <w:ilvl w:val="0"/>
          <w:numId w:val="2"/>
        </w:numPr>
        <w:spacing w:after="60" w:before="60"/>
      </w:pPr>
      <w:r>
        <w:rPr>
          <w:rFonts w:ascii="Arial" w:cs="Arial" w:eastAsia="Arial" w:hAnsi="Arial"/>
          <w:sz w:val="22"/>
          <w:szCs w:val="22"/>
        </w:rPr>
        <w:t xml:space="preserve">La definición de informalidad basada en cotización pensional subestima la informalidad real, pues excluye a trabajadores formales con contratos temporales que no cotizan en todos los períodos.</w:t>
      </w:r>
    </w:p>
    <w:p>
      <w:pPr>
        <w:pStyle w:val="ListParagraph"/>
        <w:numPr>
          <w:ilvl w:val="0"/>
          <w:numId w:val="2"/>
        </w:numPr>
        <w:spacing w:after="60" w:before="60"/>
      </w:pPr>
      <w:r>
        <w:rPr>
          <w:rFonts w:ascii="Arial" w:cs="Arial" w:eastAsia="Arial" w:hAnsi="Arial"/>
          <w:sz w:val="22"/>
          <w:szCs w:val="22"/>
        </w:rPr>
        <w:t xml:space="preserve">El análisis no incorpora desestacionalización formal (método X-13 ARIMA-SEATS), por lo que las comparaciones mes a mes pueden estar influenciadas por efectos de calendario.</w:t>
      </w:r>
    </w:p>
    <w:p>
      <w:pPr>
        <w:pStyle w:val="ListParagraph"/>
        <w:numPr>
          <w:ilvl w:val="0"/>
          <w:numId w:val="2"/>
        </w:numPr>
        <w:spacing w:after="60" w:before="60"/>
      </w:pPr>
      <w:r>
        <w:rPr>
          <w:rFonts w:ascii="Arial" w:cs="Arial" w:eastAsia="Arial" w:hAnsi="Arial"/>
          <w:sz w:val="22"/>
          <w:szCs w:val="22"/>
        </w:rPr>
        <w:t xml:space="preserve">La cobertura actual de la base (2024 + enero 2025) no permite comparaciones interanuales completas. Esta limitación se resolverá al incorporar datos de 2023 y períodos anteriores.</w:t>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6. Referencias</w:t>
      </w:r>
    </w:p>
    <w:p>
      <w:pPr>
        <w:spacing w:after="120" w:before="80"/>
        <w:jc w:val="both"/>
      </w:pPr>
      <w:r>
        <w:rPr>
          <w:rFonts w:ascii="Arial" w:cs="Arial" w:eastAsia="Arial" w:hAnsi="Arial"/>
          <w:sz w:val="22"/>
          <w:szCs w:val="22"/>
        </w:rPr>
        <w:t xml:space="preserve">CEPAL (2024). Panorama Social de América Latina y el Caribe 2024. Santiago: Comisión Económica para América Latina y el Caribe.</w:t>
      </w:r>
    </w:p>
    <w:p>
      <w:pPr>
        <w:spacing w:after="80" w:before="0"/>
      </w:pPr>
    </w:p>
    <w:p>
      <w:pPr>
        <w:spacing w:after="120" w:before="80"/>
        <w:jc w:val="both"/>
      </w:pPr>
      <w:r>
        <w:rPr>
          <w:rFonts w:ascii="Arial" w:cs="Arial" w:eastAsia="Arial" w:hAnsi="Arial"/>
          <w:sz w:val="22"/>
          <w:szCs w:val="22"/>
        </w:rPr>
        <w:t xml:space="preserve">DANE (2024). Gran Encuesta Integrada de Hogares — Microdatos públicos 2024. Bogotá: Departamento Administrativo Nacional de Estadística. Disponible en: microdatos.dane.gov.co</w:t>
      </w:r>
    </w:p>
    <w:p>
      <w:pPr>
        <w:spacing w:after="80" w:before="0"/>
      </w:pPr>
    </w:p>
    <w:p>
      <w:pPr>
        <w:spacing w:after="120" w:before="80"/>
        <w:jc w:val="both"/>
      </w:pPr>
      <w:r>
        <w:rPr>
          <w:rFonts w:ascii="Arial" w:cs="Arial" w:eastAsia="Arial" w:hAnsi="Arial"/>
          <w:sz w:val="22"/>
          <w:szCs w:val="22"/>
        </w:rPr>
        <w:t xml:space="preserve">DANE (2025). Mercado laboral — Empleo y desempleo, diciembre 2024. Comunicado de prensa. Bogotá: DANE.</w:t>
      </w:r>
    </w:p>
    <w:p>
      <w:pPr>
        <w:spacing w:after="80" w:before="0"/>
      </w:pPr>
    </w:p>
    <w:p>
      <w:pPr>
        <w:spacing w:after="120" w:before="80"/>
        <w:jc w:val="both"/>
      </w:pPr>
      <w:r>
        <w:rPr>
          <w:rFonts w:ascii="Arial" w:cs="Arial" w:eastAsia="Arial" w:hAnsi="Arial"/>
          <w:sz w:val="22"/>
          <w:szCs w:val="22"/>
        </w:rPr>
        <w:t xml:space="preserve">OIT (2023). World Employment and Social Outlook: Trends 2023. Ginebra: Organización Internacional del Trabajo.</w:t>
      </w:r>
    </w:p>
    <w:p>
      <w:pPr>
        <w:spacing w:after="80" w:before="0"/>
      </w:pPr>
    </w:p>
    <w:p>
      <w:pPr>
        <w:spacing w:after="120" w:before="80"/>
        <w:jc w:val="both"/>
      </w:pPr>
      <w:r>
        <w:rPr>
          <w:rFonts w:ascii="Arial" w:cs="Arial" w:eastAsia="Arial" w:hAnsi="Arial"/>
          <w:sz w:val="22"/>
          <w:szCs w:val="22"/>
        </w:rPr>
        <w:t xml:space="preserve">OIT (2013). Resolución sobre las estadísticas del trabajo, la ocupación y la subutilización de la fuerza de trabajo. 19a Conferencia Internacional de Estadísticos del Trabajo. Ginebra: OIT.</w:t>
      </w:r>
    </w:p>
    <w:p>
      <w:pPr>
        <w:spacing w:after="80" w:before="0"/>
      </w:pPr>
    </w:p>
    <w:p>
      <w:pPr>
        <w:spacing w:after="120" w:before="80"/>
        <w:jc w:val="both"/>
      </w:pPr>
      <w:r>
        <w:rPr>
          <w:rFonts w:ascii="Arial" w:cs="Arial" w:eastAsia="Arial" w:hAnsi="Arial"/>
          <w:sz w:val="22"/>
          <w:szCs w:val="22"/>
        </w:rPr>
        <w:t xml:space="preserve">Posso, C. M. (2010). Calidad del empleo y segmentación laboral: un análisis para el mercado laboral colombiano 2001-2006. Desarrollo y Sociedad, (65), 191-234.</w:t>
      </w:r>
    </w:p>
    <w:p>
      <w:pPr>
        <w:spacing w:after="80" w:before="0"/>
      </w:pPr>
    </w:p>
    <w:p>
      <w:pPr>
        <w:spacing w:after="120" w:before="80"/>
        <w:jc w:val="both"/>
      </w:pPr>
      <w:r>
        <w:rPr>
          <w:rFonts w:ascii="Arial" w:cs="Arial" w:eastAsia="Arial" w:hAnsi="Arial"/>
          <w:sz w:val="22"/>
          <w:szCs w:val="22"/>
        </w:rPr>
        <w:t xml:space="preserve">Uribe, J. I., Ortiz, C. H., &amp; García, G. A. (2007). La segmentación del mercado laboral colombiano en la década de los noventa. Revista de Economía Institucional, 9(16), 189-221.</w:t>
      </w:r>
    </w:p>
    <w:p>
      <w:pPr>
        <w:spacing w:after="120" w:before="480"/>
      </w:pPr>
    </w:p>
    <w:p>
      <w:pPr>
        <w:pBdr>
          <w:top w:val="single" w:color="2E75B6" w:sz="4" w:space="6"/>
        </w:pBdr>
        <w:spacing w:after="80" w:before="240"/>
        <w:jc w:val="center"/>
      </w:pPr>
      <w:r>
        <w:rPr>
          <w:rFonts w:ascii="Arial" w:cs="Arial" w:eastAsia="Arial" w:hAnsi="Arial"/>
          <w:i/>
          <w:iCs/>
          <w:color w:val="595959"/>
          <w:sz w:val="18"/>
          <w:szCs w:val="18"/>
        </w:rPr>
        <w:t xml:space="preserve">Documento generado automáticamente desde microdatos GEIH 2024</w:t>
      </w:r>
    </w:p>
    <w:p>
      <w:pPr>
        <w:spacing w:after="0" w:before="0"/>
        <w:jc w:val="center"/>
      </w:pPr>
      <w:r>
        <w:rPr>
          <w:rFonts w:ascii="Arial" w:cs="Arial" w:eastAsia="Arial" w:hAnsi="Arial"/>
          <w:i/>
          <w:iCs/>
          <w:color w:val="595959"/>
          <w:sz w:val="18"/>
          <w:szCs w:val="18"/>
        </w:rPr>
        <w:t xml:space="preserve">Python + PostgreSQL | Portafolio de Ciencia de Datos</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595959"/>
        <w:sz w:val="16"/>
        <w:szCs w:val="16"/>
      </w:rPr>
      <w:t xml:space="preserve">Efrain — Portafolio de Ciencia de Datos  |  Fuente: DANE, GEIH 2024  |  Procesamiento: Python + PostgreSQL  |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95959"/>
        <w:sz w:val="18"/>
        <w:szCs w:val="18"/>
      </w:rPr>
      <w:t xml:space="preserve">Análisis de Mercado Laboral — GEIH 2024  |  Región Caribe Colombiana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2026-04-03T20:37:36.323Z</dcterms:created>
  <dcterms:modified xsi:type="dcterms:W3CDTF">2026-04-03T20:37:36.324Z</dcterms:modified>
</cp:coreProperties>
</file>

<file path=docProps/custom.xml><?xml version="1.0" encoding="utf-8"?>
<Properties xmlns="http://schemas.openxmlformats.org/officeDocument/2006/custom-properties" xmlns:vt="http://schemas.openxmlformats.org/officeDocument/2006/docPropsVTypes"/>
</file>