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0000"/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Ejemplo_007_ADC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En este ejemplo se usa el conversor análogo digital en </w:t>
      </w:r>
      <w:r>
        <w:rPr>
          <w:rFonts w:cs="Arial" w:ascii="Arial" w:hAnsi="Arial"/>
          <w:color w:val="FF0000"/>
        </w:rPr>
        <w:t>RA0</w:t>
      </w:r>
      <w:r>
        <w:rPr>
          <w:rFonts w:cs="Arial" w:ascii="Arial" w:hAnsi="Arial"/>
        </w:rPr>
        <w:t xml:space="preserve">,  el resultado de la conversión se muestra en la </w:t>
      </w:r>
      <w:r>
        <w:rPr>
          <w:rFonts w:cs="Arial" w:ascii="Arial" w:hAnsi="Arial"/>
          <w:color w:val="00B050"/>
        </w:rPr>
        <w:t>LCD.</w:t>
      </w:r>
      <w:bookmarkStart w:id="0" w:name="_GoBack"/>
      <w:bookmarkEnd w:id="0"/>
      <w:r>
        <w:rPr>
          <w:rFonts w:cs="Arial" w:ascii="Arial" w:hAnsi="Arial"/>
          <w:color w:val="00B050"/>
        </w:rPr>
        <w:t xml:space="preserve"> </w:t>
      </w:r>
    </w:p>
    <w:p>
      <w:pPr>
        <w:pStyle w:val="Normal"/>
        <w:jc w:val="center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 wp14:anchorId="63065A91">
                <wp:extent cx="1452245" cy="1887220"/>
                <wp:effectExtent l="0" t="7937" r="7937" b="7938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rcRect l="7032" t="0" r="18740" b="0"/>
                        <a:stretch/>
                      </pic:blipFill>
                      <pic:spPr>
                        <a:xfrm rot="5400000">
                          <a:off x="0" y="0"/>
                          <a:ext cx="1451520" cy="1886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17.1pt;margin-top:-131.45pt;width:114.25pt;height:148.5pt;rotation:90;mso-position-vertical:top" wp14:anchorId="63065A91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Figura 1. Circuito conexión análoga al Pin RA0</w:t>
      </w:r>
    </w:p>
    <w:p>
      <w:pPr>
        <w:pStyle w:val="ListParagraph"/>
        <w:jc w:val="center"/>
        <w:rPr>
          <w:rFonts w:ascii="Arial" w:hAnsi="Arial" w:cs="Arial"/>
          <w:b/>
          <w:b/>
          <w:sz w:val="24"/>
          <w:u w:val="single"/>
        </w:rPr>
      </w:pPr>
      <w:r>
        <w:rPr>
          <w:rFonts w:cs="Arial" w:ascii="Arial" w:hAnsi="Arial"/>
          <w:b/>
          <w:sz w:val="24"/>
          <w:u w:val="single"/>
        </w:rPr>
        <w:t>Modulo Conversor Análogo Digital de 10-bits</w:t>
      </w:r>
    </w:p>
    <w:p>
      <w:pPr>
        <w:pStyle w:val="ListParagraph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El modulo conversor análogo digital cuenta con los siguientes registros,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</w:t>
      </w:r>
    </w:p>
    <w:p>
      <w:pPr>
        <w:pStyle w:val="ListParagraph"/>
        <w:jc w:val="both"/>
        <w:rPr>
          <w:rFonts w:ascii="Arial" w:hAnsi="Arial" w:cs="Arial"/>
          <w:color w:val="00B050"/>
          <w:sz w:val="24"/>
        </w:rPr>
      </w:pPr>
      <w:r>
        <w:rPr>
          <w:rFonts w:cs="Arial" w:ascii="Arial" w:hAnsi="Arial"/>
          <w:sz w:val="24"/>
        </w:rPr>
        <w:t xml:space="preserve">• </w:t>
      </w:r>
      <w:r>
        <w:rPr>
          <w:rFonts w:cs="Arial" w:ascii="Arial" w:hAnsi="Arial"/>
          <w:sz w:val="24"/>
        </w:rPr>
        <w:t xml:space="preserve">Registro de resultado de conversión </w:t>
      </w:r>
      <w:r>
        <w:rPr>
          <w:rFonts w:cs="Arial" w:ascii="Arial" w:hAnsi="Arial"/>
          <w:color w:val="00B050"/>
          <w:sz w:val="24"/>
        </w:rPr>
        <w:t>ADRESH:ADRESL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• </w:t>
      </w:r>
      <w:r>
        <w:rPr>
          <w:rFonts w:cs="Arial" w:ascii="Arial" w:hAnsi="Arial"/>
          <w:sz w:val="24"/>
        </w:rPr>
        <w:t xml:space="preserve">Registro de configuración 0 </w:t>
      </w:r>
      <w:r>
        <w:rPr>
          <w:rFonts w:cs="Arial" w:ascii="Arial" w:hAnsi="Arial"/>
          <w:color w:val="00B050"/>
          <w:sz w:val="24"/>
        </w:rPr>
        <w:t>ADCON0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• </w:t>
      </w:r>
      <w:r>
        <w:rPr>
          <w:rFonts w:cs="Arial" w:ascii="Arial" w:hAnsi="Arial"/>
          <w:sz w:val="24"/>
        </w:rPr>
        <w:t xml:space="preserve">Registro de configuración 1 </w:t>
      </w:r>
      <w:r>
        <w:rPr>
          <w:rFonts w:cs="Arial" w:ascii="Arial" w:hAnsi="Arial"/>
          <w:color w:val="00B050"/>
          <w:sz w:val="24"/>
        </w:rPr>
        <w:t>ADCON1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• </w:t>
      </w:r>
      <w:r>
        <w:rPr>
          <w:rFonts w:cs="Arial" w:ascii="Arial" w:hAnsi="Arial"/>
          <w:sz w:val="24"/>
        </w:rPr>
        <w:t xml:space="preserve">Registro de configuración 2 </w:t>
      </w:r>
      <w:r>
        <w:rPr>
          <w:rFonts w:cs="Arial" w:ascii="Arial" w:hAnsi="Arial"/>
          <w:color w:val="00B050"/>
          <w:sz w:val="24"/>
        </w:rPr>
        <w:t>ADCON2</w:t>
      </w:r>
    </w:p>
    <w:p>
      <w:pPr>
        <w:pStyle w:val="ListParagraph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center"/>
        <w:rPr>
          <w:rFonts w:ascii="Arial" w:hAnsi="Arial" w:cs="Arial"/>
          <w:sz w:val="24"/>
        </w:rPr>
      </w:pPr>
      <w:r>
        <w:rPr/>
        <mc:AlternateContent>
          <mc:Choice Requires="wps">
            <w:drawing>
              <wp:inline distT="0" distB="0" distL="0" distR="0">
                <wp:extent cx="4548505" cy="285496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547880" cy="2854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24.8pt;width:358.05pt;height:224.7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Figura 1. Módulo ADC, (hasta el canal AN7)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En la figura 1 se muestra la configuración básica para este ejemplo, en ella se debe configurar,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-El voltaje de referencia (VREF+ VREF-)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- El canal a muestrear (ANX)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-Fuente de reloj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-El tiempo de adquisición (TACQ)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-Formato de conversión (justificado a la derecha o izquierda)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b/>
          <w:b/>
          <w:sz w:val="24"/>
          <w:u w:val="single"/>
        </w:rPr>
      </w:pPr>
      <w:r>
        <w:rPr>
          <w:rFonts w:cs="Arial" w:ascii="Arial" w:hAnsi="Arial"/>
          <w:b/>
          <w:sz w:val="24"/>
          <w:u w:val="single"/>
        </w:rPr>
        <w:t xml:space="preserve">Configuración </w:t>
      </w:r>
    </w:p>
    <w:p>
      <w:pPr>
        <w:pStyle w:val="ListParagraph"/>
        <w:jc w:val="both"/>
        <w:rPr>
          <w:rFonts w:ascii="Arial" w:hAnsi="Arial" w:cs="Arial"/>
          <w:b/>
          <w:b/>
          <w:sz w:val="24"/>
          <w:u w:val="single"/>
        </w:rPr>
      </w:pPr>
      <w:r>
        <w:rPr>
          <w:rFonts w:cs="Arial" w:ascii="Arial" w:hAnsi="Arial"/>
          <w:b/>
          <w:sz w:val="24"/>
          <w:u w:val="single"/>
        </w:rPr>
      </w:r>
    </w:p>
    <w:p>
      <w:pPr>
        <w:pStyle w:val="ListParagraph"/>
        <w:jc w:val="both"/>
        <w:rPr>
          <w:rFonts w:ascii="Arial" w:hAnsi="Arial" w:cs="Arial"/>
          <w:color w:val="00B050"/>
          <w:sz w:val="24"/>
        </w:rPr>
      </w:pPr>
      <w:r>
        <w:rPr>
          <w:rFonts w:cs="Arial" w:ascii="Arial" w:hAnsi="Arial"/>
          <w:color w:val="00B050"/>
          <w:sz w:val="24"/>
        </w:rPr>
        <w:t>TRISAbits.RA0=1;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Selecciona el pin como entrada.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color w:val="00B050"/>
          <w:sz w:val="24"/>
        </w:rPr>
        <w:t>ADCON0bits.GODONE=0;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Pone la bandera de conversión a 0.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  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00B050"/>
          <w:sz w:val="24"/>
        </w:rPr>
        <w:t>ADCON1=VddAndVss|ConfAN0</w:t>
      </w:r>
      <w:r>
        <w:rPr>
          <w:rFonts w:cs="Arial" w:ascii="Arial" w:hAnsi="Arial"/>
          <w:sz w:val="24"/>
        </w:rPr>
        <w:t>;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Selecciona referencia </w:t>
      </w:r>
      <w:r>
        <w:rPr>
          <w:rFonts w:cs="Arial" w:ascii="Arial" w:hAnsi="Arial"/>
          <w:color w:val="FF0000"/>
          <w:sz w:val="24"/>
        </w:rPr>
        <w:t xml:space="preserve">VDD </w:t>
      </w:r>
      <w:r>
        <w:rPr>
          <w:rFonts w:cs="Arial" w:ascii="Arial" w:hAnsi="Arial"/>
          <w:sz w:val="24"/>
        </w:rPr>
        <w:t xml:space="preserve">y </w:t>
      </w:r>
      <w:r>
        <w:rPr>
          <w:rFonts w:cs="Arial" w:ascii="Arial" w:hAnsi="Arial"/>
          <w:color w:val="FF0000"/>
          <w:sz w:val="24"/>
        </w:rPr>
        <w:t>VSS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color w:val="00B050"/>
          <w:sz w:val="24"/>
        </w:rPr>
      </w:pPr>
      <w:r>
        <w:rPr>
          <w:rFonts w:cs="Arial" w:ascii="Arial" w:hAnsi="Arial"/>
          <w:color w:val="00B050"/>
          <w:sz w:val="24"/>
        </w:rPr>
        <w:t>ADCON0=ChannelAN0;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Selección del canal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00B050"/>
          <w:sz w:val="24"/>
        </w:rPr>
        <w:t xml:space="preserve">ADCON2=ACQT20TAD|AdcClock;  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Selección de reloj y tiempo de adquisición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color w:val="00B050"/>
          <w:sz w:val="24"/>
        </w:rPr>
        <w:t xml:space="preserve">ADCON2bits.ADFM=1; 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Resultado justificado a la derecha, lo bits </w:t>
      </w:r>
      <w:r>
        <w:rPr>
          <w:rFonts w:cs="Arial" w:ascii="Arial" w:hAnsi="Arial"/>
          <w:color w:val="FF0000"/>
          <w:sz w:val="24"/>
        </w:rPr>
        <w:t xml:space="preserve">BIT0 </w:t>
      </w:r>
      <w:r>
        <w:rPr>
          <w:rFonts w:cs="Arial" w:ascii="Arial" w:hAnsi="Arial"/>
          <w:sz w:val="24"/>
        </w:rPr>
        <w:t xml:space="preserve">Y </w:t>
      </w:r>
      <w:r>
        <w:rPr>
          <w:rFonts w:cs="Arial" w:ascii="Arial" w:hAnsi="Arial"/>
          <w:color w:val="FF0000"/>
          <w:sz w:val="24"/>
        </w:rPr>
        <w:t xml:space="preserve">BIT1 </w:t>
      </w:r>
      <w:r>
        <w:rPr>
          <w:rFonts w:cs="Arial" w:ascii="Arial" w:hAnsi="Arial"/>
          <w:sz w:val="24"/>
        </w:rPr>
        <w:t xml:space="preserve">de </w:t>
      </w:r>
      <w:r>
        <w:rPr>
          <w:rFonts w:cs="Arial" w:ascii="Arial" w:hAnsi="Arial"/>
          <w:color w:val="FF0000"/>
          <w:sz w:val="24"/>
        </w:rPr>
        <w:t xml:space="preserve">ADRESH </w:t>
      </w:r>
      <w:r>
        <w:rPr>
          <w:rFonts w:cs="Arial" w:ascii="Arial" w:hAnsi="Arial"/>
          <w:sz w:val="24"/>
        </w:rPr>
        <w:t xml:space="preserve">son los de mayor peso (bits </w:t>
      </w:r>
      <w:r>
        <w:rPr>
          <w:rFonts w:cs="Arial" w:ascii="Arial" w:hAnsi="Arial"/>
          <w:color w:val="FF0000"/>
          <w:sz w:val="24"/>
        </w:rPr>
        <w:t xml:space="preserve">BIT8 </w:t>
      </w:r>
      <w:r>
        <w:rPr>
          <w:rFonts w:cs="Arial" w:ascii="Arial" w:hAnsi="Arial"/>
          <w:sz w:val="24"/>
        </w:rPr>
        <w:t xml:space="preserve">y </w:t>
      </w:r>
      <w:r>
        <w:rPr>
          <w:rFonts w:cs="Arial" w:ascii="Arial" w:hAnsi="Arial"/>
          <w:color w:val="FF0000"/>
          <w:sz w:val="24"/>
        </w:rPr>
        <w:t>BIT9</w:t>
      </w:r>
      <w:r>
        <w:rPr>
          <w:rFonts w:cs="Arial" w:ascii="Arial" w:hAnsi="Arial"/>
          <w:sz w:val="24"/>
        </w:rPr>
        <w:t>)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b/>
          <w:b/>
          <w:sz w:val="24"/>
          <w:u w:val="single"/>
        </w:rPr>
      </w:pPr>
      <w:r>
        <w:rPr>
          <w:rFonts w:cs="Arial" w:ascii="Arial" w:hAnsi="Arial"/>
          <w:b/>
          <w:sz w:val="24"/>
          <w:u w:val="single"/>
        </w:rPr>
        <w:t>Muestreo</w:t>
      </w:r>
    </w:p>
    <w:p>
      <w:pPr>
        <w:pStyle w:val="ListParagraph"/>
        <w:jc w:val="both"/>
        <w:rPr>
          <w:rFonts w:ascii="Arial" w:hAnsi="Arial" w:cs="Arial"/>
          <w:b/>
          <w:b/>
          <w:sz w:val="24"/>
          <w:u w:val="single"/>
        </w:rPr>
      </w:pPr>
      <w:r>
        <w:rPr>
          <w:rFonts w:cs="Arial" w:ascii="Arial" w:hAnsi="Arial"/>
          <w:b/>
          <w:sz w:val="24"/>
          <w:u w:val="single"/>
        </w:rPr>
      </w:r>
    </w:p>
    <w:p>
      <w:pPr>
        <w:pStyle w:val="ListParagraph"/>
        <w:jc w:val="both"/>
        <w:rPr>
          <w:rFonts w:ascii="Arial" w:hAnsi="Arial" w:cs="Arial"/>
          <w:color w:val="00B050"/>
          <w:sz w:val="24"/>
        </w:rPr>
      </w:pPr>
      <w:r>
        <w:rPr>
          <w:rFonts w:cs="Arial" w:ascii="Arial" w:hAnsi="Arial"/>
          <w:sz w:val="24"/>
        </w:rPr>
        <w:t xml:space="preserve">Para empezar una conversión se debe encender el modulo con </w:t>
      </w:r>
      <w:r>
        <w:rPr>
          <w:rFonts w:cs="Arial" w:ascii="Arial" w:hAnsi="Arial"/>
          <w:color w:val="00B050"/>
          <w:sz w:val="24"/>
        </w:rPr>
        <w:t>ADCON0bits.ADON=1;</w:t>
      </w:r>
    </w:p>
    <w:p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  <w:t xml:space="preserve">Luego se espera el tiempo de adquisición, una vez transcurrido este tiempo, se dispara la conversión haciendo uno el bit </w:t>
      </w:r>
      <w:r>
        <w:rPr>
          <w:rFonts w:cs="Arial" w:ascii="Arial" w:hAnsi="Arial"/>
          <w:color w:val="FF0000"/>
          <w:sz w:val="24"/>
        </w:rPr>
        <w:t>GO/DONE.</w:t>
      </w:r>
    </w:p>
    <w:p>
      <w:pPr>
        <w:pStyle w:val="ListParagraph"/>
        <w:jc w:val="both"/>
        <w:rPr>
          <w:rFonts w:ascii="Arial" w:hAnsi="Arial" w:cs="Arial"/>
          <w:color w:val="00B050"/>
          <w:sz w:val="24"/>
        </w:rPr>
      </w:pPr>
      <w:r>
        <w:rPr>
          <w:rFonts w:cs="Arial" w:ascii="Arial" w:hAnsi="Arial"/>
          <w:color w:val="00B050"/>
          <w:sz w:val="24"/>
        </w:rPr>
        <w:t>ADCON0bits.GODONE=1;</w:t>
      </w:r>
    </w:p>
    <w:p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  <w:t>Se espera a que la conversión termine comparando este mismo bit hasta que sea cero, lo cual indica que la conversión ha terminado. Otra forma es esperar a la interrupción, esta última solo si se ha habilitado.</w:t>
      </w:r>
    </w:p>
    <w:p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</w:r>
    </w:p>
    <w:p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  <w:t>La fórmula del Adc es la siguiente</w:t>
      </w:r>
    </w:p>
    <w:p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</w:r>
    </w:p>
    <w:p>
      <w:pPr>
        <w:pStyle w:val="ListParagraph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color w:val="00B050"/>
          <w:sz w:val="24"/>
        </w:rPr>
        <w:t>Voltaje</w:t>
      </w:r>
      <w:r>
        <w:rPr>
          <w:rFonts w:cs="Arial" w:ascii="Arial" w:hAnsi="Arial"/>
          <w:color w:val="FFFFFF" w:themeColor="background1"/>
          <w:sz w:val="24"/>
        </w:rPr>
        <w:t xml:space="preserve">= </w:t>
      </w:r>
      <w:r>
        <w:rPr>
          <w:rFonts w:cs="Arial" w:ascii="Arial" w:hAnsi="Arial"/>
          <w:color w:val="FF0000"/>
          <w:sz w:val="24"/>
        </w:rPr>
        <w:t>ADRESH:ADRESL</w:t>
      </w:r>
      <w:r>
        <w:rPr>
          <w:rFonts w:cs="Arial" w:ascii="Arial" w:hAnsi="Arial"/>
          <w:sz w:val="24"/>
        </w:rPr>
        <w:t>*(VCC/(2^10))</w:t>
      </w:r>
    </w:p>
    <w:p>
      <w:pPr>
        <w:pStyle w:val="ListParagraph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Así la  resolución es ~5mV, esta se puede mejorar si se cambia de voltaje de referencia.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color w:val="00B050"/>
          <w:sz w:val="24"/>
        </w:rPr>
      </w:pPr>
      <w:r>
        <w:rPr>
          <w:rFonts w:cs="Arial" w:ascii="Arial" w:hAnsi="Arial"/>
          <w:color w:val="FFFFFF" w:themeColor="background1"/>
          <w:sz w:val="24"/>
        </w:rPr>
        <w:t xml:space="preserve">Para mayor informacion ir a la sección </w:t>
      </w:r>
      <w:r>
        <w:rPr>
          <w:rFonts w:cs="Arial" w:ascii="Arial" w:hAnsi="Arial"/>
          <w:color w:val="00B050"/>
          <w:sz w:val="24"/>
        </w:rPr>
        <w:t>21.0 10-BIT ANALOG-TO-DIGITAL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cs="Arial" w:ascii="Arial" w:hAnsi="Arial"/>
          <w:color w:val="00B050"/>
          <w:sz w:val="24"/>
        </w:rPr>
        <w:t>CONVERTER (A/D) MODULE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949419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ES"/>
      </w:rPr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5430"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2a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2a9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f0a3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Application>LibreOffice/6.2.0.3$Windows_X86_64 LibreOffice_project/98c6a8a1c6c7b144ce3cc729e34964b47ce25d62</Application>
  <Pages>3</Pages>
  <Words>290</Words>
  <Characters>1599</Characters>
  <CharactersWithSpaces>1862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2017-01-12T19:16:00Z</dcterms:created>
  <dc:creator>mauricio</dc:creator>
  <dc:description/>
  <dc:language>en-US</dc:language>
  <cp:lastModifiedBy/>
  <dcterms:modified xsi:type="dcterms:W3CDTF">2019-11-21T23:44:35Z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