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30 September 2026</w:t>
            </w:r>
          </w:p>
        </w:tc>
      </w:tr>
      <w:tr w:rsidR="00604E29" w14:paraId="7A66939B" w14:textId="77777777">
        <w:tc>
          <w:tcPr>
            <w:tcW w:w="4695" w:type="dxa"/>
          </w:tcPr>
          <w:p w14:paraId="2D366549" w14:textId="77777777" w:rsidR="00604E29" w:rsidRDefault="00000000">
            <w:r>
              <w:t>Team ID</w:t>
            </w:r>
          </w:p>
        </w:tc>
        <w:tc>
          <w:tcPr>
            <w:tcW w:w="4335" w:type="dxa"/>
          </w:tcPr>
          <w:p>
            <w:r>
              <w:t xml:space="preserve">SWTID-2026-1259</w:t>
            </w:r>
          </w:p>
        </w:tc>
      </w:tr>
      <w:tr w:rsidR="00604E29" w14:paraId="0E84FB5D" w14:textId="77777777">
        <w:tc>
          <w:tcPr>
            <w:tcW w:w="4695" w:type="dxa"/>
          </w:tcPr>
          <w:p w14:paraId="4C398D34" w14:textId="77777777" w:rsidR="00604E29" w:rsidRDefault="00000000">
            <w:r>
              <w:t>Project Name</w:t>
            </w:r>
          </w:p>
        </w:tc>
        <w:tc>
          <w:tcPr>
            <w:tcW w:w="4335" w:type="dxa"/>
          </w:tcPr>
          <w:p>
            <w:r>
              <w:t xml:space="preserve">Streamlining IT Procurement: Automating Standard Laptop Orders with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r>
              <w:t xml:space="preserve">The current IT procurement process lacks efficiency and automation, causing delays and manual overhead for standard laptop orders. The configuration step is prone to oversight or delay, frustrating users and wasting IT resources.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r>
              <w:t xml:space="preserve">An automated ServiceNow Flow Designer flow, 'Standard Laptop task' (Global, run as System User), with a Service Catalog trigger. After approval it runs 'Create Catalog Task' with short description 'Laptop needs to Configured' and assigns it to the Hardware group. The flow is attached to the Standard Laptop catalog item (Process Engine).</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r>
              <w:t xml:space="preserve">Replaces manual task creation and follow-up emails with a no-code, event-driven workflow on the existing ServiceNow platform. Tasks are generated and routed automatically as soon as an order is approved.</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r>
              <w:t xml:space="preserve">Laptops are configured promptly on arrival, so users wait less and can track status (REQ &gt; RITM &gt; Catalog Task). IT staff spend less time on repetitive coordination and the Hardware team gets a clear task queue.</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r>
              <w:t xml:space="preserve">Internal efficiency model: value comes from saved manual hours, faster laptop readiness and fewer errors. It can also be offered as a reusable ServiceNow catalog-automation template or implementation service.</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r>
              <w:t xml:space="preserve">The same flow pattern can be reused for other catalog items (monitors, mobiles, accessories) and extended with notifications, SLAs, extra approvals or other assignment groups, across departments and locations.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