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30 September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SWTID-2026-1259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Order Standard Laptop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requester, I can open the Service Catalog, go to Hardware and select the Standard Laptop item so that I can raise a laptop request.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requester, I can choose optional software (Adobe Acrobat / Photoshop), add additional software requirements and click Order Now to place the request.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Track Request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requester, I can open my Request Number and view the Requested Item and its catalog tasks so that I can track the progress of my laptop.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Approval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approver, I can view the pending approval under the Approvers section of the request.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approver, I can approve or reject the laptop request so that procurement can proceed.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 Flow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create a flow named 'Standard Laptop task' in Flow Designer (Application: Global, Run As: System User) so that laptop tasks can be automated.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add the Service Catalog trigger and the 'Create Catalog Task' action (short description 'Laptop needs to Configured', Assignment group 'Hardware', Approval 'Approved') so that a task is generated automatically.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Flow Assignment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attach the 'Standard Laptop task' flow to the Standard Laptop catalog item under Maintain Items &gt; Process Engine so that it runs for every order.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Task Assignment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hardware team member, I receive a catalog task (SCTASK) automatically assigned to the Hardware group when a standard laptop is ordered.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Laptop Configuration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USN-10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hardware team member, I can open the catalog task, work on it and close it after configuring the laptop so that it is ready on arrival.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1813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Process Automation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IT procurement team member, I want tasks to be generated and assigned to the hardware team automatically so that manual intervention and errors are reduced.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pageBreakBefore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05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17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Sprint-3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w="201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Total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27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18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 xml:space="preserve">Our project has 3 sprints of 6 days each and 27 story points in total (13 + 11 + 3). Team velocity = total story points / number of sprints = 27 / 3 = 9 story points per sprint. Average velocity (AV) per iteration unit (story points per day) = velocity / sprint duration = 9 / 6 = 1.5 story points per day.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ageBreakBefore/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jc w:val="center"/>
      </w:pPr>
      <w:r>
        <w:drawing>
          <wp:inline distT="0" distB="0" distL="0" distR="0">
            <wp:extent cx="6035040" cy="3017520"/>
            <wp:docPr id="901" name="burndown.png" descr="Planned burndown chart for the standard laptop order automation pro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burndown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901" Type="http://schemas.openxmlformats.org/officeDocument/2006/relationships/image" Target="media/burndow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