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960D" w14:textId="517F545B" w:rsidR="0051093D" w:rsidRPr="004B4D15" w:rsidRDefault="0051093D" w:rsidP="0051093D">
      <w:pPr>
        <w:pStyle w:val="p1"/>
        <w:jc w:val="center"/>
        <w:rPr>
          <w:b/>
          <w:iCs/>
          <w:sz w:val="22"/>
          <w:szCs w:val="22"/>
        </w:rPr>
      </w:pPr>
      <w:r w:rsidRPr="004B4D15">
        <w:rPr>
          <w:b/>
          <w:iCs/>
          <w:sz w:val="22"/>
          <w:szCs w:val="22"/>
        </w:rPr>
        <w:t>Defining physical activity trajectories from childhood to young adulthood and characterizing associations with eating disorder risk</w:t>
      </w:r>
    </w:p>
    <w:p w14:paraId="1CD4132F" w14:textId="0EF0A9AD" w:rsidR="0051093D" w:rsidRPr="004B4D15" w:rsidRDefault="0051093D" w:rsidP="0051093D">
      <w:pPr>
        <w:pStyle w:val="p1"/>
        <w:jc w:val="center"/>
        <w:rPr>
          <w:b/>
          <w:iCs/>
          <w:sz w:val="22"/>
          <w:szCs w:val="22"/>
        </w:rPr>
      </w:pPr>
    </w:p>
    <w:p w14:paraId="41A9FCC8" w14:textId="6E2FC792" w:rsidR="0051093D" w:rsidRPr="004B4D15" w:rsidRDefault="0051093D" w:rsidP="0051093D">
      <w:pPr>
        <w:pStyle w:val="p1"/>
        <w:jc w:val="center"/>
        <w:rPr>
          <w:bCs/>
          <w:i/>
          <w:sz w:val="22"/>
          <w:szCs w:val="22"/>
        </w:rPr>
      </w:pPr>
      <w:r w:rsidRPr="004B4D15">
        <w:rPr>
          <w:bCs/>
          <w:i/>
          <w:sz w:val="22"/>
          <w:szCs w:val="22"/>
        </w:rPr>
        <w:t xml:space="preserve">Authors: Schaumberg, </w:t>
      </w:r>
      <w:r w:rsidR="00FB586C">
        <w:rPr>
          <w:bCs/>
          <w:i/>
          <w:sz w:val="22"/>
          <w:szCs w:val="22"/>
        </w:rPr>
        <w:t>Frank, Pictor,</w:t>
      </w:r>
      <w:r w:rsidR="00A86D91">
        <w:rPr>
          <w:bCs/>
          <w:i/>
          <w:sz w:val="22"/>
          <w:szCs w:val="22"/>
        </w:rPr>
        <w:t xml:space="preserve"> Niemi,</w:t>
      </w:r>
      <w:r w:rsidR="00FB586C">
        <w:rPr>
          <w:bCs/>
          <w:i/>
          <w:sz w:val="22"/>
          <w:szCs w:val="22"/>
        </w:rPr>
        <w:t xml:space="preserve"> </w:t>
      </w:r>
      <w:r w:rsidRPr="004B4D15">
        <w:rPr>
          <w:bCs/>
          <w:i/>
          <w:sz w:val="22"/>
          <w:szCs w:val="22"/>
        </w:rPr>
        <w:t>Bulik, Cook</w:t>
      </w:r>
      <w:r w:rsidR="00F03FC5" w:rsidRPr="004B4D15">
        <w:rPr>
          <w:bCs/>
          <w:i/>
          <w:sz w:val="22"/>
          <w:szCs w:val="22"/>
        </w:rPr>
        <w:t xml:space="preserve">, </w:t>
      </w:r>
      <w:r w:rsidRPr="004B4D15">
        <w:rPr>
          <w:bCs/>
          <w:i/>
          <w:sz w:val="22"/>
          <w:szCs w:val="22"/>
        </w:rPr>
        <w:t>Micali</w:t>
      </w:r>
    </w:p>
    <w:p w14:paraId="3F06DFC9" w14:textId="05C3EB9A" w:rsidR="00F03FC5" w:rsidRPr="004B4D15" w:rsidRDefault="00F03FC5" w:rsidP="0051093D">
      <w:pPr>
        <w:pStyle w:val="p1"/>
        <w:jc w:val="center"/>
        <w:rPr>
          <w:bCs/>
          <w:iCs/>
          <w:sz w:val="22"/>
          <w:szCs w:val="22"/>
        </w:rPr>
      </w:pPr>
    </w:p>
    <w:p w14:paraId="483234A8" w14:textId="0DE58C54" w:rsidR="00F03FC5" w:rsidRPr="004B4D15" w:rsidRDefault="00F03FC5" w:rsidP="0051093D">
      <w:pPr>
        <w:pStyle w:val="p1"/>
        <w:jc w:val="center"/>
        <w:rPr>
          <w:bCs/>
          <w:i/>
          <w:sz w:val="22"/>
          <w:szCs w:val="22"/>
        </w:rPr>
      </w:pPr>
      <w:r w:rsidRPr="004B4D15">
        <w:rPr>
          <w:bCs/>
          <w:i/>
          <w:sz w:val="22"/>
          <w:szCs w:val="22"/>
        </w:rPr>
        <w:t>Journal: ???</w:t>
      </w:r>
    </w:p>
    <w:p w14:paraId="2CA5D2D4" w14:textId="77777777" w:rsidR="0051093D" w:rsidRPr="004B4D15" w:rsidRDefault="0051093D" w:rsidP="0051093D">
      <w:pPr>
        <w:spacing w:beforeLines="80" w:before="192"/>
        <w:contextualSpacing/>
        <w:jc w:val="both"/>
        <w:outlineLvl w:val="0"/>
        <w:rPr>
          <w:rFonts w:ascii="Arial" w:hAnsi="Arial" w:cs="Arial"/>
          <w:b/>
          <w:sz w:val="22"/>
          <w:szCs w:val="22"/>
        </w:rPr>
      </w:pPr>
    </w:p>
    <w:p w14:paraId="0CF49625" w14:textId="662C6DDB" w:rsidR="0051093D" w:rsidRPr="004B4D15" w:rsidRDefault="0051093D" w:rsidP="0051093D">
      <w:pPr>
        <w:spacing w:beforeLines="80" w:before="192"/>
        <w:contextualSpacing/>
        <w:jc w:val="center"/>
        <w:outlineLvl w:val="0"/>
        <w:rPr>
          <w:rFonts w:ascii="Arial" w:hAnsi="Arial" w:cs="Arial"/>
          <w:b/>
          <w:sz w:val="22"/>
          <w:szCs w:val="22"/>
        </w:rPr>
      </w:pPr>
      <w:r w:rsidRPr="004B4D15">
        <w:rPr>
          <w:rFonts w:ascii="Arial" w:hAnsi="Arial" w:cs="Arial"/>
          <w:b/>
          <w:sz w:val="22"/>
          <w:szCs w:val="22"/>
        </w:rPr>
        <w:t>Introduction</w:t>
      </w:r>
    </w:p>
    <w:p w14:paraId="508CC0DE" w14:textId="77777777" w:rsidR="0051093D" w:rsidRPr="004B4D15" w:rsidRDefault="0051093D" w:rsidP="0051093D">
      <w:pPr>
        <w:spacing w:beforeLines="80" w:before="192"/>
        <w:contextualSpacing/>
        <w:jc w:val="both"/>
        <w:outlineLvl w:val="0"/>
        <w:rPr>
          <w:rFonts w:ascii="Arial" w:hAnsi="Arial" w:cs="Arial"/>
          <w:b/>
          <w:sz w:val="22"/>
          <w:szCs w:val="22"/>
        </w:rPr>
      </w:pPr>
    </w:p>
    <w:p w14:paraId="7095DCDD" w14:textId="6C91D8C2" w:rsidR="0051093D" w:rsidRPr="004B4D15" w:rsidRDefault="0051093D" w:rsidP="0051093D">
      <w:pPr>
        <w:spacing w:beforeLines="80" w:before="192"/>
        <w:contextualSpacing/>
        <w:jc w:val="both"/>
        <w:outlineLvl w:val="0"/>
        <w:rPr>
          <w:rFonts w:ascii="Arial" w:hAnsi="Arial" w:cs="Arial"/>
          <w:b/>
          <w:sz w:val="22"/>
          <w:szCs w:val="22"/>
        </w:rPr>
      </w:pPr>
      <w:r w:rsidRPr="004B4D15">
        <w:rPr>
          <w:rFonts w:ascii="Arial" w:hAnsi="Arial" w:cs="Arial"/>
          <w:b/>
          <w:sz w:val="22"/>
          <w:szCs w:val="22"/>
        </w:rPr>
        <w:t xml:space="preserve">DEx is a concerning, understudied symptom of </w:t>
      </w:r>
      <w:r w:rsidR="00CC12E2" w:rsidRPr="004B4D15">
        <w:rPr>
          <w:rFonts w:ascii="Arial" w:hAnsi="Arial" w:cs="Arial"/>
          <w:b/>
          <w:sz w:val="22"/>
          <w:szCs w:val="22"/>
        </w:rPr>
        <w:t>eating disorders</w:t>
      </w:r>
    </w:p>
    <w:p w14:paraId="1BB97619" w14:textId="07E0818A" w:rsidR="00C22E08" w:rsidRPr="004B4D15" w:rsidRDefault="0051093D" w:rsidP="00C22E08">
      <w:pPr>
        <w:spacing w:line="259" w:lineRule="auto"/>
        <w:jc w:val="both"/>
        <w:rPr>
          <w:rFonts w:ascii="Arial" w:hAnsi="Arial" w:cs="Arial"/>
          <w:sz w:val="22"/>
          <w:szCs w:val="22"/>
        </w:rPr>
      </w:pPr>
      <w:r w:rsidRPr="004B4D15">
        <w:rPr>
          <w:rFonts w:ascii="Arial" w:hAnsi="Arial" w:cs="Arial"/>
          <w:sz w:val="22"/>
          <w:szCs w:val="22"/>
        </w:rPr>
        <w:t>Eating disorders are devastating and pernicious psychiatric illnesses, with elevated rates of morbidity,</w:t>
      </w:r>
      <w:r w:rsidRPr="004B4D15">
        <w:rPr>
          <w:rFonts w:ascii="Arial" w:hAnsi="Arial" w:cs="Arial"/>
          <w:sz w:val="22"/>
          <w:szCs w:val="22"/>
        </w:rPr>
        <w:fldChar w:fldCharType="begin"/>
      </w:r>
      <w:r w:rsidR="00827F44" w:rsidRPr="004B4D15">
        <w:rPr>
          <w:rFonts w:ascii="Arial" w:hAnsi="Arial" w:cs="Arial"/>
          <w:sz w:val="22"/>
          <w:szCs w:val="22"/>
        </w:rPr>
        <w:instrText xml:space="preserve"> ADDIN ZOTERO_ITEM CSL_CITATION {"citationID":"MuX1dKS9","properties":{"formattedCitation":"\\super 1,2\\nosupersub{}","plainCitation":"1,2","noteIndex":0},"citationItems":[{"id":3206,"uris":["http://zotero.org/users/2565677/items/6W5NLTHE"],"uri":["http://zotero.org/users/2565677/items/6W5NLTHE"],"itemData":{"id":3206,"type":"article-journal","abstract":"OBJECTIVE: In 2015, the Academy for Eating Disorders collaborated with international patient, advocacy, and parent organizations to craft the 'Nine Truths About Eating Disorders'. This document has been translated into over 30 languages and has been distributed globally to replace outdated and erroneous stereotypes about eating disorders with factual information. In this paper, we review the state of the science supporting the 'Nine Truths'. METHODS: The literature supporting each of the 'Nine Truths' was reviewed, summarized and richly annotated. RESULTS: Most of the 'Nine Truths' arise from well-established foundations in the scientific literature. Additional evidence is required to further substantiate some of the assertions in the document. Future investigations are needed in all areas to deepen our understanding of eating disorders, their causes and their treatments. CONCLUSIONS: The 'Nine Truths About Eating Disorders' is a guiding document to accelerate global dissemination of accurate and evidence-informed information about eating disorders. Copyright (c) 2017 John Wiley &amp; Sons, Ltd and Eating Disorders Association.","container-title":"Eur Eat Disord Rev","DOI":"10.1002/erv.2553","ISSN":"1099-0968 (Electronic) 1072-4133 (Linking)","issue":"6","note":"PMCID: PMC5711426","page":"432-450","title":"The science behind the Academy for Eating Disorders' Nine Truths about Eating Disorders","volume":"25","author":[{"family":"Schaumberg","given":"K."},{"family":"Welch","given":"E."},{"family":"Breithaupt","given":"L."},{"family":"Hubel","given":"C."},{"family":"Baker","given":"J. H."},{"family":"Munn-Chernoff","given":"M. A."},{"family":"Yilmaz","given":"Z."},{"family":"Ehrlich","given":"S."},{"family":"Mustelin","given":"L."},{"family":"Ghaderi","given":"A."},{"family":"Hardaway","given":"A. J."},{"family":"Bulik-Sullivan","given":"E. C."},{"family":"Hedman","given":"A. M."},{"family":"Jangmo","given":"A."},{"family":"Nilsson","given":"I. A. K."},{"family":"Wiklund","given":"C."},{"family":"Yao","given":"S."},{"family":"Seidel","given":"M."},{"family":"Bulik","given":"C. M."}],"issued":{"date-parts":[["2017",11]]}}},{"id":1811,"uris":["http://zotero.org/users/2565677/items/4A8FGQ2F"],"uri":["http://zotero.org/users/2565677/items/4A8FGQ2F"],"itemData":{"id":1811,"type":"article-journal","abstract":"Both Anorexia Nervosa (AN) and Bulimia Nervosa (BN) are marked by a serious course and outcome in many of the afflicted individuals. In AN, there are an almost 18-fold increase in mortality including a high suicide rate, chronic courses in approximately 20 per cent of the cases, and more than half of the patients showing either a complete or a partial eating disorder in combination with another psychiatric disorder or another psychiatric disorder without an eating disorder. Mitigating factors of the outcome include onset of the disorder during adolescence and longer duration of follow-up. Vomiting, bulimia and purgative abuse, chronicity, and obsessive-compulsive features represent unfavourable prognostic factors in various studies. The longer-term outcome of BN is only slightly better result as compared to AN; however, the rate of mortality is low. Diagnostic crossover from bulimia nervosa to other eating disorders is a rather rare phenomenon, whereas the high rates of partial eating disorders may explain a large proportion of chronic courses. Social adjustment and the quality of personal relationship normalize in the majority of the affected patients. At present, the study of prognostic factors in bulimia nervosa does not allow any definite conclusions.","container-title":"Child Adolesc Psychiatr Clin N Am","DOI":"10.1016/j.chc.2008.07.013","ISSN":"1056-4993","issue":"1","page":"225-42","title":"Outcome of eating disorders.","volume":"18","author":[{"family":"Steinhausen","given":"H. C."}],"issued":{"date-parts":[["2009",1]]}}}],"schema":"https://github.com/citation-style-language/schema/raw/master/csl-citation.json"} </w:instrText>
      </w:r>
      <w:r w:rsidRPr="004B4D15">
        <w:rPr>
          <w:rFonts w:ascii="Arial" w:hAnsi="Arial" w:cs="Arial"/>
          <w:sz w:val="22"/>
          <w:szCs w:val="22"/>
        </w:rPr>
        <w:fldChar w:fldCharType="separate"/>
      </w:r>
      <w:r w:rsidRPr="004B4D15">
        <w:rPr>
          <w:rFonts w:ascii="Arial" w:hAnsi="Arial" w:cs="Arial"/>
          <w:color w:val="000000" w:themeColor="text1"/>
          <w:sz w:val="22"/>
          <w:szCs w:val="22"/>
          <w:vertAlign w:val="superscript"/>
        </w:rPr>
        <w:t>1,2</w:t>
      </w:r>
      <w:r w:rsidRPr="004B4D15">
        <w:rPr>
          <w:rFonts w:ascii="Arial" w:hAnsi="Arial" w:cs="Arial"/>
          <w:sz w:val="22"/>
          <w:szCs w:val="22"/>
        </w:rPr>
        <w:fldChar w:fldCharType="end"/>
      </w:r>
      <w:r w:rsidRPr="004B4D15">
        <w:rPr>
          <w:rFonts w:ascii="Arial" w:hAnsi="Arial" w:cs="Arial"/>
          <w:sz w:val="22"/>
          <w:szCs w:val="22"/>
        </w:rPr>
        <w:t xml:space="preserve"> mortality,</w:t>
      </w:r>
      <w:r w:rsidRPr="004B4D15">
        <w:rPr>
          <w:rFonts w:ascii="Arial" w:hAnsi="Arial" w:cs="Arial"/>
          <w:sz w:val="22"/>
          <w:szCs w:val="22"/>
        </w:rPr>
        <w:fldChar w:fldCharType="begin"/>
      </w:r>
      <w:r w:rsidR="00827F44" w:rsidRPr="004B4D15">
        <w:rPr>
          <w:rFonts w:ascii="Arial" w:hAnsi="Arial" w:cs="Arial"/>
          <w:sz w:val="22"/>
          <w:szCs w:val="22"/>
        </w:rPr>
        <w:instrText xml:space="preserve"> ADDIN ZOTERO_ITEM CSL_CITATION {"citationID":"qXvL3ed9","properties":{"formattedCitation":"\\super 1,2\\nosupersub{}","plainCitation":"1,2","noteIndex":0},"citationItems":[{"id":3206,"uris":["http://zotero.org/users/2565677/items/6W5NLTHE"],"uri":["http://zotero.org/users/2565677/items/6W5NLTHE"],"itemData":{"id":3206,"type":"article-journal","abstract":"OBJECTIVE: In 2015, the Academy for Eating Disorders collaborated with international patient, advocacy, and parent organizations to craft the 'Nine Truths About Eating Disorders'. This document has been translated into over 30 languages and has been distributed globally to replace outdated and erroneous stereotypes about eating disorders with factual information. In this paper, we review the state of the science supporting the 'Nine Truths'. METHODS: The literature supporting each of the 'Nine Truths' was reviewed, summarized and richly annotated. RESULTS: Most of the 'Nine Truths' arise from well-established foundations in the scientific literature. Additional evidence is required to further substantiate some of the assertions in the document. Future investigations are needed in all areas to deepen our understanding of eating disorders, their causes and their treatments. CONCLUSIONS: The 'Nine Truths About Eating Disorders' is a guiding document to accelerate global dissemination of accurate and evidence-informed information about eating disorders. Copyright (c) 2017 John Wiley &amp; Sons, Ltd and Eating Disorders Association.","container-title":"Eur Eat Disord Rev","DOI":"10.1002/erv.2553","ISSN":"1099-0968 (Electronic) 1072-4133 (Linking)","issue":"6","note":"PMCID: PMC5711426","page":"432-450","title":"The science behind the Academy for Eating Disorders' Nine Truths about Eating Disorders","volume":"25","author":[{"family":"Schaumberg","given":"K."},{"family":"Welch","given":"E."},{"family":"Breithaupt","given":"L."},{"family":"Hubel","given":"C."},{"family":"Baker","given":"J. H."},{"family":"Munn-Chernoff","given":"M. A."},{"family":"Yilmaz","given":"Z."},{"family":"Ehrlich","given":"S."},{"family":"Mustelin","given":"L."},{"family":"Ghaderi","given":"A."},{"family":"Hardaway","given":"A. J."},{"family":"Bulik-Sullivan","given":"E. C."},{"family":"Hedman","given":"A. M."},{"family":"Jangmo","given":"A."},{"family":"Nilsson","given":"I. A. K."},{"family":"Wiklund","given":"C."},{"family":"Yao","given":"S."},{"family":"Seidel","given":"M."},{"family":"Bulik","given":"C. M."}],"issued":{"date-parts":[["2017",11]]}}},{"id":1811,"uris":["http://zotero.org/users/2565677/items/4A8FGQ2F"],"uri":["http://zotero.org/users/2565677/items/4A8FGQ2F"],"itemData":{"id":1811,"type":"article-journal","abstract":"Both Anorexia Nervosa (AN) and Bulimia Nervosa (BN) are marked by a serious course and outcome in many of the afflicted individuals. In AN, there are an almost 18-fold increase in mortality including a high suicide rate, chronic courses in approximately 20 per cent of the cases, and more than half of the patients showing either a complete or a partial eating disorder in combination with another psychiatric disorder or another psychiatric disorder without an eating disorder. Mitigating factors of the outcome include onset of the disorder during adolescence and longer duration of follow-up. Vomiting, bulimia and purgative abuse, chronicity, and obsessive-compulsive features represent unfavourable prognostic factors in various studies. The longer-term outcome of BN is only slightly better result as compared to AN; however, the rate of mortality is low. Diagnostic crossover from bulimia nervosa to other eating disorders is a rather rare phenomenon, whereas the high rates of partial eating disorders may explain a large proportion of chronic courses. Social adjustment and the quality of personal relationship normalize in the majority of the affected patients. At present, the study of prognostic factors in bulimia nervosa does not allow any definite conclusions.","container-title":"Child Adolesc Psychiatr Clin N Am","DOI":"10.1016/j.chc.2008.07.013","ISSN":"1056-4993","issue":"1","page":"225-42","title":"Outcome of eating disorders.","volume":"18","author":[{"family":"Steinhausen","given":"H. C."}],"issued":{"date-parts":[["2009",1]]}}}],"schema":"https://github.com/citation-style-language/schema/raw/master/csl-citation.json"} </w:instrText>
      </w:r>
      <w:r w:rsidRPr="004B4D15">
        <w:rPr>
          <w:rFonts w:ascii="Arial" w:hAnsi="Arial" w:cs="Arial"/>
          <w:sz w:val="22"/>
          <w:szCs w:val="22"/>
        </w:rPr>
        <w:fldChar w:fldCharType="separate"/>
      </w:r>
      <w:r w:rsidRPr="004B4D15">
        <w:rPr>
          <w:rFonts w:ascii="Arial" w:hAnsi="Arial" w:cs="Arial"/>
          <w:color w:val="000000" w:themeColor="text1"/>
          <w:sz w:val="22"/>
          <w:szCs w:val="22"/>
          <w:vertAlign w:val="superscript"/>
        </w:rPr>
        <w:t>1,2</w:t>
      </w:r>
      <w:r w:rsidRPr="004B4D15">
        <w:rPr>
          <w:rFonts w:ascii="Arial" w:hAnsi="Arial" w:cs="Arial"/>
          <w:sz w:val="22"/>
          <w:szCs w:val="22"/>
        </w:rPr>
        <w:fldChar w:fldCharType="end"/>
      </w:r>
      <w:r w:rsidRPr="004B4D15">
        <w:rPr>
          <w:rFonts w:ascii="Arial" w:hAnsi="Arial" w:cs="Arial"/>
          <w:sz w:val="22"/>
          <w:szCs w:val="22"/>
        </w:rPr>
        <w:t xml:space="preserve"> and suicidality.</w:t>
      </w:r>
      <w:r w:rsidRPr="004B4D15">
        <w:rPr>
          <w:rFonts w:ascii="Arial" w:hAnsi="Arial" w:cs="Arial"/>
          <w:sz w:val="22"/>
          <w:szCs w:val="22"/>
        </w:rPr>
        <w:fldChar w:fldCharType="begin"/>
      </w:r>
      <w:r w:rsidR="00827F44" w:rsidRPr="004B4D15">
        <w:rPr>
          <w:rFonts w:ascii="Arial" w:hAnsi="Arial" w:cs="Arial"/>
          <w:sz w:val="22"/>
          <w:szCs w:val="22"/>
        </w:rPr>
        <w:instrText xml:space="preserve"> ADDIN ZOTERO_ITEM CSL_CITATION {"citationID":"2fRLV2fr","properties":{"formattedCitation":"\\super 3\\nosupersub{}","plainCitation":"3","noteIndex":0},"citationItems":[{"id":13408,"uris":["http://zotero.org/groups/2333417/items/M38IKHCA"],"uri":["http://zotero.org/groups/2333417/items/M38IKHCA"],"itemData":{"id":13408,"type":"article-journal","container-title":"Journal of Abnormal Psychology","DOI":"10.1037/a0034902","ISSN":"1939-1846, 0021-843X","issue":"4","journalAbbreviation":"Journal of Abnormal Psychology","language":"en","page":"1042-1056","source":"DOI.org (Crossref)","title":"Suicide attempts in women with eating disorders.","volume":"122","author":[{"family":"Pisetsky","given":"Emily M."},{"family":"Thornton","given":"Laura M."},{"family":"Lichtenstein","given":"Paul"},{"family":"Pedersen","given":"Nancy L."},{"family":"Bulik","given":"Cynthia M."}],"issued":{"date-parts":[["2013"]]}}}],"schema":"https://github.com/citation-style-language/schema/raw/master/csl-citation.json"} </w:instrText>
      </w:r>
      <w:r w:rsidRPr="004B4D15">
        <w:rPr>
          <w:rFonts w:ascii="Arial" w:hAnsi="Arial" w:cs="Arial"/>
          <w:sz w:val="22"/>
          <w:szCs w:val="22"/>
        </w:rPr>
        <w:fldChar w:fldCharType="separate"/>
      </w:r>
      <w:r w:rsidRPr="004B4D15">
        <w:rPr>
          <w:rFonts w:ascii="Arial" w:hAnsi="Arial" w:cs="Arial"/>
          <w:sz w:val="22"/>
          <w:szCs w:val="22"/>
          <w:vertAlign w:val="superscript"/>
        </w:rPr>
        <w:t>3</w:t>
      </w:r>
      <w:r w:rsidRPr="004B4D15">
        <w:rPr>
          <w:rFonts w:ascii="Arial" w:hAnsi="Arial" w:cs="Arial"/>
          <w:sz w:val="22"/>
          <w:szCs w:val="22"/>
        </w:rPr>
        <w:fldChar w:fldCharType="end"/>
      </w:r>
      <w:r w:rsidRPr="004B4D15">
        <w:rPr>
          <w:rFonts w:ascii="Arial" w:hAnsi="Arial" w:cs="Arial"/>
          <w:color w:val="000000" w:themeColor="text1"/>
          <w:sz w:val="22"/>
          <w:szCs w:val="22"/>
        </w:rPr>
        <w:t xml:space="preserve"> One serious, concerning, and understudied feature of </w:t>
      </w:r>
      <w:r w:rsidR="006E27BB" w:rsidRPr="004B4D15">
        <w:rPr>
          <w:rFonts w:ascii="Arial" w:hAnsi="Arial" w:cs="Arial"/>
          <w:color w:val="000000" w:themeColor="text1"/>
          <w:sz w:val="22"/>
          <w:szCs w:val="22"/>
        </w:rPr>
        <w:t>eating disorders</w:t>
      </w:r>
      <w:r w:rsidRPr="004B4D15">
        <w:rPr>
          <w:rFonts w:ascii="Arial" w:hAnsi="Arial" w:cs="Arial"/>
          <w:color w:val="000000" w:themeColor="text1"/>
          <w:sz w:val="22"/>
          <w:szCs w:val="22"/>
        </w:rPr>
        <w:t xml:space="preserve"> is dysregulation in physical activity (i.e., driven exercise; DEx). </w:t>
      </w:r>
      <w:r w:rsidRPr="004B4D15">
        <w:rPr>
          <w:rFonts w:ascii="Arial" w:eastAsia="Times New Roman" w:hAnsi="Arial" w:cs="Arial"/>
          <w:sz w:val="22"/>
          <w:szCs w:val="22"/>
        </w:rPr>
        <w:t xml:space="preserve">DEx marks increased risk </w:t>
      </w:r>
      <w:r w:rsidRPr="004B4D15">
        <w:rPr>
          <w:rFonts w:ascii="Arial" w:hAnsi="Arial" w:cs="Arial"/>
          <w:sz w:val="22"/>
          <w:szCs w:val="22"/>
        </w:rPr>
        <w:t>for suicidal behavior,</w:t>
      </w:r>
      <w:r w:rsidRPr="004B4D15">
        <w:rPr>
          <w:rFonts w:ascii="Arial" w:hAnsi="Arial" w:cs="Arial"/>
          <w:sz w:val="22"/>
          <w:szCs w:val="22"/>
        </w:rPr>
        <w:fldChar w:fldCharType="begin"/>
      </w:r>
      <w:r w:rsidR="00827F44" w:rsidRPr="004B4D15">
        <w:rPr>
          <w:rFonts w:ascii="Arial" w:hAnsi="Arial" w:cs="Arial"/>
          <w:sz w:val="22"/>
          <w:szCs w:val="22"/>
        </w:rPr>
        <w:instrText xml:space="preserve"> ADDIN ZOTERO_ITEM CSL_CITATION {"citationID":"a1tPkly0","properties":{"formattedCitation":"\\super 4\\nosupersub{}","plainCitation":"4","noteIndex":0},"citationItems":[{"id":12567,"uris":["http://zotero.org/groups/2333417/items/ZYFAN94Q"],"uri":["http://zotero.org/groups/2333417/items/ZYFAN94Q"],"itemData":{"id":12567,"type":"article-journal","abstract":"We conducted four studies to examine the relationship between over-exercise and suicidality. Study 1 investigated whether over-exercise predicted suicidal behavior after controlling for other eating disorder behaviors in a patient sample of 204 women (144 with Diagnostic and Statistical Manual of Mental Disorders, 4th Edition (DSM-IV) Bulimia Nervosa [BN]). Study 2 tested the prospective association between over-exercise and acquired capability for suicide (ACS) in a sample of 171 college students followed for 3-4 weeks. Study 3 investigated whether pain insensitivity accounted for the relationship between over-exercise and ACS in a new sample of 467 college students. Study 4 tested whether ACS accounted for the relationship between over-exercise and suicidal behavior in a sample of 512 college students. In Study 1, after controlling for key covariates, over-exercise was the only disordered eating variable that maintained a significant relationship with suicidal behavior. In Study 2, Time 1 over-exercise was the only disordered eating behavior that was associated with Time 2 ACS. In Study 3, pain insensitivity accounted for the relationship between over-exercise and ACS. In Study 4, ACS accounted for the relationship between over-exercise and suicidal behavior. Over-exercise appears to be associated with suicidal behavior, an association accounted for by pain insensitivity and the acquired capability for suicide; notably, this association was found across a series of four studies with different populations.","container-title":"Psychiatry Res","DOI":"10.1016/j.psychres.2012.11.004","ISSN":"0165-1781","issue":"2-3","page":"246-55","title":"Exercise caution: over-exercise is associated with suicidality among individuals with disordered eating.","volume":"206","author":[{"family":"Smith","given":"A. R."},{"family":"Fink","given":"E. L."},{"family":"Anestis","given":"M. D."},{"family":"Ribeiro","given":"J. D."},{"family":"Gordon","given":"K. H."},{"family":"Davis","given":"H."},{"family":"Keel","given":"P. K."},{"family":"Bardone-Cone","given":"A. M."},{"family":"Peterson","given":"C. B."},{"family":"Klein","given":"M. H."},{"family":"Crow","given":"S."},{"family":"Mitchell","given":"J. E."},{"family":"Crosby","given":"R. D."},{"family":"Wonderlich","given":"S. A."},{"family":"Grange","given":"D."},{"family":"Joiner","given":"T. E."}],"issued":{"date-parts":[["2013",4,30]]}}}],"schema":"https://github.com/citation-style-language/schema/raw/master/csl-citation.json"} </w:instrText>
      </w:r>
      <w:r w:rsidRPr="004B4D15">
        <w:rPr>
          <w:rFonts w:ascii="Arial" w:hAnsi="Arial" w:cs="Arial"/>
          <w:sz w:val="22"/>
          <w:szCs w:val="22"/>
        </w:rPr>
        <w:fldChar w:fldCharType="separate"/>
      </w:r>
      <w:r w:rsidRPr="004B4D15">
        <w:rPr>
          <w:rFonts w:ascii="Arial" w:hAnsi="Arial" w:cs="Arial"/>
          <w:sz w:val="22"/>
          <w:szCs w:val="22"/>
          <w:vertAlign w:val="superscript"/>
        </w:rPr>
        <w:t>4</w:t>
      </w:r>
      <w:r w:rsidRPr="004B4D15">
        <w:rPr>
          <w:rFonts w:ascii="Arial" w:hAnsi="Arial" w:cs="Arial"/>
          <w:sz w:val="22"/>
          <w:szCs w:val="22"/>
        </w:rPr>
        <w:fldChar w:fldCharType="end"/>
      </w:r>
      <w:r w:rsidRPr="004B4D15">
        <w:rPr>
          <w:rFonts w:ascii="Arial" w:hAnsi="Arial" w:cs="Arial"/>
          <w:sz w:val="22"/>
          <w:szCs w:val="22"/>
        </w:rPr>
        <w:t xml:space="preserve"> poor treatment outcome,</w:t>
      </w:r>
      <w:r w:rsidRPr="004B4D15">
        <w:rPr>
          <w:rFonts w:ascii="Arial" w:hAnsi="Arial" w:cs="Arial"/>
          <w:sz w:val="22"/>
          <w:szCs w:val="22"/>
        </w:rPr>
        <w:fldChar w:fldCharType="begin"/>
      </w:r>
      <w:r w:rsidR="00827F44" w:rsidRPr="004B4D15">
        <w:rPr>
          <w:rFonts w:ascii="Arial" w:hAnsi="Arial" w:cs="Arial"/>
          <w:sz w:val="22"/>
          <w:szCs w:val="22"/>
        </w:rPr>
        <w:instrText xml:space="preserve"> ADDIN ZOTERO_ITEM CSL_CITATION {"citationID":"unNh6eZI","properties":{"formattedCitation":"\\super 5\\nosupersub{}","plainCitation":"5","noteIndex":0},"citationItems":[{"id":12563,"uris":["http://zotero.org/groups/2333417/items/H2D95YMK"],"uri":["http://zotero.org/groups/2333417/items/H2D95YMK"],"itemData":{"id":12563,"type":"article-journal","abstract":"OBJECTIVE: The study was aimed at assessing the prevalence of compulsive exercising to control shape and weight in eating disorders (EDs) and its relationship with treatment outcome. METHOD: Compulsive exercising to control shape and weight, defined according to a modified version of the Intense Exercising to Control Shape or Weight section of the Eating Disorder Examination (EDE), was assessed in 165 consecutive ED inpatients entering a protocol based on the transdiagnostic cognitive behavior theory and treatment of EDs. Baseline assessment also included anthropometry, the global EDE interview, the Beck Depression Inventory, the State-Trait Anxiety Inventory (STAI), the Eating Disorders Inventory-Perfectionism Scale, and the Temperament and Character Inventory. RESULTS: Of the patients, 45.5% were classified as compulsive exercisers, the prevalence being highest (80%) in restricting-type anorexia nervosa (AN), lowest in EDs not otherwise specified (31.9%), and intermediate in binge/purging AN (43.3%) and in purging-type bulimia nervosa (39.3%). Compulsive exercising to control shape and weight was independently predicted by the EDE restraint score (odds ratio, 1.32; 95% confidence interval, 1.06-1.64; P = .014) after adjustment for ED; the total amount of exercise was associated with EDE restraint, as well as with the Temperament and Character Inventory reward dependence. At follow-up, an improved EDE global score was predicted by lower baseline values, higher baseline STAI and STAI improvement, and lower amount of exercise in the last 4 weeks. Voluntary treatment discontinuation was not predicted by baseline exercise. DISCUSSION: Compulsive exercising to control shape and weight is a behavioral feature of restricting-type AN, associated with restraint and temperament dimensions, with influence on treatment outcome.","container-title":"Compr Psychiatry","DOI":"10.1016/j.comppsych.2007.12.007","ISSN":"1532-8384 (Electronic) 0010-440X (Linking)","issue":"4","page":"346-52","title":"Compulsive exercise to control shape or weight in eating disorders: prevalence, associated features, and treatment outcome","volume":"49","author":[{"family":"Dalle Grave","given":"R."},{"family":"Calugi","given":"S."},{"family":"Marchesini","given":"G."}],"issued":{"date-parts":[["2008",8]]}}}],"schema":"https://github.com/citation-style-language/schema/raw/master/csl-citation.json"} </w:instrText>
      </w:r>
      <w:r w:rsidRPr="004B4D15">
        <w:rPr>
          <w:rFonts w:ascii="Arial" w:hAnsi="Arial" w:cs="Arial"/>
          <w:sz w:val="22"/>
          <w:szCs w:val="22"/>
        </w:rPr>
        <w:fldChar w:fldCharType="separate"/>
      </w:r>
      <w:r w:rsidRPr="004B4D15">
        <w:rPr>
          <w:rFonts w:ascii="Arial" w:hAnsi="Arial" w:cs="Arial"/>
          <w:sz w:val="22"/>
          <w:szCs w:val="22"/>
          <w:vertAlign w:val="superscript"/>
        </w:rPr>
        <w:t>5</w:t>
      </w:r>
      <w:r w:rsidRPr="004B4D15">
        <w:rPr>
          <w:rFonts w:ascii="Arial" w:hAnsi="Arial" w:cs="Arial"/>
          <w:sz w:val="22"/>
          <w:szCs w:val="22"/>
        </w:rPr>
        <w:fldChar w:fldCharType="end"/>
      </w:r>
      <w:r w:rsidRPr="004B4D15">
        <w:rPr>
          <w:rFonts w:ascii="Arial" w:hAnsi="Arial" w:cs="Arial"/>
          <w:sz w:val="22"/>
          <w:szCs w:val="22"/>
        </w:rPr>
        <w:t xml:space="preserve"> and </w:t>
      </w:r>
      <w:r w:rsidR="00CC12E2" w:rsidRPr="004B4D15">
        <w:rPr>
          <w:rFonts w:ascii="Arial" w:hAnsi="Arial" w:cs="Arial"/>
          <w:sz w:val="22"/>
          <w:szCs w:val="22"/>
        </w:rPr>
        <w:t>eating disorder</w:t>
      </w:r>
      <w:r w:rsidRPr="004B4D15">
        <w:rPr>
          <w:rFonts w:ascii="Arial" w:hAnsi="Arial" w:cs="Arial"/>
          <w:sz w:val="22"/>
          <w:szCs w:val="22"/>
        </w:rPr>
        <w:t xml:space="preserve"> relapse,</w:t>
      </w:r>
      <w:r w:rsidRPr="004B4D15">
        <w:rPr>
          <w:rFonts w:ascii="Arial" w:hAnsi="Arial" w:cs="Arial"/>
          <w:sz w:val="22"/>
          <w:szCs w:val="22"/>
        </w:rPr>
        <w:fldChar w:fldCharType="begin"/>
      </w:r>
      <w:r w:rsidR="00827F44" w:rsidRPr="004B4D15">
        <w:rPr>
          <w:rFonts w:ascii="Arial" w:hAnsi="Arial" w:cs="Arial"/>
          <w:sz w:val="22"/>
          <w:szCs w:val="22"/>
        </w:rPr>
        <w:instrText xml:space="preserve"> ADDIN ZOTERO_ITEM CSL_CITATION {"citationID":"6WHdckeJ","properties":{"formattedCitation":"\\super 6\\nosupersub{}","plainCitation":"6","noteIndex":0},"citationItems":[{"id":12767,"uris":["http://zotero.org/groups/2333417/items/FE3978I5"],"uri":["http://zotero.org/groups/2333417/items/FE3978I5"],"itemData":{"id":12767,"type":"article-journal","abstract":"BACKGROUND:  Knowledge about factors that predict relapse in anorexia nervosa (AN) is needed for the development of effective relapse prevention treatments and may also advance understanding of the psychopathology of AN. The aim of the present study was to examine the rate, timing and prediction of relapse in AN following weight restoration in a specialized in-patient treatment programme. METHOD:  Fifty-one consecutive first-admission AN patients who were weight-restored following in-patient treatment participated in the study. Follow-up assessments were conducted a median of 15 months post-discharge. Relapse of AN was defined as a body mass index &lt;17.5 for 3 consecutive months. Data were analysed using Kaplan-Meier survival analysis and Cox regression. RESULTS:  The overall rate of relapse was 35% and the mean survival time was 18 months. The highest risk period was from 6 to 17 months after discharge. Several significant predictors of relapse were identified: a history of suicide attempt; previous specialized treatment for an eating disorder; severity of obsessive-compulsive symptoms at presentation; excessive exercise immediately after discharge; and residual concern about shape and weight at discharge. CONCLUSIONS:  There continues to be a significant risk of relapse among AN patients who remain well for the first year post-discharge. Several variables were shown to be associated with an elevated risk of relapse. These findings have implications for the development of initial treatments and relapse prevention strategies for AN.","container-title":"Psychol Med","DOI":"10.1017/S0033291703001168","ISSN":"0033-2917","issue":"4","page":"671-9","title":"Relapse in anorexia nervosa: a survival analysis.","volume":"34","author":[{"family":"Carter","given":"J. C."},{"family":"Blackmore","given":"E."},{"family":"Sutandar-Pinnock","given":"K."},{"family":"Woodside","given":"D. B."}],"issued":{"date-parts":[["2004",5]]}}}],"schema":"https://github.com/citation-style-language/schema/raw/master/csl-citation.json"} </w:instrText>
      </w:r>
      <w:r w:rsidRPr="004B4D15">
        <w:rPr>
          <w:rFonts w:ascii="Arial" w:hAnsi="Arial" w:cs="Arial"/>
          <w:sz w:val="22"/>
          <w:szCs w:val="22"/>
        </w:rPr>
        <w:fldChar w:fldCharType="separate"/>
      </w:r>
      <w:r w:rsidRPr="004B4D15">
        <w:rPr>
          <w:rFonts w:ascii="Arial" w:hAnsi="Arial" w:cs="Arial"/>
          <w:sz w:val="22"/>
          <w:szCs w:val="22"/>
          <w:vertAlign w:val="superscript"/>
        </w:rPr>
        <w:t>6</w:t>
      </w:r>
      <w:r w:rsidRPr="004B4D15">
        <w:rPr>
          <w:rFonts w:ascii="Arial" w:hAnsi="Arial" w:cs="Arial"/>
          <w:sz w:val="22"/>
          <w:szCs w:val="22"/>
        </w:rPr>
        <w:fldChar w:fldCharType="end"/>
      </w:r>
      <w:r w:rsidRPr="004B4D15">
        <w:rPr>
          <w:rFonts w:ascii="Arial" w:hAnsi="Arial" w:cs="Arial"/>
          <w:color w:val="000000" w:themeColor="text1"/>
          <w:sz w:val="22"/>
          <w:szCs w:val="22"/>
        </w:rPr>
        <w:t xml:space="preserve"> and s</w:t>
      </w:r>
      <w:r w:rsidRPr="004B4D15">
        <w:rPr>
          <w:rFonts w:ascii="Arial" w:eastAsia="Times New Roman" w:hAnsi="Arial" w:cs="Arial"/>
          <w:sz w:val="22"/>
          <w:szCs w:val="22"/>
        </w:rPr>
        <w:t>pecific interventions to target this symptom are lacking.</w:t>
      </w:r>
      <w:r w:rsidRPr="004B4D15">
        <w:rPr>
          <w:rFonts w:ascii="Arial" w:hAnsi="Arial" w:cs="Arial"/>
          <w:sz w:val="22"/>
          <w:szCs w:val="22"/>
        </w:rPr>
        <w:fldChar w:fldCharType="begin"/>
      </w:r>
      <w:r w:rsidR="00827F44" w:rsidRPr="004B4D15">
        <w:rPr>
          <w:rFonts w:ascii="Arial" w:hAnsi="Arial" w:cs="Arial"/>
          <w:sz w:val="22"/>
          <w:szCs w:val="22"/>
        </w:rPr>
        <w:instrText xml:space="preserve"> ADDIN ZOTERO_ITEM CSL_CITATION {"citationID":"z5s6zTLI","properties":{"unsorted":true,"formattedCitation":"\\super 7,8\\nosupersub{}","plainCitation":"7,8","noteIndex":0},"citationItems":[{"id":3186,"uris":["http://zotero.org/users/2565677/items/Y8EVE4DH"],"uri":["http://zotero.org/users/2565677/items/Y8EVE4DH"],"itemData":{"id":3186,"type":"article-journal","abstract":"BACKGROUND:  In food-restricted rats, leptin suppresses semistarvation-induced hyperactivity (SIH) and decreases exploratory behavior. Leptin ameliorates anxiety-related movement in ob/ob mice. In this study, we assessed the relationship between leptin and qualities of physical activity and restlessness in acute anorexia nervosa (AN). METHODS:  Serum leptin, body mass index (BMI), % body fat, and self- and expert-ratings of qualities of physical activity and restlessness were assessed in 26 inpatients with acute AN. Accelerometry was also performed. Regression analyses were used to predict activity and restlessness using BMI, % body fat, and leptin levels as predictor variables. RESULTS:  Leptin levels significantly contributed to the prediction of all measures of activity and restlessness. CONCLUSIONS:  This is the first study linking hypoleptinemia in AN patients to subjective and objective measures of higher physical activity and motor and inner restlessness. Leptin may directly or indirectly (or both) influence behaviors and cognitions contributing to hyperactivity and motor restlessness.","container-title":"Biol Psychiatry","DOI":"10.1016/j.biopsych.2005.11.001","ISSN":"0006-3223","issue":"3","page":"311-3","title":"Physical activity and restlessness correlate with leptin levels in patients with adolescent anorexia nervosa.","volume":"60","author":[{"family":"Holtkamp","given":"K."},{"family":"Herpertz-Dahlmann","given":"B."},{"family":"Hebebrand","given":"K."},{"family":"Mika","given":"C."},{"family":"Kratzsch","given":"J."},{"family":"Hebebrand","given":"J."}],"issued":{"date-parts":[["2006",8,1]]}}},{"id":2612,"uris":["http://zotero.org/users/2565677/items/7JZJEB68"],"uri":["http://zotero.org/users/2565677/items/7JZJEB68"],"itemData":{"id":2612,"type":"article-journal","abstract":"by repeated voluntary exercise. It is unknown, however, whether rats find long-term access to running wheels rewarding, or if repeated voluntary exercise reward produces plastic changes in mesolimbic reward neurocircuitry. ...","container-title":"Behav Brain Res","issue":"2","page":"354-362","title":"Long-term voluntary wheel running is rewarding and produces plasticity in the mesolimbic reward pathway","volume":"217","author":[{"family":"Greenwood","given":"B. N."},{"family":"Foley","given":"T. E."},{"family":"Le","given":"T. V."},{"family":"Strong","given":"P. V."},{"family":"Loughridge","given":"A. B."},{"family":"Fleshner","given":"M."}],"issued":{"date-parts":[["2011"]]}}}],"schema":"https://github.com/citation-style-language/schema/raw/master/csl-citation.json"} </w:instrText>
      </w:r>
      <w:r w:rsidRPr="004B4D15">
        <w:rPr>
          <w:rFonts w:ascii="Arial" w:hAnsi="Arial" w:cs="Arial"/>
          <w:sz w:val="22"/>
          <w:szCs w:val="22"/>
        </w:rPr>
        <w:fldChar w:fldCharType="separate"/>
      </w:r>
      <w:r w:rsidRPr="004B4D15">
        <w:rPr>
          <w:rFonts w:ascii="Arial" w:hAnsi="Arial" w:cs="Arial"/>
          <w:sz w:val="22"/>
          <w:szCs w:val="22"/>
          <w:vertAlign w:val="superscript"/>
        </w:rPr>
        <w:t>7,8</w:t>
      </w:r>
      <w:r w:rsidRPr="004B4D15">
        <w:rPr>
          <w:rFonts w:ascii="Arial" w:hAnsi="Arial" w:cs="Arial"/>
          <w:sz w:val="22"/>
          <w:szCs w:val="22"/>
        </w:rPr>
        <w:fldChar w:fldCharType="end"/>
      </w:r>
      <w:r w:rsidRPr="004B4D15">
        <w:rPr>
          <w:rFonts w:ascii="Arial" w:eastAsia="Times New Roman" w:hAnsi="Arial" w:cs="Arial"/>
          <w:sz w:val="22"/>
          <w:szCs w:val="22"/>
        </w:rPr>
        <w:t xml:space="preserve"> </w:t>
      </w:r>
      <w:r w:rsidRPr="004B4D15">
        <w:rPr>
          <w:rFonts w:ascii="Arial" w:hAnsi="Arial" w:cs="Arial"/>
          <w:sz w:val="22"/>
          <w:szCs w:val="22"/>
        </w:rPr>
        <w:t xml:space="preserve">Despite the relatively high prevalence of DEx in </w:t>
      </w:r>
      <w:r w:rsidR="006E27BB" w:rsidRPr="004B4D15">
        <w:rPr>
          <w:rFonts w:ascii="Arial" w:hAnsi="Arial" w:cs="Arial"/>
          <w:sz w:val="22"/>
          <w:szCs w:val="22"/>
        </w:rPr>
        <w:t>eating disorders</w:t>
      </w:r>
      <w:r w:rsidRPr="004B4D15">
        <w:rPr>
          <w:rFonts w:ascii="Arial" w:hAnsi="Arial" w:cs="Arial"/>
          <w:sz w:val="22"/>
          <w:szCs w:val="22"/>
        </w:rPr>
        <w:t xml:space="preserve"> (e.g., </w:t>
      </w:r>
      <w:r w:rsidR="009D6FFD" w:rsidRPr="004B4D15">
        <w:rPr>
          <w:rFonts w:ascii="Arial" w:hAnsi="Arial" w:cs="Arial"/>
          <w:sz w:val="22"/>
          <w:szCs w:val="22"/>
        </w:rPr>
        <w:t xml:space="preserve">between 20%-80% of </w:t>
      </w:r>
      <w:r w:rsidR="00F03FC5" w:rsidRPr="004B4D15">
        <w:rPr>
          <w:rFonts w:ascii="Arial" w:hAnsi="Arial" w:cs="Arial"/>
          <w:sz w:val="22"/>
          <w:szCs w:val="22"/>
        </w:rPr>
        <w:t>individuals</w:t>
      </w:r>
      <w:r w:rsidRPr="004B4D15">
        <w:rPr>
          <w:rFonts w:ascii="Arial" w:hAnsi="Arial" w:cs="Arial"/>
          <w:sz w:val="22"/>
          <w:szCs w:val="22"/>
        </w:rPr>
        <w:t xml:space="preserve"> with anorexia nervosa [AN]</w:t>
      </w:r>
      <w:r w:rsidR="009D6FFD" w:rsidRPr="004B4D15">
        <w:rPr>
          <w:rFonts w:ascii="Arial" w:hAnsi="Arial" w:cs="Arial"/>
          <w:sz w:val="22"/>
          <w:szCs w:val="22"/>
        </w:rPr>
        <w:t xml:space="preserve">, </w:t>
      </w:r>
      <w:r w:rsidR="00F03FC5" w:rsidRPr="004B4D15">
        <w:rPr>
          <w:rFonts w:ascii="Arial" w:hAnsi="Arial" w:cs="Arial"/>
          <w:sz w:val="22"/>
          <w:szCs w:val="22"/>
        </w:rPr>
        <w:t>bulimia nervosa [BN]</w:t>
      </w:r>
      <w:r w:rsidR="009D6FFD" w:rsidRPr="004B4D15">
        <w:rPr>
          <w:rFonts w:ascii="Arial" w:hAnsi="Arial" w:cs="Arial"/>
          <w:sz w:val="22"/>
          <w:szCs w:val="22"/>
        </w:rPr>
        <w:t xml:space="preserve">, and other specified eating disorders [OSFED], </w:t>
      </w:r>
      <w:r w:rsidR="006E27BB" w:rsidRPr="004B4D15">
        <w:rPr>
          <w:rFonts w:ascii="Arial" w:hAnsi="Arial" w:cs="Arial"/>
          <w:sz w:val="22"/>
          <w:szCs w:val="22"/>
        </w:rPr>
        <w:t xml:space="preserve">and about half of treatment-seeking youth with transdiagnostic eating disorders </w:t>
      </w:r>
      <w:r w:rsidR="00F03FC5" w:rsidRPr="004B4D15">
        <w:rPr>
          <w:rFonts w:ascii="Arial" w:hAnsi="Arial" w:cs="Arial"/>
          <w:sz w:val="22"/>
          <w:szCs w:val="22"/>
        </w:rPr>
        <w:fldChar w:fldCharType="begin"/>
      </w:r>
      <w:r w:rsidR="004B4D15" w:rsidRPr="004B4D15">
        <w:rPr>
          <w:rFonts w:ascii="Arial" w:hAnsi="Arial" w:cs="Arial"/>
          <w:sz w:val="22"/>
          <w:szCs w:val="22"/>
        </w:rPr>
        <w:instrText xml:space="preserve"> ADDIN ZOTERO_ITEM CSL_CITATION {"citationID":"p2Q8QnZj","properties":{"formattedCitation":"\\super 5,9\\uc0\\u8211{}11\\nosupersub{}","plainCitation":"5,9–11","noteIndex":0},"citationItems":[{"id":12563,"uris":["http://zotero.org/groups/2333417/items/H2D95YMK"],"uri":["http://zotero.org/groups/2333417/items/H2D95YMK"],"itemData":{"id":12563,"type":"article-journal","abstract":"OBJECTIVE: The study was aimed at assessing the prevalence of compulsive exercising to control shape and weight in eating disorders (EDs) and its relationship with treatment outcome. METHOD: Compulsive exercising to control shape and weight, defined according to a modified version of the Intense Exercising to Control Shape or Weight section of the Eating Disorder Examination (EDE), was assessed in 165 consecutive ED inpatients entering a protocol based on the transdiagnostic cognitive behavior theory and treatment of EDs. Baseline assessment also included anthropometry, the global EDE interview, the Beck Depression Inventory, the State-Trait Anxiety Inventory (STAI), the Eating Disorders Inventory-Perfectionism Scale, and the Temperament and Character Inventory. RESULTS: Of the patients, 45.5% were classified as compulsive exercisers, the prevalence being highest (80%) in restricting-type anorexia nervosa (AN), lowest in EDs not otherwise specified (31.9%), and intermediate in binge/purging AN (43.3%) and in purging-type bulimia nervosa (39.3%). Compulsive exercising to control shape and weight was independently predicted by the EDE restraint score (odds ratio, 1.32; 95% confidence interval, 1.06-1.64; P = .014) after adjustment for ED; the total amount of exercise was associated with EDE restraint, as well as with the Temperament and Character Inventory reward dependence. At follow-up, an improved EDE global score was predicted by lower baseline values, higher baseline STAI and STAI improvement, and lower amount of exercise in the last 4 weeks. Voluntary treatment discontinuation was not predicted by baseline exercise. DISCUSSION: Compulsive exercising to control shape and weight is a behavioral feature of restricting-type AN, associated with restraint and temperament dimensions, with influence on treatment outcome.","container-title":"Compr Psychiatry","DOI":"10.1016/j.comppsych.2007.12.007","ISSN":"1532-8384 (Electronic) 0010-440X (Linking)","issue":"4","page":"346-52","title":"Compulsive exercise to control shape or weight in eating disorders: prevalence, associated features, and treatment outcome","volume":"49","author":[{"family":"Dalle Grave","given":"R."},{"family":"Calugi","given":"S."},{"family":"Marchesini","given":"G."}],"issued":{"date-parts":[["2008",8]]}}},{"id":12973,"uris":["http://zotero.org/groups/2333417/items/DAVAZZZI"],"uri":["http://zotero.org/groups/2333417/items/DAVAZZZI"],"itemData":{"id":12973,"type":"article-journal","container-title":"International Journal of Eating Disorders","DOI":"10.1002/eat.22281","ISSN":"02763478","issue":"4","journalAbbreviation":"Int. J. Eat. Disord.","language":"en","page":"392-396","source":"DOI.org (Crossref)","title":"The effect of driven exercise on treatment outcomes for adolescents with anorexia and bulimia nervosa: Driven Exercise and Adolescent Outcomes","title-short":"The effect of driven exercise on treatment outcomes for adolescents with anorexia and bulimia nervosa","volume":"48","author":[{"family":"Stiles-Shields","given":"Colleen"},{"family":"DclinPsy","given":"Bryony Bamford"},{"family":"Lock","given":"James"},{"family":"Le Grange","given":"Daniel"}],"issued":{"date-parts":[["2015",5]]}}},{"id":12559,"uris":["http://zotero.org/groups/2333417/items/8ZP5XVW5"],"uri":["http://zotero.org/groups/2333417/items/8ZP5XVW5"],"itemData":{"id":12559,"type":"article-journal","abstract":"Several studies have examined the occurrence of eating disorders in athletes. However, little has been written about the frequency and phenomenology of compulsive exercising in eating disorder (ED) patients. Given this, we studied a series of 110 patients who presented to the Medical University of South Carolina Eating Disorders Program and met lifetime DSM-III-R criteria for bulimia nervosa (n = 71), anorexia nervosa (n = 18), or both disorders (n = 21). All patients completed the Diagnostic Survey of the Eating Disorders (DSED), a self-report measure of demographic and clinical characteristics including time spent exercising daily. Thirty-one (28%) of the 100 patients reported that they exercised &gt; or = 60 min every day (M +/- SD = 105 +/- 48 min) and were defined as compulsive exercisers (CEs). In addition, 3 CE patients with a DSM-III-R diagnosis of eating disorder not otherwise specified (EDNOS) were included for comparison with non-CEs on a number of variables. CEs had significantly greater ratings of body dissatisfaction (p &lt; .01) than non-CEs. Non- CEs were significantly more likely than CEs to vomit and use laxatives (p &lt; .01, chi 2), and they had a higher frequency of binge eating ( p &lt; .006, Kruskal-Wallis). There was a trend for a significantly higher frequency of compulsive exercising in the patients with anorexia nervosa (38.5%) than those with bulimia nervosa (22.5%) (p &lt; or = .06, chi 2).","container-title":"Int J Eat Disord","ISSN":"0276-3478 (Print) 0276-3478 (Linking)","issue":"4","page":"413-6","title":"Comparison of eating disorder patients with and without compulsive exercising","volume":"17","author":[{"family":"Brewerton","given":"T. D."},{"family":"Stellefson","given":"E. J."},{"family":"Hibbs","given":"N."},{"family":"Hodges","given":"E. L."},{"family":"Cochrane","given":"C. E."}],"issued":{"date-parts":[["1995",5]]}}},{"id":12554,"uris":["http://zotero.org/groups/2333417/items/VG5AMK34"],"uri":["http://zotero.org/groups/2333417/items/VG5AMK34"],"itemData":{"id":12554,"type":"article-journal","abstract":"OBJECTIVE:  Excessive exercise and motor restlessness are observed in a substantial number of patients with eating disorders. This trait has been studied extensively among animal models of activity anorexia nervosa (AN) and may hold particular interest as an endophenotype for AN. We explored features associated with excessive exercise across subtypes of eating disorders. METHOD:  Participants were female probands and affected female relatives from the multi-site international Price Foundation Genetic Studies with diagnoses of AN, bulimia nervosa (BN), and both AN and BN or eating disorder not otherwise specified (ED-NOS) (N=1,857). Excessive exercise was defined based on responses to the Structured Interview for Anorexic and Bulimic Disorders (SIAB). RESULTS:  Among the eating disorder diagnostic groups, excessive exercise was most common among the purging subtype of AN. Individuals who reported excessive exercise also reported lower minimum BMI, younger age at interview, higher scores on anxiety, perfectionism, and eating disorder symptom measures, more obsessions and compulsions, and greater persistence. CONCLUSION:  Excessive exercise may be associated particularly with the purging subtype of AN as well as with a constellation of anxious/obsessional temperament and personality characteristics among women with eating disorders.","container-title":"Int J Eat Disord","DOI":"10.1002/eat.20247","ISSN":"0276-3478","issue":"6","page":"454-61","title":"Features associated with excessive exercise in women with eating disorders.","volume":"39","author":[{"family":"Shroff","given":"H."},{"family":"Reba","given":"L."},{"family":"Thornton","given":"L. M."},{"family":"Tozzi","given":"F."},{"family":"Klump","given":"K. L."},{"family":"Berrettini","given":"W. H."},{"family":"Brandt","given":"H."},{"family":"Crawford","given":"S."},{"family":"Crow","given":"S."},{"family":"Fichter","given":"M. M."},{"family":"Goldman","given":"D."},{"family":"Halmi","given":"K. A."},{"family":"Johnson","given":"C."},{"family":"Kaplan","given":"A. S."},{"family":"Keel","given":"P."},{"family":"LaVia","given":"M."},{"family":"Mitchell","given":"J."},{"family":"Rotondo","given":"A."},{"family":"Strober","given":"M."},{"family":"Treasure","given":"J."},{"family":"Woodside","given":"D. B."},{"family":"Kaye","given":"W. H."},{"family":"Bulik","given":"C. M."}],"issued":{"date-parts":[["2006",9]]}}}],"schema":"https://github.com/citation-style-language/schema/raw/master/csl-citation.json"} </w:instrText>
      </w:r>
      <w:r w:rsidR="00F03FC5" w:rsidRPr="004B4D15">
        <w:rPr>
          <w:rFonts w:ascii="Arial" w:hAnsi="Arial" w:cs="Arial"/>
          <w:sz w:val="22"/>
          <w:szCs w:val="22"/>
        </w:rPr>
        <w:fldChar w:fldCharType="separate"/>
      </w:r>
      <w:r w:rsidR="004B4D15" w:rsidRPr="004B4D15">
        <w:rPr>
          <w:rFonts w:ascii="Arial" w:hAnsi="Arial" w:cs="Arial"/>
          <w:sz w:val="22"/>
          <w:szCs w:val="22"/>
          <w:vertAlign w:val="superscript"/>
        </w:rPr>
        <w:t>5,9–11</w:t>
      </w:r>
      <w:r w:rsidR="00F03FC5" w:rsidRPr="004B4D15">
        <w:rPr>
          <w:rFonts w:ascii="Arial" w:hAnsi="Arial" w:cs="Arial"/>
          <w:sz w:val="22"/>
          <w:szCs w:val="22"/>
        </w:rPr>
        <w:fldChar w:fldCharType="end"/>
      </w:r>
      <w:r w:rsidRPr="004B4D15">
        <w:rPr>
          <w:rFonts w:ascii="Arial" w:hAnsi="Arial" w:cs="Arial"/>
          <w:sz w:val="22"/>
          <w:szCs w:val="22"/>
        </w:rPr>
        <w:t xml:space="preserve">), we know little about the etiology of this behavior. </w:t>
      </w:r>
    </w:p>
    <w:p w14:paraId="342F7832" w14:textId="77777777" w:rsidR="00C22E08" w:rsidRPr="004B4D15" w:rsidRDefault="00C22E08" w:rsidP="00C22E08">
      <w:pPr>
        <w:spacing w:line="259" w:lineRule="auto"/>
        <w:jc w:val="both"/>
        <w:rPr>
          <w:rFonts w:ascii="Arial" w:hAnsi="Arial" w:cs="Arial"/>
          <w:sz w:val="22"/>
          <w:szCs w:val="22"/>
        </w:rPr>
      </w:pPr>
    </w:p>
    <w:p w14:paraId="7C5B26F7" w14:textId="70CA4C80" w:rsidR="00C22E08" w:rsidRPr="004B4D15" w:rsidRDefault="00C22E08" w:rsidP="00C22E08">
      <w:pPr>
        <w:spacing w:line="259" w:lineRule="auto"/>
        <w:jc w:val="both"/>
        <w:rPr>
          <w:rFonts w:ascii="Arial" w:hAnsi="Arial" w:cs="Arial"/>
          <w:b/>
          <w:bCs/>
          <w:sz w:val="22"/>
          <w:szCs w:val="22"/>
        </w:rPr>
      </w:pPr>
      <w:r w:rsidRPr="004B4D15">
        <w:rPr>
          <w:rFonts w:ascii="Arial" w:hAnsi="Arial" w:cs="Arial"/>
          <w:b/>
          <w:bCs/>
          <w:sz w:val="22"/>
          <w:szCs w:val="22"/>
        </w:rPr>
        <w:t>Significant, biologically-driven</w:t>
      </w:r>
      <w:r w:rsidRPr="004B4D15">
        <w:rPr>
          <w:rFonts w:ascii="Arial" w:hAnsi="Arial" w:cs="Arial"/>
          <w:sz w:val="22"/>
          <w:szCs w:val="22"/>
        </w:rPr>
        <w:t xml:space="preserve"> </w:t>
      </w:r>
      <w:r w:rsidRPr="004B4D15">
        <w:rPr>
          <w:rFonts w:ascii="Arial" w:hAnsi="Arial" w:cs="Arial"/>
          <w:b/>
          <w:bCs/>
          <w:sz w:val="22"/>
          <w:szCs w:val="22"/>
        </w:rPr>
        <w:t>variability in physical activity engagement is apparent</w:t>
      </w:r>
    </w:p>
    <w:p w14:paraId="47DA7F2D" w14:textId="50697671" w:rsidR="0051093D" w:rsidRPr="004B4D15" w:rsidRDefault="0051093D" w:rsidP="00C22E08">
      <w:pPr>
        <w:spacing w:line="259" w:lineRule="auto"/>
        <w:jc w:val="both"/>
        <w:rPr>
          <w:rFonts w:ascii="Arial" w:hAnsi="Arial" w:cs="Arial"/>
          <w:sz w:val="22"/>
          <w:szCs w:val="22"/>
        </w:rPr>
      </w:pPr>
      <w:r w:rsidRPr="004B4D15">
        <w:rPr>
          <w:rFonts w:ascii="Arial" w:hAnsi="Arial" w:cs="Arial"/>
          <w:sz w:val="22"/>
          <w:szCs w:val="22"/>
        </w:rPr>
        <w:t xml:space="preserve">Substantial differences exist in individuals’ experiences of physical activity, including the degree to which one finds </w:t>
      </w:r>
      <w:r w:rsidR="00CC12E2" w:rsidRPr="004B4D15">
        <w:rPr>
          <w:rFonts w:ascii="Arial" w:hAnsi="Arial" w:cs="Arial"/>
          <w:sz w:val="22"/>
          <w:szCs w:val="22"/>
        </w:rPr>
        <w:t>physical activity</w:t>
      </w:r>
      <w:r w:rsidRPr="004B4D15">
        <w:rPr>
          <w:rFonts w:ascii="Arial" w:hAnsi="Arial" w:cs="Arial"/>
          <w:sz w:val="22"/>
          <w:szCs w:val="22"/>
        </w:rPr>
        <w:t xml:space="preserve"> reinforcing and engages in exercise over time.</w:t>
      </w:r>
      <w:r w:rsidRPr="004B4D15">
        <w:rPr>
          <w:rFonts w:ascii="Arial" w:hAnsi="Arial" w:cs="Arial"/>
          <w:color w:val="000000" w:themeColor="text1"/>
          <w:sz w:val="22"/>
          <w:szCs w:val="22"/>
          <w:vertAlign w:val="superscript"/>
        </w:rPr>
        <w:t>51-52,53</w:t>
      </w:r>
      <w:r w:rsidR="00C22E08" w:rsidRPr="004B4D15">
        <w:rPr>
          <w:rFonts w:ascii="Arial" w:hAnsi="Arial" w:cs="Arial"/>
          <w:sz w:val="22"/>
          <w:szCs w:val="22"/>
        </w:rPr>
        <w:t xml:space="preserve">. </w:t>
      </w:r>
      <w:r w:rsidR="00CC12E2" w:rsidRPr="004B4D15">
        <w:rPr>
          <w:rFonts w:ascii="Arial" w:hAnsi="Arial" w:cs="Arial"/>
          <w:sz w:val="22"/>
          <w:szCs w:val="22"/>
        </w:rPr>
        <w:t>Physical activity</w:t>
      </w:r>
      <w:r w:rsidR="00C22E08" w:rsidRPr="004B4D15">
        <w:rPr>
          <w:rFonts w:ascii="Arial" w:hAnsi="Arial" w:cs="Arial"/>
          <w:sz w:val="22"/>
          <w:szCs w:val="22"/>
        </w:rPr>
        <w:t xml:space="preserve"> levels in the general population are also heritable,</w:t>
      </w:r>
      <w:r w:rsidR="00C22E08" w:rsidRPr="004B4D15">
        <w:rPr>
          <w:rFonts w:ascii="Arial" w:hAnsi="Arial" w:cs="Arial"/>
          <w:sz w:val="22"/>
          <w:szCs w:val="22"/>
        </w:rPr>
        <w:fldChar w:fldCharType="begin"/>
      </w:r>
      <w:r w:rsidR="004B4D15" w:rsidRPr="004B4D15">
        <w:rPr>
          <w:rFonts w:ascii="Arial" w:hAnsi="Arial" w:cs="Arial"/>
          <w:sz w:val="22"/>
          <w:szCs w:val="22"/>
        </w:rPr>
        <w:instrText xml:space="preserve"> ADDIN ZOTERO_ITEM CSL_CITATION {"citationID":"Ri2fXOtW","properties":{"formattedCitation":"\\super 12,13\\nosupersub{}","plainCitation":"12,13","noteIndex":0},"citationItems":[{"id":1041,"uris":["http://zotero.org/users/2565677/items/GV5D6CM2"],"uri":["http://zotero.org/users/2565677/items/GV5D6CM2"],"itemData":{"id":1041,"type":"article-journal","abstract":"Twin studies with objective measurements suggest habitual physical activity (HPA) are modestly to highly heritable, depending on age. We aimed to confirm or refute this finding and identify relevant genetic variants using a candidate gene approach. HPA was measured for 14 days with a validated triaxial accelerometer (Tracmor) in two populations: (1) 28 monozygotic and 24 dizygotic same-sex twin pairs (aged 22 ± 5 years, BMI 21.8 ± 3.4 kg/m(2), 21 male, 31 female pairs); (2) 52 and 65 unrelated men and women (aged 21 ± 2 years, BMI 22.0 ± 2.5 kg/m(2)). Single nucleotide polymorphisms (SNPs) in PPARD, PPARGC1A, NRF1 and MTOR were considered candidates. Association analyses were performed for both groups separately followed by meta-analysis. Structural equation modeling shows significant familiality for HPA, consistent with a role for additive genetic factors (heritability 57 %, 95 % CI 32-74 %, AE model) or common environmental factors (47 %, 95 % CI 23-65 %, CE model). A moderate heritability was observed for the time spent on low- and high-intensity physical activity (P ≤ 0.05), but could not be confirmed for the time spent on moderate-intensity physical activity. For PPARD, each additional effect allele was inversely associated with HPA (P ≤ 0.01; rs2076168 allele C) or tended to be associated with HPA (P ≤ 0.05; rs2267668 allele G). Linkage disequilibrium existed between those two SNPs (alleles A/G and A/C, respectively) and meta-analysis showed that carriers of the AA GC haplotype were less physically active than carriers of the AA AA and AA AC haplotypes combined (P = 0.017). For PPARGC1A, carriers of AA in rs8192678 spent more time on high-intensity physical activity than GG carriers (P = 0.001). No associations were observed with SNPs in NRF1 and MTOR. In conclusion, HPA may be modestly heritable, which is confirmed by an association with variants in PPARD.","container-title":"Genes Nutr","DOI":"10.1007/s12263-014-0415-5","ISSN":"1555-8932","issue":"4","page":"415","title":"Heritability and genetic etiology of habitual physical activity: a twin study with objective measures.","volume":"9","author":[{"family":"Gielen","given":"M."},{"family":"Westerterp-Plantenga","given":"M. S."},{"family":"Bouwman","given":"F. G."},{"family":"Joosen","given":"A. M."},{"family":"Vlietinck","given":"R."},{"family":"Derom","given":"C."},{"family":"Zeegers","given":"M. P."},{"family":"Mariman","given":"E. C."},{"family":"Westerterp","given":"K. R."}],"issued":{"date-parts":[["2014",7]]}}},{"id":12573,"uris":["http://zotero.org/groups/2333417/items/95FNJBB5"],"uri":["http://zotero.org/groups/2333417/items/95FNJBB5"],"itemData":{"id":12573,"type":"article-journal","abstract":"Exercise behavior during leisure time is a major source of health-promoting physical activity and moderately tracks across childhood and adolescence. This study aims to investigate the absolute and relative contribution of genes and the environment to variance in exercise behavior from age 7 to 18, and to elucidate the stability and change of genetic and shared environmental factors that underlie this behavior. The Netherlands Twin Register collected data on exercise behavior in twins aged approximately 7, 10, 12, 14, 16 and 18 years (N = 27,332 twins; 48 % males; 47 % with longitudinal assessments). Three exercise categories (low, middle, high) were analyzed by means of liability threshold models. First, a univariate model was fitted using the largest available cross-sectional dataset with linear and quadratic effects of age as modifiers on the means and variance components. Second, a simplex model was fitted on the longitudinal dataset. Heritability was low in 7-year-olds (14 % in males and 12 % in females), but gradually increased up to age 18 (79 % in males and 49 % in females), whereas the initially substantial relative influence of the shared environment decreased with age (from 80 to 4 % in males and from 80 to 19 % in females). This decrease was due to a large increase in the genetic variance. The longitudinal model showed the genetic effects in males to be largely stable and to accumulate from childhood to late adolescence, whereas in females, they were marked by both transmission and innovation at all ages. The shared environmental effects tended to be less stable in both males and females. In sum, the clear age-moderation of exercise behavior implies that family-based interventions might be useful to increase this behavior in children, whereas individual-based interventions might be better suited for adolescents. We showed that some determinants of individual differences in exercise behavior are stable across childhood and youth, whereas others come into play at specific ages. In view of the many benefits of regular exercise, identifying these determinants at specific ages should be a public health priority.","archive_location":"27406597","container-title":"Behav Genet","DOI":"10.1007/s10519-016-9799-x","ISSN":"0001-8244","issue":"5","page":"665-79","title":"Individual Differences in Exercise Behavior: Stability and Change in Genetic and Environmental Determinants From Age 7 to 18.","volume":"46","author":[{"family":"Huppertz","given":"C"},{"family":"Bartels","given":"M"},{"family":"Zeeuw","given":"EL","non-dropping-particle":"de"},{"family":"Beijsterveldt","given":"CE","non-dropping-particle":"van"},{"family":"Hudziak","given":"JJ"},{"family":"Willemsen","given":"G"},{"family":"Boomsma","given":"DI"},{"family":"Geus","given":"EJ","non-dropping-particle":"de"}],"issued":{"date-parts":[["2016",9]]}}}],"schema":"https://github.com/citation-style-language/schema/raw/master/csl-citation.json"} </w:instrText>
      </w:r>
      <w:r w:rsidR="00C22E08" w:rsidRPr="004B4D15">
        <w:rPr>
          <w:rFonts w:ascii="Arial" w:hAnsi="Arial" w:cs="Arial"/>
          <w:sz w:val="22"/>
          <w:szCs w:val="22"/>
        </w:rPr>
        <w:fldChar w:fldCharType="separate"/>
      </w:r>
      <w:r w:rsidR="004B4D15" w:rsidRPr="004B4D15">
        <w:rPr>
          <w:rFonts w:ascii="Arial" w:hAnsi="Arial" w:cs="Arial"/>
          <w:sz w:val="22"/>
          <w:szCs w:val="22"/>
          <w:vertAlign w:val="superscript"/>
        </w:rPr>
        <w:t>12,13</w:t>
      </w:r>
      <w:r w:rsidR="00C22E08" w:rsidRPr="004B4D15">
        <w:rPr>
          <w:rFonts w:ascii="Arial" w:hAnsi="Arial" w:cs="Arial"/>
          <w:sz w:val="22"/>
          <w:szCs w:val="22"/>
        </w:rPr>
        <w:fldChar w:fldCharType="end"/>
      </w:r>
      <w:r w:rsidR="00C22E08" w:rsidRPr="004B4D15">
        <w:rPr>
          <w:rFonts w:ascii="Arial" w:hAnsi="Arial" w:cs="Arial"/>
          <w:sz w:val="22"/>
          <w:szCs w:val="22"/>
        </w:rPr>
        <w:t xml:space="preserve"> suggesting individual differences in the degree to which </w:t>
      </w:r>
      <w:r w:rsidR="00CC12E2" w:rsidRPr="004B4D15">
        <w:rPr>
          <w:rFonts w:ascii="Arial" w:hAnsi="Arial" w:cs="Arial"/>
          <w:sz w:val="22"/>
          <w:szCs w:val="22"/>
        </w:rPr>
        <w:t>physical activity</w:t>
      </w:r>
      <w:r w:rsidR="00C22E08" w:rsidRPr="004B4D15">
        <w:rPr>
          <w:rFonts w:ascii="Arial" w:hAnsi="Arial" w:cs="Arial"/>
          <w:sz w:val="22"/>
          <w:szCs w:val="22"/>
        </w:rPr>
        <w:t xml:space="preserve"> is reinforcing via biobehavioral pathways. </w:t>
      </w:r>
      <w:r w:rsidR="00C22E08" w:rsidRPr="004B4D15">
        <w:rPr>
          <w:rStyle w:val="s1"/>
          <w:rFonts w:ascii="Arial" w:hAnsi="Arial" w:cs="Arial"/>
          <w:sz w:val="22"/>
          <w:szCs w:val="22"/>
        </w:rPr>
        <w:t>Further, a recent genome-wide association study of</w:t>
      </w:r>
      <w:r w:rsidR="00CC12E2" w:rsidRPr="004B4D15">
        <w:rPr>
          <w:rStyle w:val="s1"/>
          <w:rFonts w:ascii="Arial" w:hAnsi="Arial" w:cs="Arial"/>
          <w:sz w:val="22"/>
          <w:szCs w:val="22"/>
        </w:rPr>
        <w:t xml:space="preserve"> AN </w:t>
      </w:r>
      <w:r w:rsidR="00C22E08" w:rsidRPr="004B4D15">
        <w:rPr>
          <w:rFonts w:ascii="Arial" w:hAnsi="Arial" w:cs="Arial"/>
          <w:sz w:val="22"/>
          <w:szCs w:val="22"/>
        </w:rPr>
        <w:t xml:space="preserve">has shown a positive genetic correlation with accelerometer-measured </w:t>
      </w:r>
      <w:r w:rsidR="006E27BB" w:rsidRPr="004B4D15">
        <w:rPr>
          <w:rFonts w:ascii="Arial" w:hAnsi="Arial" w:cs="Arial"/>
          <w:sz w:val="22"/>
          <w:szCs w:val="22"/>
        </w:rPr>
        <w:t>physical activity</w:t>
      </w:r>
      <w:r w:rsidR="00C22E08" w:rsidRPr="004B4D15">
        <w:rPr>
          <w:rFonts w:ascii="Arial" w:hAnsi="Arial" w:cs="Arial"/>
          <w:sz w:val="22"/>
          <w:szCs w:val="22"/>
        </w:rPr>
        <w:t xml:space="preserve">, suggesting that some of the same factors that increase risk for AN are also operative in determining general </w:t>
      </w:r>
      <w:r w:rsidR="006E27BB" w:rsidRPr="004B4D15">
        <w:rPr>
          <w:rFonts w:ascii="Arial" w:hAnsi="Arial" w:cs="Arial"/>
          <w:sz w:val="22"/>
          <w:szCs w:val="22"/>
        </w:rPr>
        <w:t>physical activity</w:t>
      </w:r>
      <w:r w:rsidR="00C22E08" w:rsidRPr="004B4D15">
        <w:rPr>
          <w:rFonts w:ascii="Arial" w:hAnsi="Arial" w:cs="Arial"/>
          <w:sz w:val="22"/>
          <w:szCs w:val="22"/>
        </w:rPr>
        <w:t xml:space="preserve"> level.</w:t>
      </w:r>
      <w:r w:rsidR="00C22E08" w:rsidRPr="004B4D15">
        <w:rPr>
          <w:rFonts w:ascii="Arial" w:hAnsi="Arial" w:cs="Arial"/>
          <w:sz w:val="22"/>
          <w:szCs w:val="22"/>
        </w:rPr>
        <w:fldChar w:fldCharType="begin"/>
      </w:r>
      <w:r w:rsidR="004B4D15" w:rsidRPr="004B4D15">
        <w:rPr>
          <w:rFonts w:ascii="Arial" w:hAnsi="Arial" w:cs="Arial"/>
          <w:sz w:val="22"/>
          <w:szCs w:val="22"/>
        </w:rPr>
        <w:instrText xml:space="preserve"> ADDIN ZOTERO_ITEM CSL_CITATION {"citationID":"nb4HuhZr","properties":{"formattedCitation":"\\super 14\\nosupersub{}","plainCitation":"14","noteIndex":0},"citationItems":[{"id":12927,"uris":["http://zotero.org/groups/2333417/items/GSWF2XP7"],"uri":["http://zotero.org/groups/2333417/items/GSWF2XP7"],"itemData":{"id":12927,"type":"article-journal","container-title":"Nature Genetics","DOI":"10.1038/s41588-019-0439-2","ISSN":"1061-4036, 1546-1718","journalAbbreviation":"Nat Genet","language":"en","source":"DOI.org (Crossref)","title":"Genome-wide association study identifies eight risk loci and implicates metabo-psychiatric origins for anorexia nervosa","URL":"http://www.nature.com/articles/s41588-019-0439-2","author":[{"literal":"Anorexia Nervosa Genetics Initiative"},{"literal":"Eating Disorders Working Group of the Psychiatric Genomics Consortium"},{"family":"Watson","given":"Hunna J."},{"family":"Yilmaz","given":"Zeynep"},{"family":"Thornton","given":"Laura M."},{"family":"Hübel","given":"Christopher"},{"family":"Coleman","given":"Jonathan R. I."},{"family":"Gaspar","given":"Héléna A."},{"family":"Bryois","given":"Julien"},{"family":"Hinney","given":"Anke"},{"family":"Leppä","given":"Virpi M."},{"family":"Mattheisen","given":"Manuel"},{"family":"Medland","given":"Sarah E."},{"family":"Ripke","given":"Stephan"},{"family":"Yao","given":"Shuyang"},{"family":"Giusti-Rodríguez","given":"Paola"},{"family":"Hanscombe","given":"Ken B."},{"family":"Purves","given":"Kirstin L."},{"family":"Adan","given":"Roger A. H."},{"family":"Alfredsson","given":"Lars"},{"family":"Ando","given":"Tetsuya"},{"family":"Andreassen","given":"Ole A."},{"family":"Baker","given":"Jessica H."},{"family":"Berrettini","given":"Wade H."},{"family":"Boehm","given":"Ilka"},{"family":"Boni","given":"Claudette"},{"family":"Perica","given":"Vesna Boraska"},{"family":"Buehren","given":"Katharina"},{"family":"Burghardt","given":"Roland"},{"family":"Cassina","given":"Matteo"},{"family":"Cichon","given":"Sven"},{"family":"Clementi","given":"Maurizio"},{"family":"Cone","given":"Roger D."},{"family":"Courtet","given":"Philippe"},{"family":"Crow","given":"Scott"},{"family":"Crowley","given":"James J."},{"family":"Danner","given":"Unna N."},{"family":"Davis","given":"Oliver S. P."},{"family":"Zwaan","given":"Martina","non-dropping-particle":"de"},{"family":"Dedoussis","given":"George"},{"family":"Degortes","given":"Daniela"},{"family":"DeSocio","given":"Janiece E."},{"family":"Dick","given":"Danielle M."},{"family":"Dikeos","given":"Dimitris"},{"family":"Dina","given":"Christian"},{"family":"Dmitrzak-Weglarz","given":"Monika"},{"family":"Docampo","given":"Elisa"},{"family":"Duncan","given":"Laramie E."},{"family":"Egberts","given":"Karin"},{"family":"Ehrlich","given":"Stefan"},{"family":"Escaramís","given":"Geòrgia"},{"family":"Esko","given":"Tõnu"},{"family":"Estivill","given":"Xavier"},{"family":"Farmer","given":"Anne"},{"family":"Favaro","given":"Angela"},{"family":"Fernández-Aranda","given":"Fernando"},{"family":"Fichter","given":"Manfred M."},{"family":"Fischer","given":"Krista"},{"family":"Föcker","given":"Manuel"},{"family":"Foretova","given":"Lenka"},{"family":"Forstner","given":"Andreas J."},{"family":"Forzan","given":"Monica"},{"family":"Franklin","given":"Christopher S."},{"family":"Gallinger","given":"Steven"},{"family":"Giegling","given":"Ina"},{"family":"Giuranna","given":"Johanna"},{"family":"Gonidakis","given":"Fragiskos"},{"family":"Gorwood","given":"Philip"},{"family":"Mayora","given":"Monica Gratacos"},{"family":"Guillaume","given":"Sébastien"},{"family":"Guo","given":"Yiran"},{"family":"Hakonarson","given":"Hakon"},{"family":"Hatzikotoulas","given":"Konstantinos"},{"family":"Hauser","given":"Joanna"},{"family":"Hebebrand","given":"Johannes"},{"family":"Helder","given":"Sietske G."},{"family":"Herms","given":"Stefan"},{"family":"Herpertz-Dahlmann","given":"Beate"},{"family":"Herzog","given":"Wolfgang"},{"family":"Huckins","given":"Laura M."},{"family":"Hudson","given":"James I."},{"family":"Imgart","given":"Hartmut"},{"family":"Inoko","given":"Hidetoshi"},{"family":"Janout","given":"Vladimir"},{"family":"Jiménez-Murcia","given":"Susana"},{"family":"Julià","given":"Antonio"},{"family":"Kalsi","given":"Gursharan"},{"family":"Kaminská","given":"Deborah"},{"family":"Kaprio","given":"Jaakko"},{"family":"Karhunen","given":"Leila"},{"family":"Karwautz","given":"Andreas"},{"family":"Kas","given":"Martien J. H."},{"family":"Kennedy","given":"James L."},{"family":"Keski-Rahkonen","given":"Anna"},{"family":"Kiezebrink","given":"Kirsty"},{"family":"Kim","given":"Youl-Ri"},{"family":"Klareskog","given":"Lars"},{"family":"Klump","given":"Kelly L."},{"family":"Knudsen","given":"Gun Peggy S."},{"family":"La Via","given":"Maria C."},{"family":"Le Hellard","given":"Stephanie"},{"family":"Levitan","given":"Robert D."},{"family":"Li","given":"Dong"},{"family":"Lilenfeld","given":"Lisa"},{"family":"Lin","given":"Bochao Danae"},{"family":"Lissowska","given":"Jolanta"},{"family":"Luykx","given":"Jurjen"},{"family":"Magistretti","given":"Pierre J."},{"family":"Maj","given":"Mario"},{"family":"Mannik","given":"Katrin"},{"family":"Marsal","given":"Sara"},{"family":"Marshall","given":"Christian R."},{"family":"Mattingsdal","given":"Morten"},{"family":"McDevitt","given":"Sara"},{"family":"McGuffin","given":"Peter"},{"family":"Metspalu","given":"Andres"},{"family":"Meulenbelt","given":"Ingrid"},{"family":"Micali","given":"Nadia"},{"family":"Mitchell","given":"Karen"},{"family":"Monteleone","given":"Alessio Maria"},{"family":"Monteleone","given":"Palmiero"},{"family":"Munn-Chernoff","given":"Melissa A."},{"family":"Nacmias","given":"Benedetta"},{"family":"Navratilova","given":"Marie"},{"family":"Ntalla","given":"Ioanna"},{"family":"O’Toole","given":"Julie K."},{"family":"Ophoff","given":"Roel A."},{"family":"Padyukov","given":"Leonid"},{"family":"Palotie","given":"Aarno"},{"family":"Pantel","given":"Jacques"},{"family":"Papezova","given":"Hana"},{"family":"Pinto","given":"Dalila"},{"family":"Rabionet","given":"Raquel"},{"family":"Raevuori","given":"Anu"},{"family":"Ramoz","given":"Nicolas"},{"family":"Reichborn-Kjennerud","given":"Ted"},{"family":"Ricca","given":"Valdo"},{"family":"Ripatti","given":"Samuli"},{"family":"Ritschel","given":"Franziska"},{"family":"Roberts","given":"Marion"},{"family":"Rotondo","given":"Alessandro"},{"family":"Rujescu","given":"Dan"},{"family":"Rybakowski","given":"Filip"},{"family":"Santonastaso","given":"Paolo"},{"family":"Scherag","given":"André"},{"family":"Scherer","given":"Stephen W."},{"family":"Schmidt","given":"Ulrike"},{"family":"Schork","given":"Nicholas J."},{"family":"Schosser","given":"Alexandra"},{"family":"Seitz","given":"Jochen"},{"family":"Slachtova","given":"Lenka"},{"family":"Slagboom","given":"P. Eline"},{"family":"Slof-Op ‘t Landt","given":"Margarita C. T."},{"family":"Slopien","given":"Agnieszka"},{"family":"Sorbi","given":"Sandro"},{"family":"Świątkowska","given":"Beata"},{"family":"Szatkiewicz","given":"Jin P."},{"family":"Tachmazidou","given":"Ioanna"},{"family":"Tenconi","given":"Elena"},{"family":"Tortorella","given":"Alfonso"},{"family":"Tozzi","given":"Federica"},{"family":"Treasure","given":"Janet"},{"family":"Tsitsika","given":"Artemis"},{"family":"Tyszkiewicz-Nwafor","given":"Marta"},{"family":"Tziouvas","given":"Konstantinos"},{"family":"Elburg","given":"Annemarie A.","non-dropping-particle":"van"},{"family":"Furth","given":"Eric F.","non-dropping-particle":"van"},{"family":"Wagner","given":"Gudrun"},{"family":"Walton","given":"Esther"},{"family":"Widen","given":"Elisabeth"},{"family":"Zeggini","given":"Eleftheria"},{"family":"Zerwas","given":"Stephanie"},{"family":"Zipfel","given":"Stephan"},{"family":"Bergen","given":"Andrew W."},{"family":"Boden","given":"Joseph M."},{"family":"Brandt","given":"Harry"},{"family":"Crawford","given":"Steven"},{"family":"Halmi","given":"Katherine A."},{"family":"Horwood","given":"L. John"},{"family":"Johnson","given":"Craig"},{"family":"Kaplan","given":"Allan S."},{"family":"Kaye","given":"Walter H."},{"family":"Mitchell","given":"James E."},{"family":"Olsen","given":"Catherine M."},{"family":"Pearson","given":"John F."},{"family":"Pedersen","given":"Nancy L."},{"family":"Strober","given":"Michael"},{"family":"Werge","given":"Thomas"},{"family":"Whiteman","given":"David C."},{"family":"Woodside","given":"D. Blake"},{"family":"Stuber","given":"Garret D."},{"family":"Gordon","given":"Scott"},{"family":"Grove","given":"Jakob"},{"family":"Henders","given":"Anjali K."},{"family":"Juréus","given":"Anders"},{"family":"Kirk","given":"Katherine M."},{"family":"Larsen","given":"Janne T."},{"family":"Parker","given":"Richard"},{"family":"Petersen","given":"Liselotte"},{"family":"Jordan","given":"Jennifer"},{"family":"Kennedy","given":"Martin"},{"family":"Montgomery","given":"Grant W."},{"family":"Wade","given":"Tracey D."},{"family":"Birgegård","given":"Andreas"},{"family":"Lichtenstein","given":"Paul"},{"family":"Norring","given":"Claes"},{"family":"Landén","given":"Mikael"},{"family":"Martin","given":"Nicholas G."},{"family":"Mortensen","given":"Preben Bo"},{"family":"Sullivan","given":"Patrick F."},{"family":"Breen","given":"Gerome"},{"family":"Bulik","given":"Cynthia M."}],"accessed":{"date-parts":[["2019",7,24]]},"issued":{"date-parts":[["2019",7,15]]}}}],"schema":"https://github.com/citation-style-language/schema/raw/master/csl-citation.json"} </w:instrText>
      </w:r>
      <w:r w:rsidR="00C22E08" w:rsidRPr="004B4D15">
        <w:rPr>
          <w:rFonts w:ascii="Arial" w:hAnsi="Arial" w:cs="Arial"/>
          <w:sz w:val="22"/>
          <w:szCs w:val="22"/>
        </w:rPr>
        <w:fldChar w:fldCharType="separate"/>
      </w:r>
      <w:r w:rsidR="004B4D15" w:rsidRPr="004B4D15">
        <w:rPr>
          <w:rFonts w:ascii="Arial" w:hAnsi="Arial" w:cs="Arial"/>
          <w:sz w:val="22"/>
          <w:szCs w:val="22"/>
          <w:vertAlign w:val="superscript"/>
        </w:rPr>
        <w:t>14</w:t>
      </w:r>
      <w:r w:rsidR="00C22E08" w:rsidRPr="004B4D15">
        <w:rPr>
          <w:rFonts w:ascii="Arial" w:hAnsi="Arial" w:cs="Arial"/>
          <w:sz w:val="22"/>
          <w:szCs w:val="22"/>
        </w:rPr>
        <w:fldChar w:fldCharType="end"/>
      </w:r>
      <w:r w:rsidR="00C22E08" w:rsidRPr="004B4D15">
        <w:rPr>
          <w:rFonts w:ascii="Arial" w:hAnsi="Arial" w:cs="Arial"/>
          <w:sz w:val="22"/>
          <w:szCs w:val="22"/>
        </w:rPr>
        <w:t xml:space="preserve"> </w:t>
      </w:r>
      <w:r w:rsidR="00B47637" w:rsidRPr="004B4D15">
        <w:rPr>
          <w:rFonts w:ascii="Arial" w:hAnsi="Arial" w:cs="Arial"/>
          <w:sz w:val="22"/>
          <w:szCs w:val="22"/>
        </w:rPr>
        <w:t>In terms of biological mechanisms, b</w:t>
      </w:r>
      <w:r w:rsidRPr="004B4D15">
        <w:rPr>
          <w:rFonts w:ascii="Arial" w:hAnsi="Arial" w:cs="Arial"/>
          <w:sz w:val="22"/>
          <w:szCs w:val="22"/>
        </w:rPr>
        <w:t xml:space="preserve">asic animal and human research </w:t>
      </w:r>
      <w:r w:rsidR="006E27BB" w:rsidRPr="004B4D15">
        <w:rPr>
          <w:rFonts w:ascii="Arial" w:hAnsi="Arial" w:cs="Arial"/>
          <w:sz w:val="22"/>
          <w:szCs w:val="22"/>
        </w:rPr>
        <w:t>indicates</w:t>
      </w:r>
      <w:r w:rsidRPr="004B4D15">
        <w:rPr>
          <w:rFonts w:ascii="Arial" w:hAnsi="Arial" w:cs="Arial"/>
          <w:sz w:val="22"/>
          <w:szCs w:val="22"/>
        </w:rPr>
        <w:t xml:space="preserve"> that </w:t>
      </w:r>
      <w:r w:rsidR="006E27BB" w:rsidRPr="004B4D15">
        <w:rPr>
          <w:rFonts w:ascii="Arial" w:hAnsi="Arial" w:cs="Arial"/>
          <w:sz w:val="22"/>
          <w:szCs w:val="22"/>
        </w:rPr>
        <w:t>physical activity</w:t>
      </w:r>
      <w:r w:rsidRPr="004B4D15">
        <w:rPr>
          <w:rFonts w:ascii="Arial" w:hAnsi="Arial" w:cs="Arial"/>
          <w:sz w:val="22"/>
          <w:szCs w:val="22"/>
        </w:rPr>
        <w:t xml:space="preserve"> can engage neurochemical pathways related to both reward promotion,</w:t>
      </w:r>
      <w:r w:rsidRPr="004B4D15">
        <w:rPr>
          <w:rFonts w:ascii="Arial" w:hAnsi="Arial" w:cs="Arial"/>
          <w:sz w:val="22"/>
          <w:szCs w:val="22"/>
        </w:rPr>
        <w:fldChar w:fldCharType="begin"/>
      </w:r>
      <w:r w:rsidR="004B4D15" w:rsidRPr="004B4D15">
        <w:rPr>
          <w:rFonts w:ascii="Arial" w:hAnsi="Arial" w:cs="Arial"/>
          <w:sz w:val="22"/>
          <w:szCs w:val="22"/>
        </w:rPr>
        <w:instrText xml:space="preserve"> ADDIN ZOTERO_ITEM CSL_CITATION {"citationID":"uTQy4Jo8","properties":{"formattedCitation":"\\super 15,16\\nosupersub{}","plainCitation":"15,16","noteIndex":0},"citationItems":[{"id":12560,"uris":["http://zotero.org/groups/2333417/items/4VGDDVCN"],"uri":["http://zotero.org/groups/2333417/items/4VGDDVCN"],"itemData":{"id":12560,"type":"article-journal","abstract":"by repeated voluntary exercise. It is unknown, however, whether rats find long-term access to running wheels rewarding, or if repeated voluntary exercise reward produces plastic changes in mesolimbic reward neurocircuitry. ...","container-title":"Behav Brain Res","issue":"2","page":"354-362","title":"Long-term voluntary wheel running is rewarding and produces plasticity in the mesolimbic reward pathway","volume":"217","author":[{"family":"Greenwood","given":"B. N."},{"family":"Foley","given":"T. E."},{"family":"Le","given":"T. V."},{"family":"Strong","given":"P. V."},{"family":"Loughridge","given":"A. B."},{"family":"Fleshner","given":"M."}],"issued":{"date-parts":[["2011"]]}}},{"id":12692,"uris":["http://zotero.org/groups/2333417/items/GAY3WC6B"],"uri":["http://zotero.org/groups/2333417/items/GAY3WC6B"],"itemData":{"id":12692,"type":"article-journal","abstract":"The endocannabinoid system is known to have positive effects on depression partly through its actions on neurotrophins, such as Brain-Derived Neurotrophic Factor (BDNF). As BDNF is also considered the major candidate molecule for exercise-induced brain plasticity, we","container-title":"Psychoneuroendicrinology","issue":"6","page":"844-851","title":"Intense exercise increases circulating endocannabinoid and BDNF levels in humans—possible implications for reward and depression","volume":"37","author":[{"family":"Heyman","given":"E."},{"family":"Gamelin","given":"F. X."},{"family":"Goekint","given":"M."},{"family":"Piscitelli","given":"F."},{"family":"Roelands","given":"B."},{"family":"Leclair","given":"E."},{"family":"Di Marzo","given":"V."},{"family":"Meeusen","given":"R."}],"issued":{"date-parts":[["2012"]]}}}],"schema":"https://github.com/citation-style-language/schema/raw/master/csl-citation.json"} </w:instrText>
      </w:r>
      <w:r w:rsidRPr="004B4D15">
        <w:rPr>
          <w:rFonts w:ascii="Arial" w:hAnsi="Arial" w:cs="Arial"/>
          <w:sz w:val="22"/>
          <w:szCs w:val="22"/>
        </w:rPr>
        <w:fldChar w:fldCharType="separate"/>
      </w:r>
      <w:r w:rsidR="004B4D15" w:rsidRPr="004B4D15">
        <w:rPr>
          <w:rFonts w:ascii="Arial" w:hAnsi="Arial" w:cs="Arial"/>
          <w:sz w:val="22"/>
          <w:szCs w:val="22"/>
          <w:vertAlign w:val="superscript"/>
        </w:rPr>
        <w:t>15,16</w:t>
      </w:r>
      <w:r w:rsidRPr="004B4D15">
        <w:rPr>
          <w:rFonts w:ascii="Arial" w:hAnsi="Arial" w:cs="Arial"/>
          <w:sz w:val="22"/>
          <w:szCs w:val="22"/>
        </w:rPr>
        <w:fldChar w:fldCharType="end"/>
      </w:r>
      <w:r w:rsidRPr="004B4D15">
        <w:rPr>
          <w:rFonts w:ascii="Arial" w:hAnsi="Arial" w:cs="Arial"/>
          <w:sz w:val="22"/>
          <w:szCs w:val="22"/>
        </w:rPr>
        <w:t xml:space="preserve"> and threat reduction.</w:t>
      </w:r>
      <w:r w:rsidRPr="004B4D15">
        <w:rPr>
          <w:rFonts w:ascii="Arial" w:hAnsi="Arial" w:cs="Arial"/>
          <w:sz w:val="22"/>
          <w:szCs w:val="22"/>
        </w:rPr>
        <w:fldChar w:fldCharType="begin"/>
      </w:r>
      <w:r w:rsidR="004B4D15" w:rsidRPr="004B4D15">
        <w:rPr>
          <w:rFonts w:ascii="Arial" w:hAnsi="Arial" w:cs="Arial"/>
          <w:sz w:val="22"/>
          <w:szCs w:val="22"/>
        </w:rPr>
        <w:instrText xml:space="preserve"> ADDIN ZOTERO_ITEM CSL_CITATION {"citationID":"Uj7sPqM4","properties":{"formattedCitation":"\\super 17\\uc0\\u8211{}20\\nosupersub{}","plainCitation":"17–20","noteIndex":0},"citationItems":[{"id":12646,"uris":["http://zotero.org/groups/2333417/items/SUEJ86F2"],"uri":["http://zotero.org/groups/2333417/items/SUEJ86F2"],"itemData":{"id":12646,"type":"article-journal","abstract":"Background Anxiety often remains unrecognized or untreated among patients with a chronic illness. Exercise training may help improve anxiety symptoms among patients. We estimated the population effect size for exercise training effects on anxiety and determined whether","container-title":"Arch Intern Med","issue":"4","page":"321-331","title":"The effect of exercise training on anxiety symptoms among patients: A systematic review","volume":"170","author":[{"family":"Herring","given":"M. P."},{"family":"O'Connor","given":"P. J."},{"family":"Dishman","given":"R. K."}],"issued":{"date-parts":[["2010"]]}}},{"id":12654,"uris":["http://zotero.org/groups/2333417/items/2BC7ZFCM"],"uri":["http://zotero.org/groups/2333417/items/2BC7ZFCM"],"itemData":{"id":12654,"type":"article-journal","abstract":"Physical activity reduces the incidence and severity of psychiatric disorders such as anxiety and depression. Similarly, voluntary wheel running produces anxiolytic- and antidepressant-like effects in rodent models. The specific neurobiological mechanisms underlying the beneficial properties of exercise, however, remain unclear. One relevant pharmacological target in the treatment of psychiatric disorders is the 5-HT(2C) receptor (5-HT(2C)R). Consistent with data demonstrating the anxiogenic consequences of 5-HT(2C)R activation in humans and rodents, we have previously reported that site-specific administration of the selective 5-HT(2C)R agonist CP-809101 in the lateral/basolateral amygdala (BLA) increases shock-elicited fear while administration of CP-809101 in the dorsal striatum (DS) interferes with shuttle box escape learning. These findings suggest that activation of 5-HT(2C)R in discrete brain regions contributes to specific anxiety- and depression-like behaviors and may indicate potential brain sites involved in the anxiolytic and antidepressant effects of exercise. The current studies tested the hypothesis that voluntary wheel running reduces the behavioral consequences of 5-HT(2C)R activation in the BLA and DS, specifically enhanced shock-elicited fear and interference with shuttle box escape learning. After 6 weeks of voluntary wheel running or sedentary conditions, the selective 5-HT(2C)R agonist CP-809101 was microinjected into either the BLA or the DS of adult Fischer 344 rats, and shock-elicited fear and shuttle box escape learning was assessed. Additionally, in-situ hybridization was used to determine if 6 weeks of voluntary exercise changed levels of 5-HT(2C)R mRNA. We found that voluntary wheel running reduced the behavioral effects of CP-809101 and reduced levels of 5-HT(2C)R mRNA in both the BLA and the DS. The current data indicate that expression of 5-HT(2C)R mRNA in discrete brain sites is sensitive to physical activity status of the organism, and implicates the 5-HT(2C)R as a target for the beneficial effects of physical activity on mental health.","container-title":"PLoS One","DOI":"10.1371/journal.pone.0046118","ISSN":"1932-6203 (Electronic) 1932-6203 (Linking)","issue":"9","note":"PMCID: PMC3458100","page":"e46118","title":"5-HT2C receptors in the basolateral amygdala and dorsal striatum are a novel target for the anxiolytic and antidepressant effects of exercise","volume":"7","author":[{"family":"Greenwood","given":"B. N."},{"family":"Strong","given":"P. V."},{"family":"Loughridge","given":"A. B."},{"family":"Day","given":"H. E."},{"family":"Clark","given":"P. J."},{"family":"Mika","given":"A."},{"family":"Hellwinkel","given":"J. E."},{"family":"Spence","given":"K. G."},{"family":"Fleshner","given":"M."}],"issued":{"date-parts":[["2012"]]}}},{"id":762,"uris":["http://zotero.org/users/2565677/items/WHVGMAYS"],"uri":["http://zotero.org/users/2565677/items/WHVGMAYS"],"itemData":{"id":762,"type":"article-journal","abstract":"The purpose of this article is to highlight the known and emerging mechanisms that may result in the anxiolytic effects of exercise. ... Similar to the heterogenic nature of the anxiety, no single mechanism suffi- ciently accounts for the anxiolytic nature of exercise. ...","container-title":"Front Psychiatry","page":"27","title":"Effects of exercise and physical activity on anxiety","volume":"4","author":[{"family":"Anderson","given":"E."},{"family":"Shivakumar","given":"G."}],"issued":{"date-parts":[["2013"]]}}},{"id":12662,"uris":["http://zotero.org/groups/2333417/items/T4MLP9X3"],"uri":["http://zotero.org/groups/2333417/items/T4MLP9X3"],"itemData":{"id":12662,"type":"article-journal","abstract":"Research over the past few decades has focused on the therapeutic effects of physical exercise among those affected by mood disorders. Only recently has attention turned to maladaptive and persistent expressions of anxiety, with a growing body of evidence indicating promise for  ...","container-title":"Depress Anxiety","DOI":"10.1002/da.22043","issue":"4","page":"362-373","title":"Let's get physical: a contemporary review of the anxiolytic effects of exercise for anxiety and its disorders","volume":"30","author":[{"family":"Asmundson","given":"G. J. G."},{"family":"Fetzner","given":"M. G."},{"family":"DeBoer","given":"L. B."},{"family":"Otto","given":"M. W."},{"family":"Smits","given":"Jasper A. J."}],"issued":{"date-parts":[["2013"]]}}}],"schema":"https://github.com/citation-style-language/schema/raw/master/csl-citation.json"} </w:instrText>
      </w:r>
      <w:r w:rsidRPr="004B4D15">
        <w:rPr>
          <w:rFonts w:ascii="Arial" w:hAnsi="Arial" w:cs="Arial"/>
          <w:sz w:val="22"/>
          <w:szCs w:val="22"/>
        </w:rPr>
        <w:fldChar w:fldCharType="separate"/>
      </w:r>
      <w:r w:rsidR="004B4D15" w:rsidRPr="004B4D15">
        <w:rPr>
          <w:rFonts w:ascii="Arial" w:hAnsi="Arial" w:cs="Arial"/>
          <w:sz w:val="22"/>
          <w:szCs w:val="22"/>
          <w:vertAlign w:val="superscript"/>
        </w:rPr>
        <w:t>17–20</w:t>
      </w:r>
      <w:r w:rsidRPr="004B4D15">
        <w:rPr>
          <w:rFonts w:ascii="Arial" w:hAnsi="Arial" w:cs="Arial"/>
          <w:sz w:val="22"/>
          <w:szCs w:val="22"/>
        </w:rPr>
        <w:fldChar w:fldCharType="end"/>
      </w:r>
      <w:r w:rsidR="00CC12E2" w:rsidRPr="004B4D15">
        <w:rPr>
          <w:rFonts w:ascii="Arial" w:hAnsi="Arial" w:cs="Arial"/>
          <w:sz w:val="22"/>
          <w:szCs w:val="22"/>
        </w:rPr>
        <w:t xml:space="preserve"> </w:t>
      </w:r>
      <w:r w:rsidR="006E27BB" w:rsidRPr="004B4D15">
        <w:rPr>
          <w:rFonts w:ascii="Arial" w:hAnsi="Arial" w:cs="Arial"/>
          <w:sz w:val="22"/>
          <w:szCs w:val="22"/>
        </w:rPr>
        <w:t xml:space="preserve">For some individuals, engagement of  biological </w:t>
      </w:r>
      <w:r w:rsidRPr="004B4D15">
        <w:rPr>
          <w:rFonts w:ascii="Arial" w:hAnsi="Arial" w:cs="Arial"/>
          <w:sz w:val="22"/>
          <w:szCs w:val="22"/>
        </w:rPr>
        <w:t>mechanisms</w:t>
      </w:r>
      <w:r w:rsidR="006E27BB" w:rsidRPr="004B4D15">
        <w:rPr>
          <w:rFonts w:ascii="Arial" w:hAnsi="Arial" w:cs="Arial"/>
          <w:sz w:val="22"/>
          <w:szCs w:val="22"/>
        </w:rPr>
        <w:t xml:space="preserve">, coupled with psychological factors that reinforce exercise, </w:t>
      </w:r>
      <w:r w:rsidRPr="004B4D15">
        <w:rPr>
          <w:rFonts w:ascii="Arial" w:hAnsi="Arial" w:cs="Arial"/>
          <w:sz w:val="22"/>
          <w:szCs w:val="22"/>
        </w:rPr>
        <w:t xml:space="preserve">may lead to </w:t>
      </w:r>
      <w:r w:rsidR="006E27BB" w:rsidRPr="004B4D15">
        <w:rPr>
          <w:rFonts w:ascii="Arial" w:hAnsi="Arial" w:cs="Arial"/>
          <w:sz w:val="22"/>
          <w:szCs w:val="22"/>
        </w:rPr>
        <w:t>physical activity patterns</w:t>
      </w:r>
      <w:r w:rsidRPr="004B4D15">
        <w:rPr>
          <w:rFonts w:ascii="Arial" w:hAnsi="Arial" w:cs="Arial"/>
          <w:sz w:val="22"/>
          <w:szCs w:val="22"/>
        </w:rPr>
        <w:t xml:space="preserve"> that </w:t>
      </w:r>
      <w:r w:rsidR="006E27BB" w:rsidRPr="004B4D15">
        <w:rPr>
          <w:rFonts w:ascii="Arial" w:hAnsi="Arial" w:cs="Arial"/>
          <w:sz w:val="22"/>
          <w:szCs w:val="22"/>
        </w:rPr>
        <w:t>are</w:t>
      </w:r>
      <w:r w:rsidRPr="004B4D15">
        <w:rPr>
          <w:rFonts w:ascii="Arial" w:hAnsi="Arial" w:cs="Arial"/>
          <w:sz w:val="22"/>
          <w:szCs w:val="22"/>
        </w:rPr>
        <w:t xml:space="preserve"> habitual and compulsive (i.e., DEx).</w:t>
      </w:r>
      <w:r w:rsidRPr="004B4D15">
        <w:rPr>
          <w:rFonts w:ascii="Arial" w:hAnsi="Arial" w:cs="Arial"/>
          <w:sz w:val="22"/>
          <w:szCs w:val="22"/>
        </w:rPr>
        <w:fldChar w:fldCharType="begin"/>
      </w:r>
      <w:r w:rsidR="004B4D15" w:rsidRPr="004B4D15">
        <w:rPr>
          <w:rFonts w:ascii="Arial" w:hAnsi="Arial" w:cs="Arial"/>
          <w:sz w:val="22"/>
          <w:szCs w:val="22"/>
        </w:rPr>
        <w:instrText xml:space="preserve"> ADDIN ZOTERO_ITEM CSL_CITATION {"citationID":"DNErg3IM","properties":{"formattedCitation":"\\super 21\\uc0\\u8211{}30\\nosupersub{}","plainCitation":"21–30","noteIndex":0},"citationItems":[{"id":12671,"uris":["http://zotero.org/groups/2333417/items/2QIDQHF3"],"uri":["http://zotero.org/groups/2333417/items/2QIDQHF3"],"itemData":{"id":12671,"type":"article-journal","abstract":"The high comorbidity between anorexia nervosa (AN) and anxiety disorders is well recognized. AN is a motivated behavioral disorder in which habit formation is likely to contribute to the persistence of abnormal eating and exercise behaviors. Secondary alterations in brain circuitry underlying the reward value of food and exercise, along with disturbances in neuroendocrine hunger and satiety signaling arising from starvation and excessive exercise, are likely contributors to the maintenance of anorectic behaviors in genetically vulnerable individuals. The potential role of fear conditioning in facilitating onset of AN, or of impaired fear extinction in contributing to the high relapse rates observed following weight restoration, is of interest. Evidence from animal models of anxiety and human laboratory studies indicate that low estrogen impairs fear extinction. Low estradiol levels in AN may therefore play a role in perpetuating fear of food and fat in recently weight restored patients. Translational models including the activity based anorexia (ABA) rodent model of AN, and neuroimaging studies of fear extinction and conditioning, could help clarify the underlying molecular mechanisms and neurocircuitry involved in food avoidance behaviors in AN. Moreover, the adaptation of novel treatment interventions with efficacy in anxiety disorders may contribute to the development of new treatments for this impairing disorder.","container-title":"Physiol Behav","DOI":"10.1016/j.physbeh.2015.04.007","ISSN":"0031-9384","page":"466-472","title":"Anorexia nervosa as a motivated behavior: Relevance of anxiety, stress, fear and learning.","volume":"152 (B)","author":[{"family":"Guarda","given":"A. S."},{"family":"Schreyer","given":"C. C."},{"family":"Boersma","given":"G. J."},{"family":"Tamashiro","given":"K. L."},{"family":"Moran","given":"T. H."}],"issued":{"date-parts":[["2015"]]}}},{"id":12553,"uris":["http://zotero.org/groups/2333417/items/W7AF9QP7"],"uri":["http://zotero.org/groups/2333417/items/W7AF9QP7"],"itemData":{"id":12553,"type":"article-journal","abstract":"Anorexia nervosa (AN) and obsessive-compulsive disorder (OCD) are highly comorbid, and appear to share a common neurophysiological dysfunction that contributes to the obsessional thoughts and compulsive behaviours seen in both disorders. Obsessive-compulsive personality (OCP) traits are also important risk factors for AN. Since excessive exercise has also been associated with greater obsessionality, we hypothesised that AN patients with a hyperactive behavioural profile represent a phenotype more closely linked to OCD than their non-exercising counterparts. We examined prospectively 50 female AN-Restrictor patients whom we classified as \"excessive\" or \"non-excessive\" based on their exercise status i) at admission and ii) over the lifetime of their illness. Validated measures of OCD symptoms and OCP traits were obtained at admission and after refeeding at discharge. On both classification methods, excessive exercisers had greater OCD symptoms and OCP traits than the non-excessive group, but did not differ on body mass index. OCD symptoms, but not OCP traits, decreased between admission and discharge. Findings support our prediction that AN patients with excessive physical activity constitute a subtype of the disorder with strong links to OCD. Indeed, this phenotype may be a culture-bound variant of OCD.","container-title":"Psychiatry Res","DOI":"10.1016/j.psychres.2005.11.006","ISSN":"0165-1781 (Print) 0165-1781 (Linking)","issue":"2-3","page":"209-17","title":"Anorexia nervosa with excessive exercise: a phenotype with close links to obsessive-compulsive disorder","volume":"142","author":[{"family":"Davis","given":"C."},{"family":"Kaptein","given":"S."}],"issued":{"date-parts":[["2006",6,15]]}}},{"id":654,"uris":["http://zotero.org/users/2565677/items/R7B65RM5"],"uri":["http://zotero.org/users/2565677/items/R7B65RM5"],"itemData":{"id":654,"type":"chapter","abstract":"Abstract The recent addition of a behavioral addictions category in the Diagnostic and Statistical Manual of Mental Disorders (DSM-5) has provided a framework to examine when behaviors progress from normal to pathologically excessive. Several behaviors that are  ...","collection-title":"Eating Disorders","container-title":"Eating Disorders, Addictions, and Substance Use Disorders","page":"127-144","title":"Exercise addiction and compulsive exercising: Relationship to eating disorders, substance use disorders, and addictive disorders","author":[{"family":"Cook","given":"B."},{"family":"Hausenblas","given":"H."},{"family":"Freimuth","given":"M."}],"issued":{"date-parts":[["2014"]]}}},{"id":12760,"uris":["http://zotero.org/groups/2333417/items/STMKF87G"],"uri":["http://zotero.org/groups/2333417/items/STMKF87G"],"itemData":{"id":12760,"type":"article-journal","abstract":"Abstract Exercise dependence represents a condition in which an individual exercises excessively, often to the detriment of his or her physical and psychological health and wellbeing. Despite substantial investigation of this phenomenon, researchers have only  ...","container-title":"Journal of Contemporary Psychotherapy","ISSN":"0022-0116","page":"231-240","title":"Understanding exercise dependence","volume":"39","author":[{"family":"Adams","given":"Jeremy"}],"issued":{"date-parts":[["2009"]]}}},{"id":476,"uris":["http://zotero.org/users/2565677/items/T4K5TP4E"],"uri":["http://zotero.org/users/2565677/items/T4K5TP4E"],"itemData":{"id":476,"type":"article-journal","abstract":"Theories regarding how exercise can become addictive, and studies of withdrawal from exercise are reviewed. Several physiological mechanisms, including endogenous opioids, catecholamines, and dopamine pathways, have been implicated in exercise dependence. ...","container-title":"Addiction Research &amp; Theory","ISSN":"1476-7392","title":"Excessive exercise as an addiction: A review.","author":[{"family":"Adams","given":"Jeremy"},{"family":"Kirkby","given":"Robert J."}],"issued":{"date-parts":[["2002"]]}}},{"id":12759,"uris":["http://zotero.org/groups/2333417/items/3A9F7LKW"],"uri":["http://zotero.org/groups/2333417/items/3A9F7LKW"],"itemData":{"id":12759,"type":"article-journal","abstract":"Method: Fifty six adult female exercisers were interviewed about their exercise behaviour and attitudes. The eating disorders examination, a semistructured clinical interview, was used to diagnose eating disorders. Interviews were taped, transcribed verbatim, and ...","container-title":"British Journal of Sports Medicine","ISSN":"1473-0480","page":"393-400","title":"Diagnostic criteria for exercise dependence in women","volume":"37","author":[{"family":"Bamber","given":"D. J."},{"family":"Cockerill","given":"Ian M."},{"family":"Rodgers","given":"Sue"},{"family":"Carroll","given":"D."}],"issued":{"date-parts":[["2003"]]}}},{"id":12758,"uris":["http://zotero.org/groups/2333417/items/IQWNDBTX"],"uri":["http://zotero.org/groups/2333417/items/IQWNDBTX"],"itemData":{"id":12758,"type":"article-journal","abstract":"Objective To examine associations among exercise dependence score, amount of physical activity and eating disorder (ED) symptoms in patients with longstanding ED and non-clinical controls. Methods Adult female inpatients (n= 59) and 53 age-matched controls  ...","container-title":"European Eating Disorders Review","DOI":"10.1002/erv.971/pdf","ISSN":"1099-0968","page":"249-255","title":"Exercise dependence score in patients with longstanding eating disorders and controls: the importance of affect regulation and physical activity intensity","volume":"19","author":[{"family":"Bratland Sanda","given":"Solfrid"},{"family":"Martinsen","given":"Egil W."},{"family":"Rosenvinge","given":"Jan H."},{"family":"Rø","given":"Øyvind"},{"family":"Hoffart","given":"Asle"},{"family":"Sundgot Borgen","given":"Jorunn"}],"issued":{"date-parts":[["2011"]]}}},{"id":12757,"uris":["http://zotero.org/groups/2333417/items/BNW5QRXN"],"uri":["http://zotero.org/groups/2333417/items/BNW5QRXN"],"itemData":{"id":12757,"type":"article-journal","abstract":"Whereas several biological abnormalities have been identified in both anorexia (AN) and bulimia nervosa ... Relevant to the auto-addiction theory of the eating disorders is the fact that appetite ... BN (50%) patients are hyperactive during the acute phase of their disorder (Davis et al ...","container-title":"Addict Behav","issue":"4","page":"463-475","title":"The eating disorders as addiction: A psychobiological perspective","volume":"23","author":[{"family":"Davis","given":"C."},{"family":"Claridge","given":"G."}],"issued":{"date-parts":[["1998"]]}}},{"id":12574,"uris":["http://zotero.org/groups/2333417/items/5AI786GX"],"uri":["http://zotero.org/groups/2333417/items/5AI786GX"],"itemData":{"id":12574,"type":"article-journal","abstract":"Summary Physical activity and exercise play critical roles in energy balance. While many interventions targeted at increasing physical activity have demonstrated efficacy in promoting weight loss or maintenance in the short term, long term adherence to such  ...","archive_location":"24034448","container-title":"Obes Rev","DOI":"10.1111/obr.12089","ISSN":"1467-789X","issue":"1","page":"29-39","title":"Genetic factors in exercise adoption, adherence and obesity","volume":"15","author":[{"family":"Herring","given":"MP"},{"family":"Sailors","given":"MH"},{"family":"Bray","given":"MS"}],"issued":{"date-parts":[["2014"]]}}},{"id":12755,"uris":["http://zotero.org/groups/2333417/items/YQH6KJIF"],"uri":["http://zotero.org/groups/2333417/items/YQH6KJIF"],"itemData":{"id":12755,"type":"article-journal","abstract":"Compulsive exercise is a condition described since 1970s. It is characterized by a craving for physical training, resulting in uncontrollable excessive exercise behavior with harmful consequences, such as injuries and impaired social relations. It has not been accepted as a mental disorder in either International Classification of Diseases or Diagnostic and Statistical Manual of Mental Disorders. The aim of this literature review was to critically examine the research on links (comorbidity), risks (negative consequences), and challenges faced (problems in a treatment context). This review found that compulsive exercise is associated with eating disorder pathology, perfectionism, neuroticism, narcissism, and obsessive compulsive traits. The most prominent negative consequences were injuries, social impairment, and depression, but more research is needed to uncover the potential dysfunction resulting from compulsive exercise. As the condition is not recognized as a psychiatric disorder, studies on treatment interventions are sparse. Problems with compliance have been reported; therefore, motivational interviewing has been proposed as a treatment approach, in combination with cognitive behavioral therapy. This review summarizes and discusses findings on links/comorbidity, risks/negative consequences, and treatment challenges. We suggest that future studies should pay attention to both prevention and counseling in sports settings, where compulsive exercise appears, as the condition may be associated with harmful consequences.","container-title":"Psychol Res Behav Manag","DOI":"10.2147/PRBM.S113093","ISSN":"1179-1578","page":"85-95","title":"Compulsive exercise: links, risks and challenges facedent.","volume":"10","author":[{"family":"Lichtenstein","given":"M. B."},{"family":"Hinze","given":"C. J."},{"family":"Emborg","given":"B."},{"family":"Thomsen","given":"F."},{"family":"Hemmingsen","given":"S. D."}],"issued":{"date-parts":[["2017"]]}}}],"schema":"https://github.com/citation-style-language/schema/raw/master/csl-citation.json"} </w:instrText>
      </w:r>
      <w:r w:rsidRPr="004B4D15">
        <w:rPr>
          <w:rFonts w:ascii="Arial" w:hAnsi="Arial" w:cs="Arial"/>
          <w:sz w:val="22"/>
          <w:szCs w:val="22"/>
        </w:rPr>
        <w:fldChar w:fldCharType="separate"/>
      </w:r>
      <w:r w:rsidR="004B4D15" w:rsidRPr="004B4D15">
        <w:rPr>
          <w:rFonts w:ascii="Arial" w:hAnsi="Arial" w:cs="Arial"/>
          <w:sz w:val="22"/>
          <w:szCs w:val="22"/>
          <w:vertAlign w:val="superscript"/>
        </w:rPr>
        <w:t>21–30</w:t>
      </w:r>
      <w:r w:rsidRPr="004B4D15">
        <w:rPr>
          <w:rFonts w:ascii="Arial" w:hAnsi="Arial" w:cs="Arial"/>
          <w:sz w:val="22"/>
          <w:szCs w:val="22"/>
        </w:rPr>
        <w:fldChar w:fldCharType="end"/>
      </w:r>
      <w:r w:rsidRPr="004B4D15">
        <w:rPr>
          <w:rFonts w:ascii="Arial" w:hAnsi="Arial" w:cs="Arial"/>
          <w:sz w:val="22"/>
          <w:szCs w:val="22"/>
        </w:rPr>
        <w:t xml:space="preserve"> </w:t>
      </w:r>
    </w:p>
    <w:p w14:paraId="72461F70" w14:textId="77777777" w:rsidR="0051093D" w:rsidRPr="004B4D15" w:rsidRDefault="0051093D" w:rsidP="0051093D">
      <w:pPr>
        <w:spacing w:beforeLines="80" w:before="192"/>
        <w:contextualSpacing/>
        <w:jc w:val="both"/>
        <w:outlineLvl w:val="0"/>
        <w:rPr>
          <w:rFonts w:ascii="Arial" w:hAnsi="Arial" w:cs="Arial"/>
          <w:b/>
          <w:sz w:val="22"/>
          <w:szCs w:val="22"/>
        </w:rPr>
      </w:pPr>
    </w:p>
    <w:p w14:paraId="4B9B90D1" w14:textId="67DA2263" w:rsidR="00C22E08" w:rsidRPr="004B4D15" w:rsidRDefault="0051093D" w:rsidP="0051093D">
      <w:pPr>
        <w:spacing w:beforeLines="80" w:before="192"/>
        <w:contextualSpacing/>
        <w:jc w:val="both"/>
        <w:outlineLvl w:val="0"/>
        <w:rPr>
          <w:rFonts w:ascii="Arial" w:hAnsi="Arial" w:cs="Arial"/>
          <w:b/>
          <w:sz w:val="22"/>
          <w:szCs w:val="22"/>
        </w:rPr>
      </w:pPr>
      <w:r w:rsidRPr="004B4D15">
        <w:rPr>
          <w:rFonts w:ascii="Arial" w:hAnsi="Arial" w:cs="Arial"/>
          <w:b/>
          <w:sz w:val="22"/>
          <w:szCs w:val="22"/>
        </w:rPr>
        <w:t xml:space="preserve">Enhanced understanding of </w:t>
      </w:r>
      <w:r w:rsidR="00B47637" w:rsidRPr="004B4D15">
        <w:rPr>
          <w:rFonts w:ascii="Arial" w:hAnsi="Arial" w:cs="Arial"/>
          <w:b/>
          <w:sz w:val="22"/>
          <w:szCs w:val="22"/>
        </w:rPr>
        <w:t xml:space="preserve">the etiology of </w:t>
      </w:r>
      <w:r w:rsidRPr="004B4D15">
        <w:rPr>
          <w:rFonts w:ascii="Arial" w:hAnsi="Arial" w:cs="Arial"/>
          <w:b/>
          <w:sz w:val="22"/>
          <w:szCs w:val="22"/>
        </w:rPr>
        <w:t xml:space="preserve">DEx is critical </w:t>
      </w:r>
    </w:p>
    <w:p w14:paraId="02DA983B" w14:textId="27F9831A" w:rsidR="0051093D" w:rsidRPr="004B4D15" w:rsidRDefault="0051093D" w:rsidP="00B47637">
      <w:pPr>
        <w:spacing w:beforeLines="80" w:before="192"/>
        <w:contextualSpacing/>
        <w:jc w:val="both"/>
        <w:outlineLvl w:val="0"/>
        <w:rPr>
          <w:rFonts w:ascii="Arial" w:eastAsia="Times New Roman" w:hAnsi="Arial" w:cs="Arial"/>
          <w:sz w:val="22"/>
          <w:szCs w:val="22"/>
        </w:rPr>
      </w:pPr>
      <w:r w:rsidRPr="004B4D15">
        <w:rPr>
          <w:rFonts w:ascii="Arial" w:hAnsi="Arial" w:cs="Arial"/>
          <w:sz w:val="22"/>
          <w:szCs w:val="22"/>
        </w:rPr>
        <w:t xml:space="preserve">At present, we know relatively little about the etiology of DEx, its relationship to premorbid activity levels, </w:t>
      </w:r>
      <w:r w:rsidR="00B47637" w:rsidRPr="004B4D15">
        <w:rPr>
          <w:rFonts w:ascii="Arial" w:hAnsi="Arial" w:cs="Arial"/>
          <w:sz w:val="22"/>
          <w:szCs w:val="22"/>
        </w:rPr>
        <w:t xml:space="preserve">or whether certain patterns of physical activity are associated with risk for DEx and EDs </w:t>
      </w:r>
      <w:r w:rsidR="00CC12E2" w:rsidRPr="004B4D15">
        <w:rPr>
          <w:rFonts w:ascii="Arial" w:hAnsi="Arial" w:cs="Arial"/>
          <w:sz w:val="22"/>
          <w:szCs w:val="22"/>
        </w:rPr>
        <w:t xml:space="preserve">during </w:t>
      </w:r>
      <w:r w:rsidR="00B47637" w:rsidRPr="004B4D15">
        <w:rPr>
          <w:rFonts w:ascii="Arial" w:hAnsi="Arial" w:cs="Arial"/>
          <w:sz w:val="22"/>
          <w:szCs w:val="22"/>
        </w:rPr>
        <w:t>development</w:t>
      </w:r>
      <w:r w:rsidRPr="004B4D15">
        <w:rPr>
          <w:rFonts w:ascii="Arial" w:hAnsi="Arial" w:cs="Arial"/>
          <w:sz w:val="22"/>
          <w:szCs w:val="22"/>
        </w:rPr>
        <w:t xml:space="preserve">. </w:t>
      </w:r>
      <w:r w:rsidRPr="004B4D15">
        <w:rPr>
          <w:rFonts w:ascii="Arial" w:eastAsia="Times New Roman" w:hAnsi="Arial" w:cs="Arial"/>
          <w:bCs/>
          <w:sz w:val="22"/>
          <w:szCs w:val="22"/>
        </w:rPr>
        <w:t xml:space="preserve">Phenotypic examination of </w:t>
      </w:r>
      <w:r w:rsidR="00B44B32" w:rsidRPr="004B4D15">
        <w:rPr>
          <w:rFonts w:ascii="Arial" w:eastAsia="Times New Roman" w:hAnsi="Arial" w:cs="Arial"/>
          <w:bCs/>
          <w:sz w:val="22"/>
          <w:szCs w:val="22"/>
        </w:rPr>
        <w:t>physical activity</w:t>
      </w:r>
      <w:r w:rsidRPr="004B4D15">
        <w:rPr>
          <w:rFonts w:ascii="Arial" w:eastAsia="Times New Roman" w:hAnsi="Arial" w:cs="Arial"/>
          <w:bCs/>
          <w:sz w:val="22"/>
          <w:szCs w:val="22"/>
        </w:rPr>
        <w:t xml:space="preserve"> trajectories across development in relation to DEx and ED risk will be a key step in understanding DEx risk.</w:t>
      </w:r>
      <w:r w:rsidRPr="004B4D15">
        <w:rPr>
          <w:rFonts w:ascii="Arial" w:eastAsia="Times New Roman" w:hAnsi="Arial" w:cs="Arial"/>
          <w:sz w:val="22"/>
          <w:szCs w:val="22"/>
        </w:rPr>
        <w:t xml:space="preserve"> </w:t>
      </w:r>
      <w:r w:rsidR="00B47637" w:rsidRPr="004B4D15">
        <w:rPr>
          <w:rFonts w:ascii="Arial" w:eastAsia="Times New Roman" w:hAnsi="Arial" w:cs="Arial"/>
          <w:sz w:val="22"/>
          <w:szCs w:val="22"/>
        </w:rPr>
        <w:t xml:space="preserve">To date, </w:t>
      </w:r>
      <w:r w:rsidRPr="004B4D15">
        <w:rPr>
          <w:rFonts w:ascii="Arial" w:eastAsia="Times New Roman" w:hAnsi="Arial" w:cs="Arial"/>
          <w:sz w:val="22"/>
          <w:szCs w:val="22"/>
        </w:rPr>
        <w:t xml:space="preserve">no research has examined </w:t>
      </w:r>
      <w:r w:rsidR="00B44B32" w:rsidRPr="004B4D15">
        <w:rPr>
          <w:rFonts w:ascii="Arial" w:eastAsia="Times New Roman" w:hAnsi="Arial" w:cs="Arial"/>
          <w:sz w:val="22"/>
          <w:szCs w:val="22"/>
        </w:rPr>
        <w:t>physical activity</w:t>
      </w:r>
      <w:r w:rsidRPr="004B4D15">
        <w:rPr>
          <w:rFonts w:ascii="Arial" w:eastAsia="Times New Roman" w:hAnsi="Arial" w:cs="Arial"/>
          <w:sz w:val="22"/>
          <w:szCs w:val="22"/>
        </w:rPr>
        <w:t xml:space="preserve"> </w:t>
      </w:r>
      <w:r w:rsidR="00B44B32" w:rsidRPr="004B4D15">
        <w:rPr>
          <w:rFonts w:ascii="Arial" w:eastAsia="Times New Roman" w:hAnsi="Arial" w:cs="Arial"/>
          <w:sz w:val="22"/>
          <w:szCs w:val="22"/>
        </w:rPr>
        <w:t>levels</w:t>
      </w:r>
      <w:r w:rsidRPr="004B4D15">
        <w:rPr>
          <w:rFonts w:ascii="Arial" w:eastAsia="Times New Roman" w:hAnsi="Arial" w:cs="Arial"/>
          <w:sz w:val="22"/>
          <w:szCs w:val="22"/>
        </w:rPr>
        <w:t xml:space="preserve"> as a </w:t>
      </w:r>
      <w:r w:rsidRPr="004B4D15">
        <w:rPr>
          <w:rFonts w:ascii="Arial" w:eastAsia="Times New Roman" w:hAnsi="Arial" w:cs="Arial"/>
          <w:i/>
          <w:sz w:val="22"/>
          <w:szCs w:val="22"/>
        </w:rPr>
        <w:t>prospective</w:t>
      </w:r>
      <w:r w:rsidRPr="004B4D15">
        <w:rPr>
          <w:rFonts w:ascii="Arial" w:eastAsia="Times New Roman" w:hAnsi="Arial" w:cs="Arial"/>
          <w:sz w:val="22"/>
          <w:szCs w:val="22"/>
        </w:rPr>
        <w:t xml:space="preserve"> risk factor for DEx or ED onset. Adult ED patients with DEx retrospectively report being more physically active as children than those without DEx,</w:t>
      </w:r>
      <w:r w:rsidRPr="004B4D15">
        <w:rPr>
          <w:rFonts w:ascii="Arial" w:eastAsia="Times New Roman" w:hAnsi="Arial" w:cs="Arial"/>
          <w:sz w:val="22"/>
          <w:szCs w:val="22"/>
        </w:rPr>
        <w:fldChar w:fldCharType="begin"/>
      </w:r>
      <w:r w:rsidR="004B4D15" w:rsidRPr="004B4D15">
        <w:rPr>
          <w:rFonts w:ascii="Arial" w:eastAsia="Times New Roman" w:hAnsi="Arial" w:cs="Arial"/>
          <w:sz w:val="22"/>
          <w:szCs w:val="22"/>
        </w:rPr>
        <w:instrText xml:space="preserve"> ADDIN EN.CITE &lt;EndNote&gt;&lt;Cite&gt;&lt;Author&gt;Davis&lt;/Author&gt;&lt;Year&gt;1997&lt;/Year&gt;&lt;RecNum&gt;2497&lt;/RecNum&gt;&lt;DisplayText&gt;(Davis et al., 1997)&lt;/DisplayText&gt;&lt;record&gt;&lt;rec-number&gt;2497&lt;/rec-number&gt;&lt;foreign-keys&gt;&lt;key app="EN" db-id="v9e05ztwazes9qefa5xpsdsx2adsvx29etsz" timestamp="1539747259" guid="283ec79e-f3a9-4fe4-acac-d7c34dff5dac"&gt;2497&lt;/key&gt;&lt;/foreign-keys&gt;&lt;ref-type name="Journal Article"&gt;17&lt;/ref-type&gt;&lt;contributors&gt;&lt;authors&gt;&lt;author&gt;Davis, C&lt;/author&gt;&lt;author&gt;Katzman, DK&lt;/author&gt;&lt;author&gt;Kaptein, S&lt;/author&gt;&lt;author&gt;Kirsh, C&lt;/author&gt;&lt;author&gt;Brewer, H&lt;/author&gt;&lt;author&gt;Kalmbach, K&lt;/author&gt;&lt;author&gt;Olmsted, MP&lt;/author&gt;&lt;author&gt;Woodside, DB&lt;/author&gt;&lt;author&gt;Kaplan, AS&lt;/author&gt;&lt;/authors&gt;&lt;/contributors&gt;&lt;auth-address&gt;Department of Psychiatry, The Toronto Hospital, the Faculty of Medicine, University of Toronto, Ontario, Canada.&lt;/auth-address&gt;&lt;titles&gt;&lt;title&gt;The prevalence of high-level exercise in the eating disorders: Etiological implications.&lt;/title&gt;&lt;secondary-title&gt;Compr Psychiatry&lt;/secondary-title&gt;&lt;/titles&gt;&lt;periodical&gt;&lt;full-title&gt;Compr Psychiatry&lt;/full-title&gt;&lt;/periodical&gt;&lt;pages&gt;321-6&lt;/pages&gt;&lt;volume&gt;38&lt;/volume&gt;&lt;number&gt;6&lt;/number&gt;&lt;dates&gt;&lt;year&gt;1997&lt;/year&gt;&lt;pub-dates&gt;&lt;date&gt;Nov-Dec&lt;/date&gt;&lt;/pub-dates&gt;&lt;/dates&gt;&lt;isbn&gt;0010-440X&lt;/isbn&gt;&lt;accession-num&gt;9406737&lt;/accession-num&gt;&lt;urls&gt;&lt;related-urls&gt;&lt;url&gt;https://www.ncbi.nlm.nih.gov/entrez/query.fcgi?cmd=Retrieve&amp;amp;db=PubMed&amp;amp;dopt=Citation&amp;amp;list_uids=9406737&lt;/url&gt;&lt;url&gt;https://www.sciencedirect.com/science/article/abs/pii/S0010440X97909275?via%3Dihub&lt;/url&gt;&lt;/related-urls&gt;&lt;/urls&gt;&lt;/record&gt;&lt;/Cite&gt;&lt;/EndNote&gt;</w:instrText>
      </w:r>
      <w:r w:rsidRPr="004B4D15">
        <w:rPr>
          <w:rFonts w:ascii="Arial" w:eastAsia="Times New Roman" w:hAnsi="Arial" w:cs="Arial"/>
          <w:sz w:val="22"/>
          <w:szCs w:val="22"/>
        </w:rPr>
        <w:fldChar w:fldCharType="separate"/>
      </w:r>
      <w:r w:rsidR="004B4D15" w:rsidRPr="004B4D15">
        <w:rPr>
          <w:rFonts w:ascii="Arial" w:eastAsia="Times New Roman" w:hAnsi="Arial" w:cs="Arial"/>
          <w:noProof/>
          <w:sz w:val="22"/>
          <w:szCs w:val="22"/>
        </w:rPr>
        <w:t>(Davis et al., 1997)</w:t>
      </w:r>
      <w:r w:rsidRPr="004B4D15">
        <w:rPr>
          <w:rFonts w:ascii="Arial" w:eastAsia="Times New Roman" w:hAnsi="Arial" w:cs="Arial"/>
          <w:sz w:val="22"/>
          <w:szCs w:val="22"/>
        </w:rPr>
        <w:fldChar w:fldCharType="end"/>
      </w:r>
      <w:r w:rsidRPr="004B4D15">
        <w:rPr>
          <w:rFonts w:ascii="Arial" w:eastAsia="Times New Roman" w:hAnsi="Arial" w:cs="Arial"/>
          <w:sz w:val="22"/>
          <w:szCs w:val="22"/>
        </w:rPr>
        <w:t xml:space="preserve"> and evaluation of </w:t>
      </w:r>
      <w:r w:rsidR="00B44B32" w:rsidRPr="004B4D15">
        <w:rPr>
          <w:rFonts w:ascii="Arial" w:eastAsia="Times New Roman" w:hAnsi="Arial" w:cs="Arial"/>
          <w:sz w:val="22"/>
          <w:szCs w:val="22"/>
        </w:rPr>
        <w:t>physical activity patters</w:t>
      </w:r>
      <w:r w:rsidRPr="004B4D15">
        <w:rPr>
          <w:rFonts w:ascii="Arial" w:eastAsia="Times New Roman" w:hAnsi="Arial" w:cs="Arial"/>
          <w:sz w:val="22"/>
          <w:szCs w:val="22"/>
        </w:rPr>
        <w:t xml:space="preserve"> in an epidemiological sample will aid in determining whether very high levels of or changes in </w:t>
      </w:r>
      <w:r w:rsidR="00B44B32" w:rsidRPr="004B4D15">
        <w:rPr>
          <w:rFonts w:ascii="Arial" w:eastAsia="Times New Roman" w:hAnsi="Arial" w:cs="Arial"/>
          <w:sz w:val="22"/>
          <w:szCs w:val="22"/>
        </w:rPr>
        <w:t>physical activity</w:t>
      </w:r>
      <w:r w:rsidRPr="004B4D15">
        <w:rPr>
          <w:rFonts w:ascii="Arial" w:eastAsia="Times New Roman" w:hAnsi="Arial" w:cs="Arial"/>
          <w:sz w:val="22"/>
          <w:szCs w:val="22"/>
        </w:rPr>
        <w:t xml:space="preserve"> patterns associate with DEx and ED risk. If certain </w:t>
      </w:r>
      <w:r w:rsidR="00B44B32" w:rsidRPr="004B4D15">
        <w:rPr>
          <w:rFonts w:ascii="Arial" w:eastAsia="Times New Roman" w:hAnsi="Arial" w:cs="Arial"/>
          <w:sz w:val="22"/>
          <w:szCs w:val="22"/>
        </w:rPr>
        <w:t xml:space="preserve">physical activity </w:t>
      </w:r>
      <w:r w:rsidRPr="004B4D15">
        <w:rPr>
          <w:rFonts w:ascii="Arial" w:eastAsia="Times New Roman" w:hAnsi="Arial" w:cs="Arial"/>
          <w:sz w:val="22"/>
          <w:szCs w:val="22"/>
        </w:rPr>
        <w:t>trajectories associate with higher risk for DEx and/or EDs, this may indicate that vigilance for increased activity patterns could aid in early risk identification.</w:t>
      </w:r>
    </w:p>
    <w:p w14:paraId="09472A4E" w14:textId="77777777" w:rsidR="00B47637" w:rsidRPr="004B4D15" w:rsidRDefault="00B47637" w:rsidP="00B47637">
      <w:pPr>
        <w:spacing w:beforeLines="80" w:before="192"/>
        <w:contextualSpacing/>
        <w:jc w:val="both"/>
        <w:outlineLvl w:val="0"/>
        <w:rPr>
          <w:rFonts w:ascii="Arial" w:hAnsi="Arial" w:cs="Arial"/>
          <w:b/>
          <w:sz w:val="22"/>
          <w:szCs w:val="22"/>
        </w:rPr>
      </w:pPr>
    </w:p>
    <w:p w14:paraId="25456FB2" w14:textId="0BE8E128" w:rsidR="0051093D" w:rsidRPr="004B4D15" w:rsidRDefault="00B47637" w:rsidP="00A84730">
      <w:pPr>
        <w:pStyle w:val="p1"/>
        <w:rPr>
          <w:b/>
          <w:iCs/>
          <w:sz w:val="22"/>
          <w:szCs w:val="22"/>
        </w:rPr>
      </w:pPr>
      <w:r w:rsidRPr="004B4D15">
        <w:rPr>
          <w:b/>
          <w:iCs/>
          <w:sz w:val="22"/>
          <w:szCs w:val="22"/>
        </w:rPr>
        <w:t>Current Study</w:t>
      </w:r>
    </w:p>
    <w:p w14:paraId="1893A8EC" w14:textId="6CAD8D68" w:rsidR="009971DF" w:rsidRPr="004B4D15" w:rsidRDefault="00CC12E2" w:rsidP="00B47637">
      <w:pPr>
        <w:pStyle w:val="p1"/>
        <w:rPr>
          <w:bCs/>
          <w:iCs/>
          <w:sz w:val="22"/>
          <w:szCs w:val="22"/>
        </w:rPr>
      </w:pPr>
      <w:r w:rsidRPr="004B4D15">
        <w:rPr>
          <w:bCs/>
          <w:iCs/>
          <w:sz w:val="22"/>
          <w:szCs w:val="22"/>
        </w:rPr>
        <w:lastRenderedPageBreak/>
        <w:t xml:space="preserve">The present study aims to characterize physical activity patterns and their associations with DEx and eating disorder risk in a large, epidemiological sample, </w:t>
      </w:r>
      <w:r w:rsidR="00B44B32" w:rsidRPr="004B4D15">
        <w:rPr>
          <w:bCs/>
          <w:iCs/>
          <w:sz w:val="22"/>
          <w:szCs w:val="22"/>
        </w:rPr>
        <w:t xml:space="preserve">with </w:t>
      </w:r>
      <w:r w:rsidRPr="004B4D15">
        <w:rPr>
          <w:bCs/>
          <w:iCs/>
          <w:sz w:val="22"/>
          <w:szCs w:val="22"/>
        </w:rPr>
        <w:t xml:space="preserve">followed from </w:t>
      </w:r>
      <w:r w:rsidR="00B44B32" w:rsidRPr="004B4D15">
        <w:rPr>
          <w:bCs/>
          <w:iCs/>
          <w:sz w:val="22"/>
          <w:szCs w:val="22"/>
        </w:rPr>
        <w:t>late</w:t>
      </w:r>
      <w:r w:rsidRPr="004B4D15">
        <w:rPr>
          <w:bCs/>
          <w:iCs/>
          <w:sz w:val="22"/>
          <w:szCs w:val="22"/>
        </w:rPr>
        <w:t xml:space="preserve"> childhood through early adulthood. We will characterize physical activity trajectories and determine if these trajectories associate with a) the symptom of DEx and b) odds of other eating disorder symptoms and eating disorder diagnoses over time. We hypothesize that </w:t>
      </w:r>
      <w:r w:rsidR="00A84730" w:rsidRPr="004B4D15">
        <w:rPr>
          <w:sz w:val="22"/>
          <w:szCs w:val="22"/>
        </w:rPr>
        <w:t xml:space="preserve">Several </w:t>
      </w:r>
      <w:r w:rsidR="00B44B32" w:rsidRPr="004B4D15">
        <w:rPr>
          <w:sz w:val="22"/>
          <w:szCs w:val="22"/>
        </w:rPr>
        <w:t>physical activity</w:t>
      </w:r>
      <w:r w:rsidR="00A84730" w:rsidRPr="004B4D15">
        <w:rPr>
          <w:sz w:val="22"/>
          <w:szCs w:val="22"/>
        </w:rPr>
        <w:t xml:space="preserve"> trajectories will emerge (e.g., stable low, stable high, increasing during adolescence). </w:t>
      </w:r>
      <w:r w:rsidRPr="004B4D15">
        <w:rPr>
          <w:sz w:val="22"/>
          <w:szCs w:val="22"/>
        </w:rPr>
        <w:t xml:space="preserve">Further, we expect that trajectories </w:t>
      </w:r>
      <w:r w:rsidR="00A84730" w:rsidRPr="004B4D15">
        <w:rPr>
          <w:sz w:val="22"/>
          <w:szCs w:val="22"/>
        </w:rPr>
        <w:t xml:space="preserve">involving high levels of </w:t>
      </w:r>
      <w:r w:rsidR="00B44B32" w:rsidRPr="004B4D15">
        <w:rPr>
          <w:sz w:val="22"/>
          <w:szCs w:val="22"/>
        </w:rPr>
        <w:t>physical activity</w:t>
      </w:r>
      <w:r w:rsidR="00A84730" w:rsidRPr="004B4D15">
        <w:rPr>
          <w:sz w:val="22"/>
          <w:szCs w:val="22"/>
        </w:rPr>
        <w:t xml:space="preserve"> in </w:t>
      </w:r>
      <w:r w:rsidR="00B44B32" w:rsidRPr="004B4D15">
        <w:rPr>
          <w:sz w:val="22"/>
          <w:szCs w:val="22"/>
        </w:rPr>
        <w:t xml:space="preserve">late </w:t>
      </w:r>
      <w:r w:rsidR="00A84730" w:rsidRPr="004B4D15">
        <w:rPr>
          <w:sz w:val="22"/>
          <w:szCs w:val="22"/>
        </w:rPr>
        <w:t xml:space="preserve">childhood </w:t>
      </w:r>
      <w:r w:rsidR="00B44B32" w:rsidRPr="004B4D15">
        <w:rPr>
          <w:sz w:val="22"/>
          <w:szCs w:val="22"/>
        </w:rPr>
        <w:t>through</w:t>
      </w:r>
      <w:r w:rsidR="00A84730" w:rsidRPr="004B4D15">
        <w:rPr>
          <w:sz w:val="22"/>
          <w:szCs w:val="22"/>
        </w:rPr>
        <w:t xml:space="preserve"> early adolescence will associate with both DEx and ED risk in adolescence.</w:t>
      </w:r>
    </w:p>
    <w:p w14:paraId="71E1FE45" w14:textId="77777777" w:rsidR="00A84730" w:rsidRPr="004B4D15" w:rsidRDefault="00A84730">
      <w:pPr>
        <w:rPr>
          <w:rFonts w:ascii="Arial" w:hAnsi="Arial" w:cs="Arial"/>
          <w:sz w:val="22"/>
          <w:szCs w:val="22"/>
        </w:rPr>
      </w:pPr>
    </w:p>
    <w:p w14:paraId="37CF49D4" w14:textId="77777777" w:rsidR="00CC12E2" w:rsidRPr="004B4D15" w:rsidRDefault="00A84730" w:rsidP="00CC12E2">
      <w:pPr>
        <w:tabs>
          <w:tab w:val="left" w:pos="4320"/>
        </w:tabs>
        <w:spacing w:after="120"/>
        <w:jc w:val="center"/>
        <w:rPr>
          <w:rFonts w:ascii="Arial" w:hAnsi="Arial" w:cs="Arial"/>
          <w:color w:val="000000" w:themeColor="text1"/>
          <w:sz w:val="22"/>
          <w:szCs w:val="22"/>
        </w:rPr>
      </w:pPr>
      <w:r w:rsidRPr="004B4D15">
        <w:rPr>
          <w:rFonts w:ascii="Arial" w:hAnsi="Arial" w:cs="Arial"/>
          <w:b/>
          <w:sz w:val="22"/>
          <w:szCs w:val="22"/>
        </w:rPr>
        <w:t>Method</w:t>
      </w:r>
      <w:r w:rsidRPr="004B4D15">
        <w:rPr>
          <w:rFonts w:ascii="Arial" w:hAnsi="Arial" w:cs="Arial"/>
          <w:sz w:val="22"/>
          <w:szCs w:val="22"/>
        </w:rPr>
        <w:br/>
      </w:r>
    </w:p>
    <w:p w14:paraId="6C322922" w14:textId="77777777" w:rsidR="001D53C7" w:rsidRPr="004B4D15" w:rsidRDefault="00CC12E2" w:rsidP="001D53C7">
      <w:pPr>
        <w:tabs>
          <w:tab w:val="left" w:pos="4320"/>
        </w:tabs>
        <w:spacing w:after="120"/>
        <w:rPr>
          <w:rFonts w:ascii="Arial" w:hAnsi="Arial" w:cs="Arial"/>
          <w:b/>
          <w:bCs/>
          <w:color w:val="000000" w:themeColor="text1"/>
          <w:sz w:val="22"/>
          <w:szCs w:val="22"/>
        </w:rPr>
      </w:pPr>
      <w:r w:rsidRPr="004B4D15">
        <w:rPr>
          <w:rFonts w:ascii="Arial" w:hAnsi="Arial" w:cs="Arial"/>
          <w:b/>
          <w:bCs/>
          <w:color w:val="000000" w:themeColor="text1"/>
          <w:sz w:val="22"/>
          <w:szCs w:val="22"/>
        </w:rPr>
        <w:t>Participants</w:t>
      </w:r>
    </w:p>
    <w:p w14:paraId="553953BB" w14:textId="181E1251" w:rsidR="00BD2CE1" w:rsidRPr="004B4D15" w:rsidRDefault="00BD2CE1" w:rsidP="004B4D15">
      <w:pPr>
        <w:tabs>
          <w:tab w:val="left" w:pos="4320"/>
        </w:tabs>
        <w:spacing w:after="120"/>
        <w:rPr>
          <w:rFonts w:ascii="Arial" w:hAnsi="Arial" w:cs="Arial"/>
          <w:bCs/>
          <w:color w:val="000000" w:themeColor="text1"/>
          <w:sz w:val="22"/>
          <w:szCs w:val="22"/>
        </w:rPr>
      </w:pPr>
      <w:r w:rsidRPr="004B4D15">
        <w:rPr>
          <w:rFonts w:ascii="Arial" w:hAnsi="Arial" w:cs="Arial"/>
          <w:color w:val="000000" w:themeColor="text1"/>
          <w:sz w:val="22"/>
          <w:szCs w:val="22"/>
        </w:rPr>
        <w:t xml:space="preserve">The present study includes participants from The Avon Longitudinal Study of Parents and Children (ALSPAC). </w:t>
      </w:r>
      <w:r w:rsidR="001D53C7" w:rsidRPr="004B4D15">
        <w:rPr>
          <w:rFonts w:ascii="Arial" w:hAnsi="Arial" w:cs="Arial"/>
          <w:b/>
          <w:sz w:val="22"/>
          <w:szCs w:val="22"/>
        </w:rPr>
        <w:t xml:space="preserve"> </w:t>
      </w:r>
      <w:r w:rsidR="001D53C7" w:rsidRPr="001171D3">
        <w:rPr>
          <w:rFonts w:ascii="Arial" w:hAnsi="Arial" w:cs="Arial"/>
          <w:sz w:val="22"/>
          <w:szCs w:val="22"/>
        </w:rPr>
        <w:t>ALSPAC is an</w:t>
      </w:r>
      <w:r w:rsidR="000B4BAB" w:rsidRPr="004B4D15">
        <w:rPr>
          <w:rFonts w:ascii="Arial" w:hAnsi="Arial" w:cs="Arial"/>
          <w:color w:val="000000" w:themeColor="text1"/>
          <w:sz w:val="22"/>
          <w:szCs w:val="22"/>
        </w:rPr>
        <w:t xml:space="preserve"> epidemiological, longitudinal study of mothers and their children</w:t>
      </w:r>
      <w:r w:rsidR="001D53C7" w:rsidRPr="004B4D15">
        <w:rPr>
          <w:rFonts w:ascii="Arial" w:hAnsi="Arial" w:cs="Arial"/>
          <w:color w:val="000000" w:themeColor="text1"/>
          <w:sz w:val="22"/>
          <w:szCs w:val="22"/>
        </w:rPr>
        <w:t xml:space="preserve"> </w:t>
      </w:r>
      <w:r w:rsidR="004B4D15" w:rsidRPr="004B4D15">
        <w:rPr>
          <w:rFonts w:ascii="Arial" w:hAnsi="Arial" w:cs="Arial"/>
          <w:color w:val="000000" w:themeColor="text1"/>
          <w:sz w:val="22"/>
          <w:szCs w:val="22"/>
        </w:rPr>
        <w:fldChar w:fldCharType="begin"/>
      </w:r>
      <w:r w:rsidR="004B4D15" w:rsidRPr="004B4D15">
        <w:rPr>
          <w:rFonts w:ascii="Arial" w:hAnsi="Arial" w:cs="Arial"/>
          <w:color w:val="000000" w:themeColor="text1"/>
          <w:sz w:val="22"/>
          <w:szCs w:val="22"/>
        </w:rPr>
        <w:instrText xml:space="preserve"> ADDIN ZOTERO_ITEM CSL_CITATION {"citationID":"ADGiXdSX","properties":{"formattedCitation":"\\super 31\\uc0\\u8211{}33\\nosupersub{}","plainCitation":"31–33","noteIndex":0},"citationItems":[{"id":2531,"uris":["http://zotero.org/users/2565677/items/I2R4P64U"],"uri":["http://zotero.org/users/2565677/items/I2R4P64U"],"itemData":{"id":2531,"type":"article-journal","abstract":"The Avon Longitudinal Study of Parents and Children (ALSPAC) is a transgenerational prospective observational study investigating influences on health and development across the life course. It considers multiple genetic, epigenetic, biological, psychological, social and other environmental exposures in relation to a similarly diverse range of health, social and developmental outcomes. Recruitment sought to enroll pregnant women in the Bristol area of the UK during 1990-92; this was extended to include additional children eligible using the original enrollment definition up to the age of 18 years. The children from 14541 pregnancies were recruited in 1990-92, increasing to 15247 pregnancies by the age of 18 years. This cohort profile describes the index children of these pregnancies. Follow-up includes 59 questionnaires (4 weeks-18 years of age) and 9 clinical assessment visits (7-17 years of age). The resource comprises a wide range of phenotypic and environmental measures in addition to biological samples, genetic (DNA on 11343 children, genome-wide data on 8365 children, complete genome sequencing on 2000 children) and epigenetic (methylation sampling on 1000 children) information and linkage to health and administrative records. Data access is described in this article and is currently set up as a supported access resource. To date, over 700 peer-reviewed articles have been published using ALSPAC data.","container-title":"Int J Epidemiol","DOI":"10.1093/ije/dys064","ISSN":"0300-5771","issue":"1","page":"111-27","title":"Cohort Profile: the 'children of the 90s'--the index offspring of the Avon Longitudinal Study of Parents and Children.","volume":"42","author":[{"family":"Boyd","given":"A."},{"family":"Golding","given":"J."},{"family":"Macleod","given":"J."},{"family":"Lawlor","given":"D. A."},{"family":"Fraser","given":"A."},{"family":"Henderson","given":"J."},{"family":"Molloy","given":"L."},{"family":"Ness","given":"A."},{"family":"Ring","given":"S."},{"family":"Davey Smith","given":"G."}],"issued":{"date-parts":[["2013",2]]}}},{"id":13331,"uris":["http://zotero.org/users/2565677/items/6THBRPQN"],"uri":["http://zotero.org/users/2565677/items/6THBRPQN"],"itemData":{"id":13331,"type":"article-journal","abstract":"Summary The Avon Longitudinal Study of Children and Parents (ALSPAC) was\nestablished to understand how genetic and environmental characteristics influence health\nand development in parents and children. All pregnant women resident in a defined area in\nthe South West of England, with an expected date of delivery between 1st April 1991 and\n31st December 1992, were eligible and 13 761 women (contributing 13 867\npregnancies) were recruited. These women have been followed over the last 19–22\nyears and have completed up to 20 questionnaires, have had detailed data abstracted from\ntheir medical records and have information on any cancer diagnoses and deaths through\nrecord linkage. A follow-up assessment was completed 17–18 years postnatal at which\nanthropometry, blood pressure, fat, lean and bone mass and carotid intima media thickness\nwere assessed, and a fasting blood sample taken. The second follow-up clinic, which\nadditionally measures cognitive function, physical capability, physical activity (with\naccelerometer) and wrist bone architecture, is underway and two further assessments with\nsimilar measurements will take place over the next 5 years. There is a detailed biobank\nthat includes DNA, with genome-wide data available on &gt;10 000, stored serum and\nplasma taken repeatedly since pregnancy and other samples; a wide range of data on\ncompleted biospecimen assays are available. Details of how to access these data are\nprovided in this cohort profile.","container-title":"International Journal of Epidemiology","DOI":"10.1093/ije/dys066","ISSN":"0300-5771","issue":"1","journalAbbreviation":"Int J Epidemiol","note":"PMID: 22507742\nPMCID: PMC3600619","page":"97-110","source":"PubMed Central","title":"Cohort Profile: The Avon Longitudinal Study of Parents and Children: ALSPAC mothers cohort","title-short":"Cohort Profile","volume":"42","author":[{"family":"Fraser","given":"Abigail"},{"family":"Macdonald-Wallis","given":"Corrie"},{"family":"Tilling","given":"Kate"},{"family":"Boyd","given":"Andy"},{"family":"Golding","given":"Jean"},{"family":"Davey Smith","given":"George"},{"family":"Henderson","given":"John"},{"family":"Macleod","given":"John"},{"family":"Molloy","given":"Lynn"},{"family":"Ness","given":"Andy"},{"family":"Ring","given":"Susan"},{"family":"Nelson","given":"Scott M"},{"family":"Lawlor","given":"Debbie A"}],"issued":{"date-parts":[["2013",2]]}}},{"id":1029,"uris":["http://zotero.org/users/2565677/items/FPGCSLSA"],"uri":["http://zotero.org/users/2565677/items/FPGCSLSA"],"itemData":{"id":1029,"type":"article-journal","abstract":"ALSPAC (The Avon Longitudinal Study of Parents and Children, formerly the Avon Longitudinal Study of Pregnancy and Childhood) was specifically designed to determine ways in which the individual's genotype combines with environmental pressures to influence health and development. To date, there are comprehensive data on approximately 10,000 children and their parents, from early pregnancy until the children are aged between 8 and 9. The study aims to continue to collect detailed data on the children as they go through puberty noting, in particular, changes in anthropometry, attitudes and behaviour, fitness and other cardiovascular risk factors, bone mineralisation, allergic symptoms and mental health. The study started early during pregnancy and collected very detailed data from the mother and her partner before the child was born. This not only provided accurate data on concurrent features, especially medication, symptoms, diet and lifestyle, attitudes and behaviour, social and environmental features, but was unbiased by parental knowledge of any problems that the child might develop. From the time of the child's birth many different aspects of the child's environment have been monitored and a wide range of phenotypic data collected. By virtue of being based in one geographic area, linkage to medical and educational records is relatively simple, and hands-on assessments of children and parents using local facilities has the advantage of high quality control. The comprehensiveness of the ALSPAC approach with a total population sample unselected by disease status, and the availability of parental genotypes, provides an adequate sample for statistical analysis and for avoiding spurious results. The study has an open policy in regard to collaboration within strict confidentiality rules.","container-title":"Paediatr Perinat Epidemiol","ISSN":"0269-5022","issue":"1","page":"74-87","title":"ALSPAC--the Avon Longitudinal Study of Parents and Children. I. Study methodology.","volume":"15","author":[{"family":"Golding","given":"J."},{"family":"Pembrey","given":"M."},{"family":"Jones","given":"R."},{"family":"ALSPAC","given":"Study Team"}],"issued":{"date-parts":[["2001",1]]}}}],"schema":"https://github.com/citation-style-language/schema/raw/master/csl-citation.json"} </w:instrText>
      </w:r>
      <w:r w:rsidR="004B4D15" w:rsidRPr="004B4D15">
        <w:rPr>
          <w:rFonts w:ascii="Arial" w:hAnsi="Arial" w:cs="Arial"/>
          <w:color w:val="000000" w:themeColor="text1"/>
          <w:sz w:val="22"/>
          <w:szCs w:val="22"/>
        </w:rPr>
        <w:fldChar w:fldCharType="separate"/>
      </w:r>
      <w:r w:rsidR="004B4D15" w:rsidRPr="004B4D15">
        <w:rPr>
          <w:rFonts w:ascii="Arial" w:hAnsi="Arial" w:cs="Arial"/>
          <w:color w:val="000000"/>
          <w:sz w:val="22"/>
          <w:szCs w:val="22"/>
          <w:vertAlign w:val="superscript"/>
        </w:rPr>
        <w:t>31–33</w:t>
      </w:r>
      <w:r w:rsidR="004B4D15" w:rsidRPr="004B4D15">
        <w:rPr>
          <w:rFonts w:ascii="Arial" w:hAnsi="Arial" w:cs="Arial"/>
          <w:color w:val="000000" w:themeColor="text1"/>
          <w:sz w:val="22"/>
          <w:szCs w:val="22"/>
        </w:rPr>
        <w:fldChar w:fldCharType="end"/>
      </w:r>
      <w:r w:rsidR="000B4BAB" w:rsidRPr="004B4D15">
        <w:rPr>
          <w:rFonts w:ascii="Arial" w:hAnsi="Arial" w:cs="Arial"/>
          <w:color w:val="000000" w:themeColor="text1"/>
          <w:sz w:val="22"/>
          <w:szCs w:val="22"/>
        </w:rPr>
        <w:t xml:space="preserve"> Women who were expecting to deliver a child between 1</w:t>
      </w:r>
      <w:r w:rsidR="000B4BAB" w:rsidRPr="004B4D15">
        <w:rPr>
          <w:rFonts w:ascii="Arial" w:hAnsi="Arial" w:cs="Arial"/>
          <w:color w:val="000000" w:themeColor="text1"/>
          <w:sz w:val="22"/>
          <w:szCs w:val="22"/>
          <w:vertAlign w:val="superscript"/>
        </w:rPr>
        <w:t>st</w:t>
      </w:r>
      <w:r w:rsidR="000B4BAB" w:rsidRPr="004B4D15">
        <w:rPr>
          <w:rFonts w:ascii="Arial" w:hAnsi="Arial" w:cs="Arial"/>
          <w:color w:val="000000" w:themeColor="text1"/>
          <w:sz w:val="22"/>
          <w:szCs w:val="22"/>
        </w:rPr>
        <w:t xml:space="preserve"> April 1991 and 31</w:t>
      </w:r>
      <w:r w:rsidR="000B4BAB" w:rsidRPr="004B4D15">
        <w:rPr>
          <w:rFonts w:ascii="Arial" w:hAnsi="Arial" w:cs="Arial"/>
          <w:color w:val="000000" w:themeColor="text1"/>
          <w:sz w:val="22"/>
          <w:szCs w:val="22"/>
          <w:vertAlign w:val="superscript"/>
        </w:rPr>
        <w:t>st</w:t>
      </w:r>
      <w:r w:rsidR="000B4BAB" w:rsidRPr="004B4D15">
        <w:rPr>
          <w:rFonts w:ascii="Arial" w:hAnsi="Arial" w:cs="Arial"/>
          <w:color w:val="000000" w:themeColor="text1"/>
          <w:sz w:val="22"/>
          <w:szCs w:val="22"/>
        </w:rPr>
        <w:t xml:space="preserve"> December 1992 in Avon, UK were invited to take part in the study. Interested expectant mothers provided informed and written consent. Children (</w:t>
      </w:r>
      <w:r w:rsidR="000B4BAB" w:rsidRPr="004B4D15">
        <w:rPr>
          <w:rFonts w:ascii="Arial" w:hAnsi="Arial" w:cs="Arial"/>
          <w:i/>
          <w:iCs/>
          <w:color w:val="000000" w:themeColor="text1"/>
          <w:sz w:val="22"/>
          <w:szCs w:val="22"/>
        </w:rPr>
        <w:t>n</w:t>
      </w:r>
      <w:r w:rsidR="000B4BAB" w:rsidRPr="004B4D15">
        <w:rPr>
          <w:rFonts w:ascii="Arial" w:hAnsi="Arial" w:cs="Arial"/>
          <w:iCs/>
          <w:color w:val="000000" w:themeColor="text1"/>
          <w:sz w:val="22"/>
          <w:szCs w:val="22"/>
        </w:rPr>
        <w:t xml:space="preserve"> </w:t>
      </w:r>
      <w:r w:rsidR="000B4BAB" w:rsidRPr="004B4D15">
        <w:rPr>
          <w:rFonts w:ascii="Arial" w:hAnsi="Arial" w:cs="Arial"/>
          <w:color w:val="000000" w:themeColor="text1"/>
          <w:sz w:val="22"/>
          <w:szCs w:val="22"/>
        </w:rPr>
        <w:t>= 14,062) from 14,451 pregnancies were enrolled; at one year, 13,988 children were alive. At seven years, 713 additional children were enrolled in the cohort</w:t>
      </w:r>
      <w:r w:rsidR="004B4D15" w:rsidRPr="004B4D15">
        <w:rPr>
          <w:rFonts w:ascii="Arial" w:hAnsi="Arial" w:cs="Arial"/>
          <w:color w:val="000000" w:themeColor="text1"/>
          <w:sz w:val="22"/>
          <w:szCs w:val="22"/>
        </w:rPr>
        <w:fldChar w:fldCharType="begin"/>
      </w:r>
      <w:r w:rsidR="004B4D15" w:rsidRPr="004B4D15">
        <w:rPr>
          <w:rFonts w:ascii="Arial" w:hAnsi="Arial" w:cs="Arial"/>
          <w:color w:val="000000" w:themeColor="text1"/>
          <w:sz w:val="22"/>
          <w:szCs w:val="22"/>
        </w:rPr>
        <w:instrText xml:space="preserve"> ADDIN ZOTERO_ITEM CSL_CITATION {"citationID":"EqnrCYMT","properties":{"formattedCitation":"\\super 31\\nosupersub{}","plainCitation":"31","noteIndex":0},"citationItems":[{"id":2531,"uris":["http://zotero.org/users/2565677/items/I2R4P64U"],"uri":["http://zotero.org/users/2565677/items/I2R4P64U"],"itemData":{"id":2531,"type":"article-journal","abstract":"The Avon Longitudinal Study of Parents and Children (ALSPAC) is a transgenerational prospective observational study investigating influences on health and development across the life course. It considers multiple genetic, epigenetic, biological, psychological, social and other environmental exposures in relation to a similarly diverse range of health, social and developmental outcomes. Recruitment sought to enroll pregnant women in the Bristol area of the UK during 1990-92; this was extended to include additional children eligible using the original enrollment definition up to the age of 18 years. The children from 14541 pregnancies were recruited in 1990-92, increasing to 15247 pregnancies by the age of 18 years. This cohort profile describes the index children of these pregnancies. Follow-up includes 59 questionnaires (4 weeks-18 years of age) and 9 clinical assessment visits (7-17 years of age). The resource comprises a wide range of phenotypic and environmental measures in addition to biological samples, genetic (DNA on 11343 children, genome-wide data on 8365 children, complete genome sequencing on 2000 children) and epigenetic (methylation sampling on 1000 children) information and linkage to health and administrative records. Data access is described in this article and is currently set up as a supported access resource. To date, over 700 peer-reviewed articles have been published using ALSPAC data.","container-title":"Int J Epidemiol","DOI":"10.1093/ije/dys064","ISSN":"0300-5771","issue":"1","page":"111-27","title":"Cohort Profile: the 'children of the 90s'--the index offspring of the Avon Longitudinal Study of Parents and Children.","volume":"42","author":[{"family":"Boyd","given":"A."},{"family":"Golding","given":"J."},{"family":"Macleod","given":"J."},{"family":"Lawlor","given":"D. A."},{"family":"Fraser","given":"A."},{"family":"Henderson","given":"J."},{"family":"Molloy","given":"L."},{"family":"Ness","given":"A."},{"family":"Ring","given":"S."},{"family":"Davey Smith","given":"G."}],"issued":{"date-parts":[["2013",2]]}}}],"schema":"https://github.com/citation-style-language/schema/raw/master/csl-citation.json"} </w:instrText>
      </w:r>
      <w:r w:rsidR="004B4D15" w:rsidRPr="004B4D15">
        <w:rPr>
          <w:rFonts w:ascii="Arial" w:hAnsi="Arial" w:cs="Arial"/>
          <w:color w:val="000000" w:themeColor="text1"/>
          <w:sz w:val="22"/>
          <w:szCs w:val="22"/>
        </w:rPr>
        <w:fldChar w:fldCharType="separate"/>
      </w:r>
      <w:r w:rsidR="004B4D15" w:rsidRPr="004B4D15">
        <w:rPr>
          <w:rFonts w:ascii="Arial" w:hAnsi="Arial" w:cs="Arial"/>
          <w:color w:val="000000"/>
          <w:sz w:val="22"/>
          <w:szCs w:val="22"/>
          <w:vertAlign w:val="superscript"/>
        </w:rPr>
        <w:t>31</w:t>
      </w:r>
      <w:r w:rsidR="004B4D15" w:rsidRPr="004B4D15">
        <w:rPr>
          <w:rFonts w:ascii="Arial" w:hAnsi="Arial" w:cs="Arial"/>
          <w:color w:val="000000" w:themeColor="text1"/>
          <w:sz w:val="22"/>
          <w:szCs w:val="22"/>
        </w:rPr>
        <w:fldChar w:fldCharType="end"/>
      </w:r>
      <w:r w:rsidR="004B4D15" w:rsidRPr="004B4D15">
        <w:rPr>
          <w:rFonts w:ascii="Arial" w:hAnsi="Arial" w:cs="Arial"/>
          <w:color w:val="000000" w:themeColor="text1"/>
          <w:sz w:val="22"/>
          <w:szCs w:val="22"/>
        </w:rPr>
        <w:t xml:space="preserve">. </w:t>
      </w:r>
      <w:r w:rsidR="000B4BAB" w:rsidRPr="004B4D15">
        <w:rPr>
          <w:rFonts w:ascii="Arial" w:hAnsi="Arial" w:cs="Arial"/>
          <w:color w:val="000000" w:themeColor="text1"/>
          <w:sz w:val="22"/>
          <w:szCs w:val="22"/>
        </w:rPr>
        <w:t>The study website contains details of all the data that is available through a fully searchable data dictionary and variable search tool:</w:t>
      </w:r>
      <w:r w:rsidR="001D53C7" w:rsidRPr="004B4D15">
        <w:rPr>
          <w:rFonts w:ascii="Arial" w:hAnsi="Arial" w:cs="Arial"/>
          <w:color w:val="000000" w:themeColor="text1"/>
          <w:sz w:val="22"/>
          <w:szCs w:val="22"/>
        </w:rPr>
        <w:t xml:space="preserve"> </w:t>
      </w:r>
      <w:r w:rsidR="000B4BAB" w:rsidRPr="004B4D15">
        <w:rPr>
          <w:rFonts w:ascii="Arial" w:hAnsi="Arial" w:cs="Arial"/>
          <w:color w:val="000000" w:themeColor="text1"/>
          <w:sz w:val="22"/>
          <w:szCs w:val="22"/>
        </w:rPr>
        <w:t xml:space="preserve">http://www.bris.ac.uk/alspac/researchers/our-data/. Ethical approval for this study was obtained from the ALSPAC Ethics and Law Committee and the Local Research Ethics Committees. </w:t>
      </w:r>
      <w:r w:rsidR="000B4BAB" w:rsidRPr="004B4D15">
        <w:rPr>
          <w:rFonts w:ascii="Arial" w:eastAsia="Times New Roman" w:hAnsi="Arial" w:cs="Arial"/>
          <w:color w:val="000000" w:themeColor="text1"/>
          <w:sz w:val="22"/>
          <w:szCs w:val="22"/>
        </w:rPr>
        <w:t xml:space="preserve">Informed consent for the use of data collected via questionnaires and clinics was obtained from participants following the recommendations of the ALSPAC Ethics and Law Committee at the time.  </w:t>
      </w:r>
      <w:r w:rsidR="000B4BAB" w:rsidRPr="004B4D15">
        <w:rPr>
          <w:rFonts w:ascii="Arial" w:hAnsi="Arial" w:cs="Arial"/>
          <w:color w:val="000000" w:themeColor="text1"/>
          <w:sz w:val="22"/>
          <w:szCs w:val="22"/>
        </w:rPr>
        <w:t>Detailed phenotypic, exposure, and socio-demographic data were collected via self- and maternal-report, face-to-face assessments</w:t>
      </w:r>
      <w:r w:rsidR="004B4D15" w:rsidRPr="004B4D15">
        <w:rPr>
          <w:rFonts w:ascii="Arial" w:hAnsi="Arial" w:cs="Arial"/>
          <w:color w:val="000000" w:themeColor="text1"/>
          <w:sz w:val="22"/>
          <w:szCs w:val="22"/>
        </w:rPr>
        <w:fldChar w:fldCharType="begin"/>
      </w:r>
      <w:r w:rsidR="004B4D15" w:rsidRPr="004B4D15">
        <w:rPr>
          <w:rFonts w:ascii="Arial" w:hAnsi="Arial" w:cs="Arial"/>
          <w:color w:val="000000" w:themeColor="text1"/>
          <w:sz w:val="22"/>
          <w:szCs w:val="22"/>
        </w:rPr>
        <w:instrText xml:space="preserve"> ADDIN ZOTERO_ITEM CSL_CITATION {"citationID":"3WpupP3X","properties":{"formattedCitation":"\\super 31\\nosupersub{}","plainCitation":"31","noteIndex":0},"citationItems":[{"id":2531,"uris":["http://zotero.org/users/2565677/items/I2R4P64U"],"uri":["http://zotero.org/users/2565677/items/I2R4P64U"],"itemData":{"id":2531,"type":"article-journal","abstract":"The Avon Longitudinal Study of Parents and Children (ALSPAC) is a transgenerational prospective observational study investigating influences on health and development across the life course. It considers multiple genetic, epigenetic, biological, psychological, social and other environmental exposures in relation to a similarly diverse range of health, social and developmental outcomes. Recruitment sought to enroll pregnant women in the Bristol area of the UK during 1990-92; this was extended to include additional children eligible using the original enrollment definition up to the age of 18 years. The children from 14541 pregnancies were recruited in 1990-92, increasing to 15247 pregnancies by the age of 18 years. This cohort profile describes the index children of these pregnancies. Follow-up includes 59 questionnaires (4 weeks-18 years of age) and 9 clinical assessment visits (7-17 years of age). The resource comprises a wide range of phenotypic and environmental measures in addition to biological samples, genetic (DNA on 11343 children, genome-wide data on 8365 children, complete genome sequencing on 2000 children) and epigenetic (methylation sampling on 1000 children) information and linkage to health and administrative records. Data access is described in this article and is currently set up as a supported access resource. To date, over 700 peer-reviewed articles have been published using ALSPAC data.","container-title":"Int J Epidemiol","DOI":"10.1093/ije/dys064","ISSN":"0300-5771","issue":"1","page":"111-27","title":"Cohort Profile: the 'children of the 90s'--the index offspring of the Avon Longitudinal Study of Parents and Children.","volume":"42","author":[{"family":"Boyd","given":"A."},{"family":"Golding","given":"J."},{"family":"Macleod","given":"J."},{"family":"Lawlor","given":"D. A."},{"family":"Fraser","given":"A."},{"family":"Henderson","given":"J."},{"family":"Molloy","given":"L."},{"family":"Ness","given":"A."},{"family":"Ring","given":"S."},{"family":"Davey Smith","given":"G."}],"issued":{"date-parts":[["2013",2]]}}}],"schema":"https://github.com/citation-style-language/schema/raw/master/csl-citation.json"} </w:instrText>
      </w:r>
      <w:r w:rsidR="004B4D15" w:rsidRPr="004B4D15">
        <w:rPr>
          <w:rFonts w:ascii="Arial" w:hAnsi="Arial" w:cs="Arial"/>
          <w:color w:val="000000" w:themeColor="text1"/>
          <w:sz w:val="22"/>
          <w:szCs w:val="22"/>
        </w:rPr>
        <w:fldChar w:fldCharType="separate"/>
      </w:r>
      <w:r w:rsidR="004B4D15" w:rsidRPr="004B4D15">
        <w:rPr>
          <w:rFonts w:ascii="Arial" w:hAnsi="Arial" w:cs="Arial"/>
          <w:color w:val="000000"/>
          <w:sz w:val="22"/>
          <w:szCs w:val="22"/>
          <w:vertAlign w:val="superscript"/>
        </w:rPr>
        <w:t>31</w:t>
      </w:r>
      <w:r w:rsidR="004B4D15" w:rsidRPr="004B4D15">
        <w:rPr>
          <w:rFonts w:ascii="Arial" w:hAnsi="Arial" w:cs="Arial"/>
          <w:color w:val="000000" w:themeColor="text1"/>
          <w:sz w:val="22"/>
          <w:szCs w:val="22"/>
        </w:rPr>
        <w:fldChar w:fldCharType="end"/>
      </w:r>
      <w:r w:rsidR="004B4D15" w:rsidRPr="004B4D15">
        <w:rPr>
          <w:rFonts w:ascii="Arial" w:hAnsi="Arial" w:cs="Arial"/>
          <w:color w:val="000000" w:themeColor="text1"/>
          <w:sz w:val="22"/>
          <w:szCs w:val="22"/>
        </w:rPr>
        <w:t xml:space="preserve">. </w:t>
      </w:r>
      <w:r w:rsidR="004B4D15" w:rsidRPr="004B4D15">
        <w:rPr>
          <w:rFonts w:ascii="Arial" w:hAnsi="Arial" w:cs="Arial"/>
          <w:bCs/>
          <w:color w:val="000000" w:themeColor="text1"/>
          <w:sz w:val="22"/>
          <w:szCs w:val="22"/>
        </w:rPr>
        <w:t>Data to be used in the current analyses is outlined below:</w:t>
      </w:r>
    </w:p>
    <w:p w14:paraId="0D78B586" w14:textId="2FEF9EEE" w:rsidR="00CC12E2" w:rsidRPr="004B4D15" w:rsidRDefault="00BD2CE1" w:rsidP="00A84730">
      <w:pPr>
        <w:tabs>
          <w:tab w:val="left" w:pos="4320"/>
        </w:tabs>
        <w:spacing w:after="120"/>
        <w:jc w:val="both"/>
        <w:rPr>
          <w:rFonts w:ascii="Arial" w:hAnsi="Arial" w:cs="Arial"/>
          <w:b/>
          <w:bCs/>
          <w:color w:val="000000" w:themeColor="text1"/>
          <w:sz w:val="22"/>
          <w:szCs w:val="22"/>
        </w:rPr>
      </w:pPr>
      <w:r w:rsidRPr="004B4D15">
        <w:rPr>
          <w:rFonts w:ascii="Arial" w:hAnsi="Arial" w:cs="Arial"/>
          <w:b/>
          <w:bCs/>
          <w:color w:val="000000" w:themeColor="text1"/>
          <w:sz w:val="22"/>
          <w:szCs w:val="22"/>
        </w:rPr>
        <w:t>Measures</w:t>
      </w:r>
    </w:p>
    <w:tbl>
      <w:tblPr>
        <w:tblStyle w:val="TableGrid"/>
        <w:tblpPr w:leftFromText="180" w:rightFromText="180" w:vertAnchor="text" w:horzAnchor="margin" w:tblpY="28"/>
        <w:tblOverlap w:val="never"/>
        <w:tblW w:w="9421" w:type="dxa"/>
        <w:tblLook w:val="04A0" w:firstRow="1" w:lastRow="0" w:firstColumn="1" w:lastColumn="0" w:noHBand="0" w:noVBand="1"/>
      </w:tblPr>
      <w:tblGrid>
        <w:gridCol w:w="2401"/>
        <w:gridCol w:w="932"/>
        <w:gridCol w:w="922"/>
        <w:gridCol w:w="922"/>
        <w:gridCol w:w="922"/>
        <w:gridCol w:w="1054"/>
        <w:gridCol w:w="940"/>
        <w:gridCol w:w="1328"/>
      </w:tblGrid>
      <w:tr w:rsidR="00CC12E2" w:rsidRPr="004B4D15" w14:paraId="3F854C65" w14:textId="77777777" w:rsidTr="00285012">
        <w:trPr>
          <w:trHeight w:val="216"/>
        </w:trPr>
        <w:tc>
          <w:tcPr>
            <w:tcW w:w="9421" w:type="dxa"/>
            <w:gridSpan w:val="8"/>
            <w:shd w:val="clear" w:color="auto" w:fill="C5E0B3" w:themeFill="accent6" w:themeFillTint="66"/>
          </w:tcPr>
          <w:p w14:paraId="2B999F69" w14:textId="15482A11" w:rsidR="00CC12E2" w:rsidRPr="004B4D15" w:rsidRDefault="00CC12E2" w:rsidP="00CC12E2">
            <w:pPr>
              <w:tabs>
                <w:tab w:val="left" w:pos="4320"/>
              </w:tabs>
              <w:spacing w:after="120"/>
              <w:jc w:val="both"/>
              <w:rPr>
                <w:rFonts w:ascii="Arial" w:hAnsi="Arial" w:cs="Arial"/>
                <w:b/>
                <w:sz w:val="22"/>
                <w:szCs w:val="22"/>
              </w:rPr>
            </w:pPr>
            <w:r w:rsidRPr="004B4D15">
              <w:rPr>
                <w:rFonts w:ascii="Arial" w:hAnsi="Arial" w:cs="Arial"/>
                <w:b/>
                <w:sz w:val="22"/>
                <w:szCs w:val="22"/>
              </w:rPr>
              <w:t>Table 1. Assessment time points for PA and ED symptoms</w:t>
            </w:r>
            <w:r w:rsidR="00827F44" w:rsidRPr="004B4D15">
              <w:rPr>
                <w:rFonts w:ascii="Arial" w:hAnsi="Arial" w:cs="Arial"/>
                <w:b/>
                <w:sz w:val="22"/>
                <w:szCs w:val="22"/>
              </w:rPr>
              <w:t xml:space="preserve"> with N assessed</w:t>
            </w:r>
          </w:p>
        </w:tc>
      </w:tr>
      <w:tr w:rsidR="00CC12E2" w:rsidRPr="004B4D15" w14:paraId="5A47D741" w14:textId="77777777" w:rsidTr="004B4D15">
        <w:trPr>
          <w:trHeight w:val="145"/>
        </w:trPr>
        <w:tc>
          <w:tcPr>
            <w:tcW w:w="2401" w:type="dxa"/>
          </w:tcPr>
          <w:p w14:paraId="77D0A2F1" w14:textId="528FFB26" w:rsidR="00CC12E2" w:rsidRPr="004B4D15" w:rsidRDefault="00CC12E2" w:rsidP="00CC12E2">
            <w:pPr>
              <w:tabs>
                <w:tab w:val="left" w:pos="4320"/>
              </w:tabs>
              <w:spacing w:after="120"/>
              <w:jc w:val="both"/>
              <w:rPr>
                <w:rFonts w:ascii="Arial" w:hAnsi="Arial" w:cs="Arial"/>
                <w:sz w:val="22"/>
                <w:szCs w:val="22"/>
              </w:rPr>
            </w:pPr>
            <w:r w:rsidRPr="004B4D15">
              <w:rPr>
                <w:rFonts w:ascii="Arial" w:hAnsi="Arial" w:cs="Arial"/>
                <w:b/>
                <w:sz w:val="22"/>
                <w:szCs w:val="22"/>
              </w:rPr>
              <w:t xml:space="preserve">Age </w:t>
            </w:r>
            <w:r w:rsidR="004B4D15" w:rsidRPr="004B4D15">
              <w:rPr>
                <w:rFonts w:ascii="Arial" w:hAnsi="Arial" w:cs="Arial"/>
                <w:b/>
                <w:sz w:val="22"/>
                <w:szCs w:val="22"/>
              </w:rPr>
              <w:t>(Years)</w:t>
            </w:r>
          </w:p>
        </w:tc>
        <w:tc>
          <w:tcPr>
            <w:tcW w:w="932" w:type="dxa"/>
          </w:tcPr>
          <w:p w14:paraId="1A07F91B" w14:textId="7BF57B59" w:rsidR="00CC12E2" w:rsidRPr="004B4D15" w:rsidRDefault="00CC12E2" w:rsidP="00CC12E2">
            <w:pPr>
              <w:tabs>
                <w:tab w:val="left" w:pos="4320"/>
              </w:tabs>
              <w:spacing w:after="120"/>
              <w:jc w:val="both"/>
              <w:rPr>
                <w:rFonts w:ascii="Arial" w:hAnsi="Arial" w:cs="Arial"/>
                <w:sz w:val="22"/>
                <w:szCs w:val="22"/>
              </w:rPr>
            </w:pPr>
            <w:r w:rsidRPr="004B4D15">
              <w:rPr>
                <w:rFonts w:ascii="Arial" w:hAnsi="Arial" w:cs="Arial"/>
                <w:b/>
                <w:sz w:val="22"/>
                <w:szCs w:val="22"/>
              </w:rPr>
              <w:t>11</w:t>
            </w:r>
          </w:p>
        </w:tc>
        <w:tc>
          <w:tcPr>
            <w:tcW w:w="922" w:type="dxa"/>
          </w:tcPr>
          <w:p w14:paraId="3EEC3688" w14:textId="660400C5" w:rsidR="00CC12E2" w:rsidRPr="004B4D15" w:rsidRDefault="00CC12E2" w:rsidP="00CC12E2">
            <w:pPr>
              <w:tabs>
                <w:tab w:val="left" w:pos="4320"/>
              </w:tabs>
              <w:spacing w:after="120"/>
              <w:jc w:val="both"/>
              <w:rPr>
                <w:rFonts w:ascii="Arial" w:hAnsi="Arial" w:cs="Arial"/>
                <w:sz w:val="22"/>
                <w:szCs w:val="22"/>
              </w:rPr>
            </w:pPr>
            <w:r w:rsidRPr="004B4D15">
              <w:rPr>
                <w:rFonts w:ascii="Arial" w:hAnsi="Arial" w:cs="Arial"/>
                <w:b/>
                <w:sz w:val="22"/>
                <w:szCs w:val="22"/>
              </w:rPr>
              <w:t>13</w:t>
            </w:r>
          </w:p>
        </w:tc>
        <w:tc>
          <w:tcPr>
            <w:tcW w:w="922" w:type="dxa"/>
          </w:tcPr>
          <w:p w14:paraId="06F4E251" w14:textId="7747A054" w:rsidR="00CC12E2" w:rsidRPr="004B4D15" w:rsidRDefault="004B4D15" w:rsidP="00CC12E2">
            <w:pPr>
              <w:tabs>
                <w:tab w:val="left" w:pos="4320"/>
              </w:tabs>
              <w:spacing w:after="120"/>
              <w:jc w:val="both"/>
              <w:rPr>
                <w:rFonts w:ascii="Arial" w:hAnsi="Arial" w:cs="Arial"/>
                <w:b/>
                <w:sz w:val="22"/>
                <w:szCs w:val="22"/>
              </w:rPr>
            </w:pPr>
            <w:r w:rsidRPr="004B4D15">
              <w:rPr>
                <w:rFonts w:ascii="Arial" w:hAnsi="Arial" w:cs="Arial"/>
                <w:b/>
                <w:sz w:val="22"/>
                <w:szCs w:val="22"/>
              </w:rPr>
              <w:t>14</w:t>
            </w:r>
          </w:p>
        </w:tc>
        <w:tc>
          <w:tcPr>
            <w:tcW w:w="922" w:type="dxa"/>
          </w:tcPr>
          <w:p w14:paraId="7B9AE7E8" w14:textId="2C9E811C" w:rsidR="00CC12E2" w:rsidRPr="004B4D15" w:rsidRDefault="004B4D15" w:rsidP="00CC12E2">
            <w:pPr>
              <w:tabs>
                <w:tab w:val="left" w:pos="4320"/>
              </w:tabs>
              <w:spacing w:after="120"/>
              <w:jc w:val="both"/>
              <w:rPr>
                <w:rFonts w:ascii="Arial" w:hAnsi="Arial" w:cs="Arial"/>
                <w:sz w:val="22"/>
                <w:szCs w:val="22"/>
              </w:rPr>
            </w:pPr>
            <w:r w:rsidRPr="004B4D15">
              <w:rPr>
                <w:rFonts w:ascii="Arial" w:hAnsi="Arial" w:cs="Arial"/>
                <w:b/>
                <w:sz w:val="22"/>
                <w:szCs w:val="22"/>
              </w:rPr>
              <w:t>15</w:t>
            </w:r>
          </w:p>
        </w:tc>
        <w:tc>
          <w:tcPr>
            <w:tcW w:w="1054" w:type="dxa"/>
          </w:tcPr>
          <w:p w14:paraId="00BFAF1D" w14:textId="3A960FB9" w:rsidR="00CC12E2" w:rsidRPr="004B4D15" w:rsidRDefault="004B4D15" w:rsidP="00CC12E2">
            <w:pPr>
              <w:tabs>
                <w:tab w:val="left" w:pos="4320"/>
              </w:tabs>
              <w:spacing w:after="120"/>
              <w:jc w:val="both"/>
              <w:rPr>
                <w:rFonts w:ascii="Arial" w:hAnsi="Arial" w:cs="Arial"/>
                <w:sz w:val="22"/>
                <w:szCs w:val="22"/>
              </w:rPr>
            </w:pPr>
            <w:r w:rsidRPr="004B4D15">
              <w:rPr>
                <w:rFonts w:ascii="Arial" w:hAnsi="Arial" w:cs="Arial"/>
                <w:b/>
                <w:sz w:val="22"/>
                <w:szCs w:val="22"/>
              </w:rPr>
              <w:t>16</w:t>
            </w:r>
          </w:p>
        </w:tc>
        <w:tc>
          <w:tcPr>
            <w:tcW w:w="940" w:type="dxa"/>
          </w:tcPr>
          <w:p w14:paraId="54AD9A84" w14:textId="2DD055BE" w:rsidR="00CC12E2" w:rsidRPr="004B4D15" w:rsidRDefault="004B4D15" w:rsidP="00CC12E2">
            <w:pPr>
              <w:tabs>
                <w:tab w:val="left" w:pos="4320"/>
              </w:tabs>
              <w:spacing w:after="120"/>
              <w:jc w:val="both"/>
              <w:rPr>
                <w:rFonts w:ascii="Arial" w:hAnsi="Arial" w:cs="Arial"/>
                <w:sz w:val="22"/>
                <w:szCs w:val="22"/>
              </w:rPr>
            </w:pPr>
            <w:r w:rsidRPr="004B4D15">
              <w:rPr>
                <w:rFonts w:ascii="Arial" w:hAnsi="Arial" w:cs="Arial"/>
                <w:b/>
                <w:sz w:val="22"/>
                <w:szCs w:val="22"/>
              </w:rPr>
              <w:t>18</w:t>
            </w:r>
          </w:p>
        </w:tc>
        <w:tc>
          <w:tcPr>
            <w:tcW w:w="1328" w:type="dxa"/>
          </w:tcPr>
          <w:p w14:paraId="230D8F86" w14:textId="77777777" w:rsidR="00CC12E2" w:rsidRPr="004B4D15" w:rsidRDefault="00CC12E2" w:rsidP="00CC12E2">
            <w:pPr>
              <w:tabs>
                <w:tab w:val="left" w:pos="4320"/>
              </w:tabs>
              <w:spacing w:after="120"/>
              <w:jc w:val="both"/>
              <w:rPr>
                <w:rFonts w:ascii="Arial" w:hAnsi="Arial" w:cs="Arial"/>
                <w:sz w:val="22"/>
                <w:szCs w:val="22"/>
              </w:rPr>
            </w:pPr>
            <w:r w:rsidRPr="004B4D15">
              <w:rPr>
                <w:rFonts w:ascii="Arial" w:hAnsi="Arial" w:cs="Arial"/>
                <w:b/>
                <w:sz w:val="22"/>
                <w:szCs w:val="22"/>
              </w:rPr>
              <w:t>24</w:t>
            </w:r>
          </w:p>
        </w:tc>
      </w:tr>
      <w:tr w:rsidR="004B4D15" w:rsidRPr="004B4D15" w14:paraId="2ACEB793" w14:textId="77777777" w:rsidTr="004B4D15">
        <w:trPr>
          <w:trHeight w:val="197"/>
        </w:trPr>
        <w:tc>
          <w:tcPr>
            <w:tcW w:w="2401" w:type="dxa"/>
            <w:tcBorders>
              <w:bottom w:val="single" w:sz="4" w:space="0" w:color="auto"/>
            </w:tcBorders>
          </w:tcPr>
          <w:p w14:paraId="22E381CD" w14:textId="77777777" w:rsidR="004B4D15" w:rsidRPr="004B4D15" w:rsidRDefault="004B4D15" w:rsidP="004B4D15">
            <w:pPr>
              <w:tabs>
                <w:tab w:val="left" w:pos="4320"/>
              </w:tabs>
              <w:spacing w:after="120"/>
              <w:jc w:val="both"/>
              <w:rPr>
                <w:rFonts w:ascii="Arial" w:hAnsi="Arial" w:cs="Arial"/>
                <w:sz w:val="22"/>
                <w:szCs w:val="22"/>
              </w:rPr>
            </w:pPr>
            <w:r w:rsidRPr="004B4D15">
              <w:rPr>
                <w:rFonts w:ascii="Arial" w:hAnsi="Arial" w:cs="Arial"/>
                <w:color w:val="000000" w:themeColor="text1"/>
                <w:sz w:val="22"/>
                <w:szCs w:val="22"/>
              </w:rPr>
              <w:t>EDs and DEx</w:t>
            </w:r>
          </w:p>
        </w:tc>
        <w:tc>
          <w:tcPr>
            <w:tcW w:w="932" w:type="dxa"/>
            <w:tcBorders>
              <w:bottom w:val="single" w:sz="4" w:space="0" w:color="auto"/>
            </w:tcBorders>
          </w:tcPr>
          <w:p w14:paraId="0CF75371" w14:textId="77777777" w:rsidR="004B4D15" w:rsidRPr="004B4D15" w:rsidRDefault="004B4D15" w:rsidP="004B4D15">
            <w:pPr>
              <w:tabs>
                <w:tab w:val="left" w:pos="4320"/>
              </w:tabs>
              <w:spacing w:after="120"/>
              <w:jc w:val="both"/>
              <w:rPr>
                <w:rFonts w:ascii="Arial" w:hAnsi="Arial" w:cs="Arial"/>
                <w:sz w:val="22"/>
                <w:szCs w:val="22"/>
              </w:rPr>
            </w:pPr>
          </w:p>
        </w:tc>
        <w:tc>
          <w:tcPr>
            <w:tcW w:w="922" w:type="dxa"/>
            <w:tcBorders>
              <w:bottom w:val="single" w:sz="4" w:space="0" w:color="auto"/>
            </w:tcBorders>
          </w:tcPr>
          <w:p w14:paraId="0748D1D9" w14:textId="77777777" w:rsidR="004B4D15" w:rsidRPr="004B4D15" w:rsidRDefault="004B4D15" w:rsidP="004B4D15">
            <w:pPr>
              <w:tabs>
                <w:tab w:val="left" w:pos="4320"/>
              </w:tabs>
              <w:spacing w:after="120"/>
              <w:jc w:val="both"/>
              <w:rPr>
                <w:rFonts w:ascii="Arial" w:hAnsi="Arial" w:cs="Arial"/>
                <w:sz w:val="22"/>
                <w:szCs w:val="22"/>
              </w:rPr>
            </w:pPr>
          </w:p>
        </w:tc>
        <w:tc>
          <w:tcPr>
            <w:tcW w:w="922" w:type="dxa"/>
            <w:tcBorders>
              <w:bottom w:val="single" w:sz="4" w:space="0" w:color="auto"/>
            </w:tcBorders>
          </w:tcPr>
          <w:p w14:paraId="0FA7235D" w14:textId="77777777" w:rsidR="004B4D15" w:rsidRPr="004B4D15" w:rsidRDefault="004B4D15" w:rsidP="004B4D15">
            <w:pPr>
              <w:tabs>
                <w:tab w:val="left" w:pos="4320"/>
              </w:tabs>
              <w:spacing w:after="120"/>
              <w:jc w:val="both"/>
              <w:rPr>
                <w:rFonts w:ascii="Arial" w:hAnsi="Arial" w:cs="Arial"/>
                <w:sz w:val="22"/>
                <w:szCs w:val="22"/>
              </w:rPr>
            </w:pPr>
            <w:r w:rsidRPr="004B4D15">
              <w:rPr>
                <w:rFonts w:ascii="Arial" w:hAnsi="Arial" w:cs="Arial"/>
                <w:sz w:val="22"/>
                <w:szCs w:val="22"/>
              </w:rPr>
              <w:t xml:space="preserve">6213 </w:t>
            </w:r>
          </w:p>
        </w:tc>
        <w:tc>
          <w:tcPr>
            <w:tcW w:w="922" w:type="dxa"/>
            <w:tcBorders>
              <w:bottom w:val="single" w:sz="4" w:space="0" w:color="auto"/>
            </w:tcBorders>
          </w:tcPr>
          <w:p w14:paraId="1A045CBC" w14:textId="77777777" w:rsidR="004B4D15" w:rsidRPr="004B4D15" w:rsidRDefault="004B4D15" w:rsidP="004B4D15">
            <w:pPr>
              <w:tabs>
                <w:tab w:val="left" w:pos="4320"/>
              </w:tabs>
              <w:spacing w:after="120"/>
              <w:jc w:val="both"/>
              <w:rPr>
                <w:rFonts w:ascii="Arial" w:hAnsi="Arial" w:cs="Arial"/>
                <w:sz w:val="22"/>
                <w:szCs w:val="22"/>
              </w:rPr>
            </w:pPr>
          </w:p>
        </w:tc>
        <w:tc>
          <w:tcPr>
            <w:tcW w:w="1054" w:type="dxa"/>
            <w:tcBorders>
              <w:bottom w:val="single" w:sz="4" w:space="0" w:color="auto"/>
            </w:tcBorders>
          </w:tcPr>
          <w:p w14:paraId="346669BF" w14:textId="77777777" w:rsidR="004B4D15" w:rsidRPr="004B4D15" w:rsidRDefault="004B4D15" w:rsidP="004B4D15">
            <w:pPr>
              <w:tabs>
                <w:tab w:val="left" w:pos="4320"/>
              </w:tabs>
              <w:spacing w:after="120"/>
              <w:jc w:val="both"/>
              <w:rPr>
                <w:rFonts w:ascii="Arial" w:hAnsi="Arial" w:cs="Arial"/>
                <w:sz w:val="22"/>
                <w:szCs w:val="22"/>
              </w:rPr>
            </w:pPr>
            <w:r w:rsidRPr="004B4D15">
              <w:rPr>
                <w:rFonts w:ascii="Arial" w:hAnsi="Arial" w:cs="Arial"/>
                <w:sz w:val="22"/>
                <w:szCs w:val="22"/>
              </w:rPr>
              <w:t xml:space="preserve">5126 </w:t>
            </w:r>
          </w:p>
        </w:tc>
        <w:tc>
          <w:tcPr>
            <w:tcW w:w="940" w:type="dxa"/>
            <w:tcBorders>
              <w:bottom w:val="single" w:sz="4" w:space="0" w:color="auto"/>
            </w:tcBorders>
          </w:tcPr>
          <w:p w14:paraId="57F388DF" w14:textId="77777777" w:rsidR="004B4D15" w:rsidRPr="004B4D15" w:rsidRDefault="004B4D15" w:rsidP="004B4D15">
            <w:pPr>
              <w:tabs>
                <w:tab w:val="left" w:pos="4320"/>
              </w:tabs>
              <w:spacing w:after="120"/>
              <w:jc w:val="both"/>
              <w:rPr>
                <w:rFonts w:ascii="Arial" w:hAnsi="Arial" w:cs="Arial"/>
                <w:sz w:val="22"/>
                <w:szCs w:val="22"/>
              </w:rPr>
            </w:pPr>
            <w:r w:rsidRPr="004B4D15">
              <w:rPr>
                <w:rFonts w:ascii="Arial" w:hAnsi="Arial" w:cs="Arial"/>
                <w:sz w:val="22"/>
                <w:szCs w:val="22"/>
              </w:rPr>
              <w:t xml:space="preserve">3372  </w:t>
            </w:r>
          </w:p>
        </w:tc>
        <w:tc>
          <w:tcPr>
            <w:tcW w:w="1328" w:type="dxa"/>
            <w:tcBorders>
              <w:bottom w:val="single" w:sz="4" w:space="0" w:color="auto"/>
            </w:tcBorders>
          </w:tcPr>
          <w:p w14:paraId="34D6AD9A" w14:textId="77777777" w:rsidR="004B4D15" w:rsidRPr="004B4D15" w:rsidRDefault="004B4D15" w:rsidP="004B4D15">
            <w:pPr>
              <w:tabs>
                <w:tab w:val="left" w:pos="4320"/>
              </w:tabs>
              <w:spacing w:after="120"/>
              <w:jc w:val="both"/>
              <w:rPr>
                <w:rFonts w:ascii="Arial" w:hAnsi="Arial" w:cs="Arial"/>
                <w:sz w:val="22"/>
                <w:szCs w:val="22"/>
              </w:rPr>
            </w:pPr>
            <w:r w:rsidRPr="004B4D15">
              <w:rPr>
                <w:rFonts w:ascii="Arial" w:hAnsi="Arial" w:cs="Arial"/>
                <w:sz w:val="22"/>
                <w:szCs w:val="22"/>
              </w:rPr>
              <w:t xml:space="preserve">4345 </w:t>
            </w:r>
          </w:p>
        </w:tc>
      </w:tr>
      <w:tr w:rsidR="00CC12E2" w:rsidRPr="004B4D15" w14:paraId="31F4FD7D" w14:textId="77777777" w:rsidTr="004B4D15">
        <w:trPr>
          <w:trHeight w:val="69"/>
        </w:trPr>
        <w:tc>
          <w:tcPr>
            <w:tcW w:w="2401" w:type="dxa"/>
          </w:tcPr>
          <w:p w14:paraId="1119AEB6" w14:textId="77777777" w:rsidR="00CC12E2" w:rsidRPr="004B4D15" w:rsidRDefault="00CC12E2" w:rsidP="00CC12E2">
            <w:pPr>
              <w:tabs>
                <w:tab w:val="left" w:pos="4320"/>
              </w:tabs>
              <w:spacing w:after="120"/>
              <w:jc w:val="both"/>
              <w:rPr>
                <w:rFonts w:ascii="Arial" w:hAnsi="Arial" w:cs="Arial"/>
                <w:sz w:val="22"/>
                <w:szCs w:val="22"/>
              </w:rPr>
            </w:pPr>
            <w:r w:rsidRPr="004B4D15">
              <w:rPr>
                <w:rFonts w:ascii="Arial" w:hAnsi="Arial" w:cs="Arial"/>
                <w:color w:val="000000" w:themeColor="text1"/>
                <w:sz w:val="22"/>
                <w:szCs w:val="22"/>
              </w:rPr>
              <w:t>Accelerometer</w:t>
            </w:r>
          </w:p>
        </w:tc>
        <w:tc>
          <w:tcPr>
            <w:tcW w:w="932" w:type="dxa"/>
          </w:tcPr>
          <w:p w14:paraId="21502448" w14:textId="21BB8CE9" w:rsidR="00CC12E2" w:rsidRPr="004B4D15" w:rsidRDefault="00827F44" w:rsidP="00CC12E2">
            <w:pPr>
              <w:tabs>
                <w:tab w:val="left" w:pos="4320"/>
              </w:tabs>
              <w:spacing w:after="120"/>
              <w:jc w:val="both"/>
              <w:rPr>
                <w:rFonts w:ascii="Arial" w:hAnsi="Arial" w:cs="Arial"/>
                <w:sz w:val="22"/>
                <w:szCs w:val="22"/>
              </w:rPr>
            </w:pPr>
            <w:r w:rsidRPr="004B4D15">
              <w:rPr>
                <w:rFonts w:ascii="Arial" w:hAnsi="Arial" w:cs="Arial"/>
                <w:sz w:val="22"/>
                <w:szCs w:val="22"/>
              </w:rPr>
              <w:t>6108</w:t>
            </w:r>
          </w:p>
        </w:tc>
        <w:tc>
          <w:tcPr>
            <w:tcW w:w="922" w:type="dxa"/>
          </w:tcPr>
          <w:p w14:paraId="1A8C9F6C" w14:textId="1A35A170" w:rsidR="00CC12E2" w:rsidRPr="004B4D15" w:rsidRDefault="00827F44" w:rsidP="00CC12E2">
            <w:pPr>
              <w:tabs>
                <w:tab w:val="left" w:pos="4320"/>
              </w:tabs>
              <w:spacing w:after="120"/>
              <w:jc w:val="both"/>
              <w:rPr>
                <w:rFonts w:ascii="Arial" w:hAnsi="Arial" w:cs="Arial"/>
                <w:sz w:val="22"/>
                <w:szCs w:val="22"/>
              </w:rPr>
            </w:pPr>
            <w:r w:rsidRPr="004B4D15">
              <w:rPr>
                <w:rFonts w:ascii="Arial" w:hAnsi="Arial" w:cs="Arial"/>
                <w:sz w:val="22"/>
                <w:szCs w:val="22"/>
              </w:rPr>
              <w:t>4783</w:t>
            </w:r>
          </w:p>
        </w:tc>
        <w:tc>
          <w:tcPr>
            <w:tcW w:w="922" w:type="dxa"/>
          </w:tcPr>
          <w:p w14:paraId="1FCCADBB" w14:textId="77777777" w:rsidR="00CC12E2" w:rsidRPr="004B4D15" w:rsidRDefault="00CC12E2" w:rsidP="00CC12E2">
            <w:pPr>
              <w:tabs>
                <w:tab w:val="left" w:pos="4320"/>
              </w:tabs>
              <w:spacing w:after="120"/>
              <w:jc w:val="both"/>
              <w:rPr>
                <w:rFonts w:ascii="Arial" w:hAnsi="Arial" w:cs="Arial"/>
                <w:sz w:val="22"/>
                <w:szCs w:val="22"/>
              </w:rPr>
            </w:pPr>
          </w:p>
        </w:tc>
        <w:tc>
          <w:tcPr>
            <w:tcW w:w="922" w:type="dxa"/>
          </w:tcPr>
          <w:p w14:paraId="0A319AF4" w14:textId="5F54FE73" w:rsidR="00CC12E2" w:rsidRPr="004B4D15" w:rsidRDefault="00827F44" w:rsidP="00CC12E2">
            <w:pPr>
              <w:tabs>
                <w:tab w:val="left" w:pos="4320"/>
              </w:tabs>
              <w:spacing w:after="120"/>
              <w:jc w:val="both"/>
              <w:rPr>
                <w:rFonts w:ascii="Arial" w:hAnsi="Arial" w:cs="Arial"/>
                <w:sz w:val="22"/>
                <w:szCs w:val="22"/>
              </w:rPr>
            </w:pPr>
            <w:r w:rsidRPr="004B4D15">
              <w:rPr>
                <w:rFonts w:ascii="Arial" w:hAnsi="Arial" w:cs="Arial"/>
                <w:sz w:val="22"/>
                <w:szCs w:val="22"/>
              </w:rPr>
              <w:t>2948</w:t>
            </w:r>
          </w:p>
        </w:tc>
        <w:tc>
          <w:tcPr>
            <w:tcW w:w="1054" w:type="dxa"/>
          </w:tcPr>
          <w:p w14:paraId="2C124913" w14:textId="77777777" w:rsidR="00CC12E2" w:rsidRPr="004B4D15" w:rsidRDefault="00CC12E2" w:rsidP="00CC12E2">
            <w:pPr>
              <w:tabs>
                <w:tab w:val="left" w:pos="4320"/>
              </w:tabs>
              <w:spacing w:after="120"/>
              <w:jc w:val="both"/>
              <w:rPr>
                <w:rFonts w:ascii="Arial" w:hAnsi="Arial" w:cs="Arial"/>
                <w:sz w:val="22"/>
                <w:szCs w:val="22"/>
              </w:rPr>
            </w:pPr>
          </w:p>
        </w:tc>
        <w:tc>
          <w:tcPr>
            <w:tcW w:w="940" w:type="dxa"/>
          </w:tcPr>
          <w:p w14:paraId="548A2DDA" w14:textId="77777777" w:rsidR="00CC12E2" w:rsidRPr="004B4D15" w:rsidRDefault="00CC12E2" w:rsidP="00CC12E2">
            <w:pPr>
              <w:tabs>
                <w:tab w:val="left" w:pos="4320"/>
              </w:tabs>
              <w:spacing w:after="120"/>
              <w:jc w:val="both"/>
              <w:rPr>
                <w:rFonts w:ascii="Arial" w:hAnsi="Arial" w:cs="Arial"/>
                <w:sz w:val="22"/>
                <w:szCs w:val="22"/>
              </w:rPr>
            </w:pPr>
          </w:p>
        </w:tc>
        <w:tc>
          <w:tcPr>
            <w:tcW w:w="1328" w:type="dxa"/>
          </w:tcPr>
          <w:p w14:paraId="540DD6C4" w14:textId="582967E3" w:rsidR="00CC12E2" w:rsidRPr="004B4D15" w:rsidRDefault="00827F44" w:rsidP="00CC12E2">
            <w:pPr>
              <w:tabs>
                <w:tab w:val="left" w:pos="4320"/>
              </w:tabs>
              <w:spacing w:after="120"/>
              <w:jc w:val="both"/>
              <w:rPr>
                <w:rFonts w:ascii="Arial" w:hAnsi="Arial" w:cs="Arial"/>
                <w:sz w:val="22"/>
                <w:szCs w:val="22"/>
              </w:rPr>
            </w:pPr>
            <w:r w:rsidRPr="004B4D15">
              <w:rPr>
                <w:rFonts w:ascii="Arial" w:hAnsi="Arial" w:cs="Arial"/>
                <w:sz w:val="22"/>
                <w:szCs w:val="22"/>
              </w:rPr>
              <w:t>2237</w:t>
            </w:r>
          </w:p>
        </w:tc>
      </w:tr>
    </w:tbl>
    <w:p w14:paraId="273D4E2F" w14:textId="070EB53F" w:rsidR="00721048" w:rsidRPr="004B4D15" w:rsidRDefault="00721048" w:rsidP="00A84730">
      <w:pPr>
        <w:tabs>
          <w:tab w:val="left" w:pos="4320"/>
        </w:tabs>
        <w:spacing w:after="120"/>
        <w:jc w:val="both"/>
        <w:rPr>
          <w:rFonts w:ascii="Arial" w:hAnsi="Arial" w:cs="Arial"/>
          <w:sz w:val="22"/>
          <w:szCs w:val="22"/>
        </w:rPr>
      </w:pPr>
    </w:p>
    <w:p w14:paraId="04DBCBE9" w14:textId="77777777" w:rsidR="004B4D15" w:rsidRPr="004B4D15" w:rsidRDefault="001D53C7" w:rsidP="004B4D15">
      <w:pPr>
        <w:tabs>
          <w:tab w:val="left" w:pos="4320"/>
        </w:tabs>
        <w:spacing w:after="120"/>
        <w:jc w:val="both"/>
        <w:rPr>
          <w:rFonts w:ascii="Arial" w:hAnsi="Arial" w:cs="Arial"/>
          <w:b/>
          <w:sz w:val="22"/>
          <w:szCs w:val="22"/>
        </w:rPr>
      </w:pPr>
      <w:r w:rsidRPr="004B4D15">
        <w:rPr>
          <w:rFonts w:ascii="Arial" w:hAnsi="Arial" w:cs="Arial"/>
          <w:b/>
          <w:sz w:val="22"/>
          <w:szCs w:val="22"/>
        </w:rPr>
        <w:t xml:space="preserve">Eating Disorder </w:t>
      </w:r>
      <w:commentRangeStart w:id="0"/>
      <w:r w:rsidRPr="004B4D15">
        <w:rPr>
          <w:rFonts w:ascii="Arial" w:hAnsi="Arial" w:cs="Arial"/>
          <w:b/>
          <w:sz w:val="22"/>
          <w:szCs w:val="22"/>
        </w:rPr>
        <w:t>Behaviors</w:t>
      </w:r>
      <w:commentRangeEnd w:id="0"/>
      <w:r w:rsidR="00AB48B8">
        <w:rPr>
          <w:rStyle w:val="CommentReference"/>
        </w:rPr>
        <w:commentReference w:id="0"/>
      </w:r>
    </w:p>
    <w:p w14:paraId="6C7D22E0" w14:textId="77777777" w:rsidR="00AB48B8" w:rsidRDefault="001D53C7" w:rsidP="001D53C7">
      <w:pPr>
        <w:tabs>
          <w:tab w:val="left" w:pos="4320"/>
        </w:tabs>
        <w:spacing w:after="120"/>
        <w:jc w:val="both"/>
        <w:rPr>
          <w:rFonts w:ascii="Arial" w:hAnsi="Arial" w:cs="Arial"/>
          <w:sz w:val="22"/>
          <w:szCs w:val="22"/>
        </w:rPr>
      </w:pPr>
      <w:r w:rsidRPr="004B4D15">
        <w:rPr>
          <w:rFonts w:ascii="Arial" w:hAnsi="Arial" w:cs="Arial"/>
          <w:sz w:val="22"/>
          <w:szCs w:val="22"/>
        </w:rPr>
        <w:t>ED behaviors were self-reported and were measured at 14, 16, 18</w:t>
      </w:r>
      <w:r w:rsidR="004B4D15" w:rsidRPr="004B4D15">
        <w:rPr>
          <w:rFonts w:ascii="Arial" w:hAnsi="Arial" w:cs="Arial"/>
          <w:sz w:val="22"/>
          <w:szCs w:val="22"/>
        </w:rPr>
        <w:t>, and 24</w:t>
      </w:r>
      <w:r w:rsidRPr="004B4D15">
        <w:rPr>
          <w:rFonts w:ascii="Arial" w:hAnsi="Arial" w:cs="Arial"/>
          <w:sz w:val="22"/>
          <w:szCs w:val="22"/>
        </w:rPr>
        <w:t xml:space="preserve"> years of age. For each ED behavior, questions inquired about the previous year and were adapted from the Youth Risk Behavior Surveillance System (YRBSS) questionnaire</w:t>
      </w:r>
      <w:r w:rsidR="004B4D15" w:rsidRPr="004B4D15">
        <w:rPr>
          <w:rFonts w:ascii="Arial" w:hAnsi="Arial" w:cs="Arial"/>
          <w:sz w:val="22"/>
          <w:szCs w:val="22"/>
        </w:rPr>
        <w:fldChar w:fldCharType="begin"/>
      </w:r>
      <w:r w:rsidR="004B4D15" w:rsidRPr="004B4D15">
        <w:rPr>
          <w:rFonts w:ascii="Arial" w:hAnsi="Arial" w:cs="Arial"/>
          <w:sz w:val="22"/>
          <w:szCs w:val="22"/>
        </w:rPr>
        <w:instrText xml:space="preserve"> ADDIN ZOTERO_ITEM CSL_CITATION {"citationID":"PtsUTOAT","properties":{"formattedCitation":"\\super 34\\nosupersub{}","plainCitation":"34","noteIndex":0},"citationItems":[{"id":1358,"uris":["http://zotero.org/users/2565677/items/FJ8AQPFZ"],"uri":["http://zotero.org/users/2565677/items/FJ8AQPFZ"],"itemData":{"id":1358,"type":"article-journal","abstract":"Priority health-risk behaviors that contribute to the leading causes of mortality, morbidity, and social problems among youth and adults often are established during youth, extend into adulthood, and are interrelated. The Youth Risk Behavior Surveillance System (YRBSS) monitors six categories of priority health-risk behaviors among youth and young adults: behaviors that contribute to unintentional and intentional injuries, tobacco use, alcohol and other drug use, sexual behaviors, unhealthy dietary behaviors, and physical inactivity. The YRBSS includes both a national school-based survey conducted by CDC and state and local school-based surveys conducted by state and local education agencies. This report summarizes results from the national survey, 35 state surveys, and 16 local surveys conducted among high school students from February through May 1995. In the United States, 72% of all deaths among school-age youth and young adults result from four causes: motor vehicle crashes, other unintentional injuries, homicide, and suicide. Results from the 1995 YRBSS suggest that many high school students practice behaviors that may increase their likelihood of death from these four causes: 21.7% had rarely or never used a safety belt, 38.8% had ridden with a driver who had been drinking alcohol during the 30 days preceding the survey, 20.0% had carried a weapon during the 30 days preceding the survey, 51.6% had drunk alcohol during the 30 days preceding the survey, 25.3% had used marijuana during the 30 days preceding the survey, and 8.7% had attempted suicide during the 12 months preceding the survey. Substantial morbidity and social problems among school-age youth and young adults also result from unintended pregnancies and sexually transmitted diseases, including HIV infection. YRBSS results indicate that in 1995, 53.1% of high school students had experienced sexual intercourse, 45.6% of sexually active students had not used a condom at last sexual intercourse, and 2.0% had ever injected an illegal drug. Among adults, 65% of all deaths result from three causes: heart disease, cancer, and stroke. Most of the risk behaviors associated with these causes of death are initiated during adolescence. In 1995, 34.8% of high school students had smoked cigarettes during the 30 days preceding the survey, 39.5% had eaten more than two servings of foods typically high in fat content during the day preceding the survey, and only 25.4% had attended physical education class daily. YRBSS data are being used nationwide by health and education officials to improve national, state, and local policies and programs designed to reduce risks associated with the leading causes of mortality and morbidity. YRBSS data also are being used to measure progress toward achieving 21 national health objectives and one of eight National Education Goals.","container-title":"J Sch Health","ISSN":"0022-4391","issue":"10","page":"365-77","title":"Youth risk behavior surveillance--United States, 1995.","volume":"66","author":[{"family":"Kann","given":"L."},{"family":"Warren","given":"C. W."},{"family":"Harris","given":"W. A."},{"family":"Collins","given":"J. L."},{"family":"Williams","given":"B. I."},{"family":"Ross","given":"J. G."},{"family":"Kolbe","given":"L. J."}],"issued":{"date-parts":[["1996",12]]}}}],"schema":"https://github.com/citation-style-language/schema/raw/master/csl-citation.json"} </w:instrText>
      </w:r>
      <w:r w:rsidR="004B4D15" w:rsidRPr="004B4D15">
        <w:rPr>
          <w:rFonts w:ascii="Arial" w:hAnsi="Arial" w:cs="Arial"/>
          <w:sz w:val="22"/>
          <w:szCs w:val="22"/>
        </w:rPr>
        <w:fldChar w:fldCharType="separate"/>
      </w:r>
      <w:r w:rsidR="004B4D15" w:rsidRPr="004B4D15">
        <w:rPr>
          <w:rFonts w:ascii="Arial" w:hAnsi="Arial" w:cs="Arial"/>
          <w:sz w:val="22"/>
          <w:szCs w:val="22"/>
          <w:vertAlign w:val="superscript"/>
        </w:rPr>
        <w:t>34</w:t>
      </w:r>
      <w:r w:rsidR="004B4D15" w:rsidRPr="004B4D15">
        <w:rPr>
          <w:rFonts w:ascii="Arial" w:hAnsi="Arial" w:cs="Arial"/>
          <w:sz w:val="22"/>
          <w:szCs w:val="22"/>
        </w:rPr>
        <w:fldChar w:fldCharType="end"/>
      </w:r>
      <w:r w:rsidRPr="004B4D15">
        <w:rPr>
          <w:rFonts w:ascii="Arial" w:hAnsi="Arial" w:cs="Arial"/>
          <w:sz w:val="22"/>
          <w:szCs w:val="22"/>
        </w:rPr>
        <w:t xml:space="preserve"> which were validated in an epidemiological study of youth</w:t>
      </w:r>
      <w:r w:rsidR="004B4D15" w:rsidRPr="004B4D15">
        <w:rPr>
          <w:rFonts w:ascii="Arial" w:hAnsi="Arial" w:cs="Arial"/>
          <w:sz w:val="22"/>
          <w:szCs w:val="22"/>
        </w:rPr>
        <w:fldChar w:fldCharType="begin"/>
      </w:r>
      <w:r w:rsidR="004B4D15" w:rsidRPr="004B4D15">
        <w:rPr>
          <w:rFonts w:ascii="Arial" w:hAnsi="Arial" w:cs="Arial"/>
          <w:sz w:val="22"/>
          <w:szCs w:val="22"/>
        </w:rPr>
        <w:instrText xml:space="preserve"> ADDIN ZOTERO_ITEM CSL_CITATION {"citationID":"pA91iiNn","properties":{"formattedCitation":"\\super 35\\nosupersub{}","plainCitation":"35","noteIndex":0},"citationItems":[{"id":1114,"uris":["http://zotero.org/users/2565677/items/JREEJF3Y"],"uri":["http://zotero.org/users/2565677/items/JREEJF3Y"],"itemData":{"id":1114,"type":"article-journal","abstract":"OBJECTIVE: To compare self-report to interview assessment of bulimic behaviors among adolescents. METHOD: A sample of children in an ongoing study were recruited to complete in-depth telephone interviews in 1998 on bulimic behaviors (i.e., binge eating and purging). The sample comprised 449 girls and 50 boys. RESULTS: There was some over-reporting of bulimic behaviors on the 1998 questionnaire (asking about 1997-1998) compared with the interview that may have been due to the shorter and nonoverlapping time frame in the interview compared with the questionnaire. Despite the overestimation, the questionnaire did an excellent job at classifying girls who did not purge (negative predictive values [NPV]: 0.99) or binge eat (NPV = 0.98). When purging on the interview was compared with purging on either the 1998 or 1999 questionnaires, the sensitivity increased substantially from 0.73 to 0.93. DISCUSSION: These findings suggest that a short self-report assessment can be used to screen children engaging in, or at risk of beginning to engage in, binge eating and purging.","container-title":"Int J Eat Disord","DOI":"10.1002/eat.10220","ISSN":"0276-3478 (Print) 0276-3478 (Linking)","issue":"1","page":"86-92","title":"Comparison of self-report to interview assessment of bulimic behaviors among preadolescent and adolescent girls and boys","volume":"35","author":[{"family":"Field","given":"A. E."},{"family":"Taylor","given":"C. B."},{"family":"Celio","given":"A."},{"family":"Colditz","given":"G. A."}],"issued":{"date-parts":[["2004",1]]}}}],"schema":"https://github.com/citation-style-language/schema/raw/master/csl-citation.json"} </w:instrText>
      </w:r>
      <w:r w:rsidR="004B4D15" w:rsidRPr="004B4D15">
        <w:rPr>
          <w:rFonts w:ascii="Arial" w:hAnsi="Arial" w:cs="Arial"/>
          <w:sz w:val="22"/>
          <w:szCs w:val="22"/>
        </w:rPr>
        <w:fldChar w:fldCharType="separate"/>
      </w:r>
      <w:r w:rsidR="004B4D15" w:rsidRPr="004B4D15">
        <w:rPr>
          <w:rFonts w:ascii="Arial" w:hAnsi="Arial" w:cs="Arial"/>
          <w:sz w:val="22"/>
          <w:szCs w:val="22"/>
          <w:vertAlign w:val="superscript"/>
        </w:rPr>
        <w:t>35</w:t>
      </w:r>
      <w:r w:rsidR="004B4D15" w:rsidRPr="004B4D15">
        <w:rPr>
          <w:rFonts w:ascii="Arial" w:hAnsi="Arial" w:cs="Arial"/>
          <w:sz w:val="22"/>
          <w:szCs w:val="22"/>
        </w:rPr>
        <w:fldChar w:fldCharType="end"/>
      </w:r>
      <w:r w:rsidR="004B4D15" w:rsidRPr="004B4D15">
        <w:rPr>
          <w:rFonts w:ascii="Arial" w:hAnsi="Arial" w:cs="Arial"/>
          <w:sz w:val="22"/>
          <w:szCs w:val="22"/>
        </w:rPr>
        <w:t xml:space="preserve">. </w:t>
      </w:r>
    </w:p>
    <w:p w14:paraId="5EA43F9B" w14:textId="7FA1192A" w:rsidR="00AB48B8" w:rsidRDefault="00AB48B8" w:rsidP="001D53C7">
      <w:pPr>
        <w:tabs>
          <w:tab w:val="left" w:pos="4320"/>
        </w:tabs>
        <w:spacing w:after="120"/>
        <w:jc w:val="both"/>
        <w:rPr>
          <w:rFonts w:ascii="Arial" w:hAnsi="Arial" w:cs="Arial"/>
          <w:sz w:val="22"/>
          <w:szCs w:val="22"/>
        </w:rPr>
      </w:pPr>
      <w:r w:rsidRPr="00AB48B8">
        <w:rPr>
          <w:rFonts w:ascii="Arial" w:hAnsi="Arial" w:cs="Arial"/>
          <w:i/>
          <w:sz w:val="22"/>
          <w:szCs w:val="22"/>
        </w:rPr>
        <w:t>Binge Eating</w:t>
      </w:r>
      <w:r>
        <w:rPr>
          <w:rFonts w:ascii="Arial" w:hAnsi="Arial" w:cs="Arial"/>
          <w:sz w:val="22"/>
          <w:szCs w:val="22"/>
        </w:rPr>
        <w:t xml:space="preserve">. </w:t>
      </w:r>
      <w:r w:rsidR="001D53C7" w:rsidRPr="004B4D15">
        <w:rPr>
          <w:rFonts w:ascii="Arial" w:hAnsi="Arial" w:cs="Arial"/>
          <w:sz w:val="22"/>
          <w:szCs w:val="22"/>
        </w:rPr>
        <w:t xml:space="preserve">Binge eating </w:t>
      </w:r>
      <w:r>
        <w:rPr>
          <w:rFonts w:ascii="Arial" w:hAnsi="Arial" w:cs="Arial"/>
          <w:sz w:val="22"/>
          <w:szCs w:val="22"/>
        </w:rPr>
        <w:t>was</w:t>
      </w:r>
      <w:r w:rsidR="001D53C7" w:rsidRPr="004B4D15">
        <w:rPr>
          <w:rFonts w:ascii="Arial" w:hAnsi="Arial" w:cs="Arial"/>
          <w:sz w:val="22"/>
          <w:szCs w:val="22"/>
        </w:rPr>
        <w:t xml:space="preserve"> defined as eating a</w:t>
      </w:r>
      <w:r>
        <w:rPr>
          <w:rFonts w:ascii="Arial" w:hAnsi="Arial" w:cs="Arial"/>
          <w:sz w:val="22"/>
          <w:szCs w:val="22"/>
        </w:rPr>
        <w:t xml:space="preserve">n unusually </w:t>
      </w:r>
      <w:r w:rsidR="001D53C7" w:rsidRPr="004B4D15">
        <w:rPr>
          <w:rFonts w:ascii="Arial" w:hAnsi="Arial" w:cs="Arial"/>
          <w:sz w:val="22"/>
          <w:szCs w:val="22"/>
        </w:rPr>
        <w:t>large amount of food and feeling out of control during these episodes</w:t>
      </w:r>
      <w:r>
        <w:rPr>
          <w:rFonts w:ascii="Arial" w:hAnsi="Arial" w:cs="Arial"/>
          <w:sz w:val="22"/>
          <w:szCs w:val="22"/>
        </w:rPr>
        <w:t>.</w:t>
      </w:r>
      <w:r w:rsidR="001B3D77">
        <w:rPr>
          <w:rFonts w:ascii="Arial" w:hAnsi="Arial" w:cs="Arial"/>
          <w:sz w:val="22"/>
          <w:szCs w:val="22"/>
        </w:rPr>
        <w:t xml:space="preserve"> Binge eating will be defined as ‘present’ at any time point in which an individual reports binge eating at least once per month.</w:t>
      </w:r>
      <w:r>
        <w:rPr>
          <w:rFonts w:ascii="Arial" w:hAnsi="Arial" w:cs="Arial"/>
          <w:sz w:val="22"/>
          <w:szCs w:val="22"/>
        </w:rPr>
        <w:t xml:space="preserve"> </w:t>
      </w:r>
      <w:r w:rsidR="001D53C7" w:rsidRPr="004B4D15">
        <w:rPr>
          <w:rFonts w:ascii="Arial" w:hAnsi="Arial" w:cs="Arial"/>
          <w:sz w:val="22"/>
          <w:szCs w:val="22"/>
        </w:rPr>
        <w:t xml:space="preserve"> </w:t>
      </w:r>
    </w:p>
    <w:p w14:paraId="653C575D" w14:textId="0E1317FA" w:rsidR="00AB48B8" w:rsidRDefault="001D53C7" w:rsidP="001D53C7">
      <w:pPr>
        <w:tabs>
          <w:tab w:val="left" w:pos="4320"/>
        </w:tabs>
        <w:spacing w:after="120"/>
        <w:jc w:val="both"/>
        <w:rPr>
          <w:rFonts w:ascii="Arial" w:hAnsi="Arial" w:cs="Arial"/>
          <w:sz w:val="22"/>
          <w:szCs w:val="22"/>
        </w:rPr>
      </w:pPr>
      <w:r w:rsidRPr="00AB48B8">
        <w:rPr>
          <w:rFonts w:ascii="Arial" w:hAnsi="Arial" w:cs="Arial"/>
          <w:i/>
          <w:sz w:val="22"/>
          <w:szCs w:val="22"/>
        </w:rPr>
        <w:t>Purging</w:t>
      </w:r>
      <w:r w:rsidR="00AB48B8">
        <w:rPr>
          <w:rFonts w:ascii="Arial" w:hAnsi="Arial" w:cs="Arial"/>
          <w:sz w:val="22"/>
          <w:szCs w:val="22"/>
        </w:rPr>
        <w:t xml:space="preserve">. Purging </w:t>
      </w:r>
      <w:r w:rsidRPr="004B4D15">
        <w:rPr>
          <w:rFonts w:ascii="Arial" w:hAnsi="Arial" w:cs="Arial"/>
          <w:sz w:val="22"/>
          <w:szCs w:val="22"/>
        </w:rPr>
        <w:t xml:space="preserve">was defined as making oneself sick or using laxatives to lose weight or avoid gaining weight. </w:t>
      </w:r>
      <w:r w:rsidR="001B3D77">
        <w:rPr>
          <w:rFonts w:ascii="Arial" w:hAnsi="Arial" w:cs="Arial"/>
          <w:sz w:val="22"/>
          <w:szCs w:val="22"/>
        </w:rPr>
        <w:t>Purging will be defined as ‘present’ at any time point in which an individual reports laxative use and/or vomiting at least once per month.</w:t>
      </w:r>
    </w:p>
    <w:p w14:paraId="5A4BE4C3" w14:textId="0D8B9004" w:rsidR="00F108F2" w:rsidRPr="004B4D15" w:rsidRDefault="00AB48B8" w:rsidP="001D53C7">
      <w:pPr>
        <w:tabs>
          <w:tab w:val="left" w:pos="4320"/>
        </w:tabs>
        <w:spacing w:after="120"/>
        <w:jc w:val="both"/>
        <w:rPr>
          <w:rFonts w:ascii="Arial" w:hAnsi="Arial" w:cs="Arial"/>
          <w:sz w:val="22"/>
          <w:szCs w:val="22"/>
        </w:rPr>
      </w:pPr>
      <w:r>
        <w:rPr>
          <w:rFonts w:ascii="Arial" w:eastAsia="Times New Roman" w:hAnsi="Arial" w:cs="Arial"/>
          <w:i/>
          <w:spacing w:val="2"/>
          <w:sz w:val="22"/>
          <w:szCs w:val="22"/>
          <w:shd w:val="clear" w:color="auto" w:fill="FCFCFC"/>
        </w:rPr>
        <w:lastRenderedPageBreak/>
        <w:t>Fasting.</w:t>
      </w:r>
      <w:r w:rsidR="001D53C7" w:rsidRPr="004B4D15">
        <w:rPr>
          <w:rFonts w:ascii="Arial" w:eastAsia="Times New Roman" w:hAnsi="Arial" w:cs="Arial"/>
          <w:spacing w:val="2"/>
          <w:sz w:val="22"/>
          <w:szCs w:val="22"/>
          <w:shd w:val="clear" w:color="auto" w:fill="FCFCFC"/>
        </w:rPr>
        <w:t xml:space="preserve"> </w:t>
      </w:r>
      <w:r>
        <w:rPr>
          <w:rFonts w:ascii="Arial" w:eastAsia="Times New Roman" w:hAnsi="Arial" w:cs="Arial"/>
          <w:spacing w:val="2"/>
          <w:sz w:val="22"/>
          <w:szCs w:val="22"/>
          <w:shd w:val="clear" w:color="auto" w:fill="FCFCFC"/>
        </w:rPr>
        <w:t xml:space="preserve">Fasting </w:t>
      </w:r>
      <w:r w:rsidR="001D53C7" w:rsidRPr="004B4D15">
        <w:rPr>
          <w:rFonts w:ascii="Arial" w:eastAsia="Times New Roman" w:hAnsi="Arial" w:cs="Arial"/>
          <w:spacing w:val="2"/>
          <w:sz w:val="22"/>
          <w:szCs w:val="22"/>
          <w:shd w:val="clear" w:color="auto" w:fill="FCFCFC"/>
        </w:rPr>
        <w:t xml:space="preserve">was assessed with the question “During the past year, how often did you fast (not eat for at least a day) to lose weight or avoid gaining weight?” with endorsement of at least once per month coded as ‘present’. </w:t>
      </w:r>
    </w:p>
    <w:p w14:paraId="023BAF75" w14:textId="5919240C" w:rsidR="001171D3" w:rsidRPr="00AB48B8" w:rsidRDefault="00BD2CE1" w:rsidP="00AB48B8">
      <w:pPr>
        <w:tabs>
          <w:tab w:val="left" w:pos="4320"/>
        </w:tabs>
        <w:spacing w:after="120"/>
        <w:jc w:val="both"/>
        <w:rPr>
          <w:rFonts w:ascii="Arial" w:hAnsi="Arial" w:cs="Arial"/>
          <w:iCs/>
          <w:sz w:val="22"/>
          <w:szCs w:val="22"/>
        </w:rPr>
      </w:pPr>
      <w:r w:rsidRPr="00AB48B8">
        <w:rPr>
          <w:rFonts w:ascii="Arial" w:hAnsi="Arial" w:cs="Arial"/>
          <w:bCs/>
          <w:i/>
          <w:sz w:val="22"/>
          <w:szCs w:val="22"/>
        </w:rPr>
        <w:t>Driven Exercise (DEx).</w:t>
      </w:r>
      <w:r w:rsidRPr="00AB48B8">
        <w:rPr>
          <w:rFonts w:ascii="Arial" w:hAnsi="Arial" w:cs="Arial"/>
          <w:i/>
          <w:sz w:val="22"/>
          <w:szCs w:val="22"/>
        </w:rPr>
        <w:t xml:space="preserve"> </w:t>
      </w:r>
      <w:r w:rsidR="001171D3" w:rsidRPr="00AB48B8">
        <w:rPr>
          <w:rFonts w:ascii="Arial" w:hAnsi="Arial" w:cs="Arial"/>
          <w:sz w:val="22"/>
          <w:szCs w:val="22"/>
        </w:rPr>
        <w:t>At age</w:t>
      </w:r>
      <w:r w:rsidR="001B3D77">
        <w:rPr>
          <w:rFonts w:ascii="Arial" w:hAnsi="Arial" w:cs="Arial"/>
          <w:sz w:val="22"/>
          <w:szCs w:val="22"/>
        </w:rPr>
        <w:t xml:space="preserve"> </w:t>
      </w:r>
      <w:r w:rsidR="001171D3" w:rsidRPr="00AB48B8">
        <w:rPr>
          <w:rFonts w:ascii="Arial" w:hAnsi="Arial" w:cs="Arial"/>
          <w:sz w:val="22"/>
          <w:szCs w:val="22"/>
        </w:rPr>
        <w:t xml:space="preserve">14, </w:t>
      </w:r>
      <w:r w:rsidR="001B3D77">
        <w:rPr>
          <w:rFonts w:ascii="Arial" w:hAnsi="Arial" w:cs="Arial"/>
          <w:sz w:val="22"/>
          <w:szCs w:val="22"/>
        </w:rPr>
        <w:t>DEx</w:t>
      </w:r>
      <w:r w:rsidR="001171D3" w:rsidRPr="00AB48B8">
        <w:rPr>
          <w:rFonts w:ascii="Arial" w:hAnsi="Arial" w:cs="Arial"/>
          <w:sz w:val="22"/>
          <w:szCs w:val="22"/>
        </w:rPr>
        <w:t xml:space="preserve"> was </w:t>
      </w:r>
      <w:r w:rsidR="001B3D77" w:rsidRPr="00AB48B8">
        <w:rPr>
          <w:rFonts w:ascii="Arial" w:hAnsi="Arial" w:cs="Arial"/>
          <w:sz w:val="22"/>
          <w:szCs w:val="22"/>
        </w:rPr>
        <w:t>assessed</w:t>
      </w:r>
      <w:r w:rsidR="001171D3" w:rsidRPr="00AB48B8">
        <w:rPr>
          <w:rFonts w:ascii="Arial" w:hAnsi="Arial" w:cs="Arial"/>
          <w:sz w:val="22"/>
          <w:szCs w:val="22"/>
        </w:rPr>
        <w:t xml:space="preserve"> by the following questions: </w:t>
      </w:r>
      <w:r w:rsidR="001171D3" w:rsidRPr="00AB48B8">
        <w:rPr>
          <w:rFonts w:ascii="Arial" w:hAnsi="Arial" w:cs="Arial"/>
          <w:iCs/>
          <w:sz w:val="22"/>
          <w:szCs w:val="22"/>
        </w:rPr>
        <w:t>1. During the past year, how often did you exercise? 2. Was it difficult for you to do your work or school work because of the amount of time you were exercising? 3. Did you exercise to lose weight or avoid gaining weight?</w:t>
      </w:r>
      <w:r w:rsidR="001171D3" w:rsidRPr="00AB48B8">
        <w:rPr>
          <w:rFonts w:ascii="Arial" w:hAnsi="Arial" w:cs="Arial"/>
          <w:sz w:val="22"/>
          <w:szCs w:val="22"/>
        </w:rPr>
        <w:t xml:space="preserve"> At ages 16, and 18,</w:t>
      </w:r>
      <w:r w:rsidR="001171D3" w:rsidRPr="00AB48B8">
        <w:rPr>
          <w:rFonts w:ascii="Arial" w:hAnsi="Arial" w:cs="Arial"/>
          <w:iCs/>
          <w:sz w:val="22"/>
          <w:szCs w:val="22"/>
        </w:rPr>
        <w:t xml:space="preserve"> individuals were also asked if they felt</w:t>
      </w:r>
      <w:r w:rsidR="00A84730" w:rsidRPr="00AB48B8">
        <w:rPr>
          <w:rFonts w:ascii="Arial" w:hAnsi="Arial" w:cs="Arial"/>
          <w:iCs/>
          <w:sz w:val="22"/>
          <w:szCs w:val="22"/>
        </w:rPr>
        <w:t xml:space="preserve"> guilty after missing an exercise session? </w:t>
      </w:r>
      <w:r w:rsidR="001171D3" w:rsidRPr="00AB48B8">
        <w:rPr>
          <w:rFonts w:ascii="Arial" w:hAnsi="Arial" w:cs="Arial"/>
          <w:iCs/>
          <w:sz w:val="22"/>
          <w:szCs w:val="22"/>
        </w:rPr>
        <w:t xml:space="preserve">At age 24, exercise was assessed by the following questions: </w:t>
      </w:r>
      <w:r w:rsidR="001171D3" w:rsidRPr="00AB48B8">
        <w:rPr>
          <w:rFonts w:ascii="Arial" w:hAnsi="Arial" w:cs="Arial"/>
          <w:sz w:val="22"/>
          <w:szCs w:val="22"/>
        </w:rPr>
        <w:t xml:space="preserve">Did you exercise to lose weight or avoid gaining weight even when you were sick or injured? Was it difficult for you to do your work or daily chores/routine because of the amount of time that you were exercising to lose weight or avoid gaining weight? </w:t>
      </w:r>
    </w:p>
    <w:p w14:paraId="78630084" w14:textId="7A5974F1" w:rsidR="004B4D15" w:rsidRPr="004B4D15" w:rsidRDefault="00A84730" w:rsidP="004B4D15">
      <w:pPr>
        <w:tabs>
          <w:tab w:val="left" w:pos="4320"/>
        </w:tabs>
        <w:spacing w:after="120"/>
        <w:jc w:val="both"/>
        <w:rPr>
          <w:rFonts w:ascii="Arial" w:hAnsi="Arial" w:cs="Arial"/>
          <w:iCs/>
          <w:sz w:val="22"/>
          <w:szCs w:val="22"/>
        </w:rPr>
      </w:pPr>
      <w:r w:rsidRPr="004B4D15">
        <w:rPr>
          <w:rFonts w:ascii="Arial" w:hAnsi="Arial" w:cs="Arial"/>
          <w:iCs/>
          <w:sz w:val="22"/>
          <w:szCs w:val="22"/>
        </w:rPr>
        <w:t>In line with previous ALSPAC studies,</w:t>
      </w:r>
      <w:r w:rsidR="004B4D15" w:rsidRPr="004B4D15">
        <w:rPr>
          <w:rFonts w:ascii="Arial" w:hAnsi="Arial" w:cs="Arial"/>
          <w:iCs/>
          <w:sz w:val="22"/>
          <w:szCs w:val="22"/>
        </w:rPr>
        <w:fldChar w:fldCharType="begin"/>
      </w:r>
      <w:r w:rsidR="004B4D15" w:rsidRPr="004B4D15">
        <w:rPr>
          <w:rFonts w:ascii="Arial" w:hAnsi="Arial" w:cs="Arial"/>
          <w:iCs/>
          <w:sz w:val="22"/>
          <w:szCs w:val="22"/>
        </w:rPr>
        <w:instrText xml:space="preserve"> ADDIN ZOTERO_ITEM CSL_CITATION {"citationID":"KSvUPquQ","properties":{"formattedCitation":"\\super 36\\uc0\\u8211{}38\\nosupersub{}","plainCitation":"36–38","noteIndex":0},"citationItems":[{"id":12964,"uris":["http://zotero.org/users/2565677/items/3N8YUWJ3"],"uri":["http://zotero.org/users/2565677/items/3N8YUWJ3"],"itemData":{"id":12964,"type":"article-journal","abstract":"UCL Discovery is UCL's open access repository, showcasing and providing access to UCL research outputs from all UCL disciplines.","container-title":"British Journal of Psychiatry","ISSN":"0007-1250","language":"eng","source":"discovery.ucl.ac.uk","title":"Eating behaviours in childhood and later eating disorder behaviours and diagnoses: a longitudinal study","title-short":"Eating behaviours in childhood and later eating disorder behaviours and diagnoses","URL":"https://www.cambridge.org/core/journals/the-british-journal-of-psychiatry/all-issues","author":[{"family":"Herle","given":"M."},{"family":"De Stavola","given":"B."},{"family":"Hübel","given":"C."},{"family":"Abdulkadir","given":"M."},{"family":"Santos Ferreira","given":"D."},{"family":"Loos","given":"R. J. F."},{"family":"Bryant-Waugh","given":"R."},{"family":"Bulik","given":"C. M."},{"family":"Micali","given":"N."}],"accessed":{"date-parts":[["2019",8,25]]},"issued":{"date-parts":[["2019"]]}}},{"id":2849,"uris":["http://zotero.org/users/2565677/items/8R4SWWSJ"],"uri":["http://zotero.org/users/2565677/items/8R4SWWSJ"],"itemData":{"id":2849,"type":"article-journal","abstract":"OBJECTIVE:  To investigate whether anorexia nervosa (AN), bulimia nervosa (BN), binge eating disorder (BED), and other specified feeding and eating disorders (OSFED), including purging disorder (PD), subthreshold BN, and BED at ages 14 and 16 years, are prospectively associated with later depression, anxiety disorders, alcohol and substance use, and self-harm. METHOD:  Eating disorders were ascertained at ages 14 and 16 years in 6,140 youth at age 14 (58% of those eligible) and 5,069 at age 16 (52% of those eligible) as part of the prospective Avon Longitudinal Study of Parents and Children (ALSPAC). Outcomes (depression, anxiety disorders, binge drinking, drug use, deliberate self-harm, weight status) were measured using interviews and questionnaires about 2 years after predictors. Generalized estimating equation models adjusting for gender, socio-demographic variables, and prior outcome were used to examine prospective associations between eating disorders and each outcome. RESULTS:  All eating disorders were predictive of later anxiety disorders. AN, BN, BED, PD, and OSFED were prospectively associated with depression (respectively AN: odds ratio [OR] = 1.39, 95% CI = 1.00-1.94; BN: OR = 3.39, 95% CI = 1.25-9.20; BED: OR = 2.00, 95% CI = 1.06-3.75; and PD: OR = 2.56, 95% CI = 1.38-4.74). All eating disorders but AN predicted drug use and deliberate self-harm (BN: OR = 5.72, 95% CI = 2.22-14.72; PD: OR = 4.88, 95% CI = 2.78-8.57; subthreshold BN: OR = 3.97, 95% CI = 1.44-10.98; and subthreshold BED: OR = 2.32, 95% CI = 1.43-3.75). Although BED and BN predicted obesity (respectively OR = 3.58, 95% CI = 1.06-12.14 and OR = 6.42, 95% CI = 1.69-24.30), AN was prospectively associated with underweight. CONCLUSIONS:  Adolescent eating disorders, including subthreshold presentations, predict negative outcomes, including mental health disorders, substance use, deliberate self-harm, and weight outcomes. This study highlights the high public health and clinical burden of eating disorders among adolescents.","container-title":"J Am Acad Child Adolesc Psychiatry","DOI":"10.1016/j.jaac.2015.05.009","ISSN":"0890-8567","issue":"8","page":"652-659.e1","title":"Adolescent Eating Disorders Predict Psychiatric, High-Risk Behaviors and Weight Outcomes in Young Adulthood.","volume":"54","author":[{"family":"Micali","given":"N."},{"family":"Solmi","given":"F."},{"family":"Horton","given":"N. J."},{"family":"Crosby","given":"R. D."},{"family":"Eddy","given":"K. T."},{"family":"Calzo","given":"J. P."},{"family":"Sonneville","given":"K. R."},{"family":"Swanson","given":"S. A."},{"family":"Field","given":"A. E."}],"issued":{"date-parts":[["2015",8]]}}},{"id":13354,"uris":["http://zotero.org/users/2565677/items/H24UG3IA"],"uri":["http://zotero.org/users/2565677/items/H24UG3IA"],"itemData":{"id":13354,"type":"article-journal","abstract":"Objective Cross-sectional associations between eating disorders (EDs) and deficits in neuropsychological functioning have been well documented; however, limited research has examined whether neuropsychological functioning is prospectively associated with EDs. The current study investigated prospective associations between neuropsychological functioning in childhood (ages 8 and 10) and ED behaviours and disorders in adolescence (at ages 14, 16, and 18 years) in a population-based sample. Method Participants (N = 4,803) were children enrolled in the Avon Longitudinal Study of Parents and Children, a population-based, prospective study of women and their children. Regression methods tested associations between facets of neuropsychological functioning (attention, working memory, and inhibition) and eating disorder symptoms and diagnoses. Results Better scores on working memory tasks in childhood were associated with decreased risk of fasting but increased risk of excessive exercise during adolescence. Better inhibitory control was associated with decreased risk for disordered eating at age 14, and attentional difficulties were associated with increased risk for binge eating disorder during adolescence among boys but not girls. Conclusions Neuropsychological functioning may enhance risk for disordered eating behaviours in specific ways. Overall, effect sizes were small, and results did not support global associations between neuropsychological differences and ED risk in this sample.","container-title":"European Eating Disorders Review","DOI":"10.1002/erv.2721","ISSN":"1099-0968","issue":"2","language":"en","page":"156-169","source":"Wiley Online Library","title":"Prospective associations between childhood neuropsychological profiles and adolescent eating disorders","volume":"28","author":[{"family":"Schaumberg","given":"Katherine"},{"family":"Brosof","given":"Leigh C."},{"family":"Lloyd","given":"E. Caitlin"},{"family":"Yilmaz","given":"Zeynep"},{"family":"Bulik","given":"Cynthia M."},{"family":"Zerwas","given":"Stephanie C."},{"family":"Micali","given":"Nadia"}],"issued":{"date-parts":[["2020"]]}}}],"schema":"https://github.com/citation-style-language/schema/raw/master/csl-citation.json"} </w:instrText>
      </w:r>
      <w:r w:rsidR="004B4D15" w:rsidRPr="004B4D15">
        <w:rPr>
          <w:rFonts w:ascii="Arial" w:hAnsi="Arial" w:cs="Arial"/>
          <w:iCs/>
          <w:sz w:val="22"/>
          <w:szCs w:val="22"/>
        </w:rPr>
        <w:fldChar w:fldCharType="separate"/>
      </w:r>
      <w:r w:rsidR="004B4D15" w:rsidRPr="004B4D15">
        <w:rPr>
          <w:rFonts w:ascii="Arial" w:hAnsi="Arial" w:cs="Arial"/>
          <w:sz w:val="22"/>
          <w:szCs w:val="22"/>
          <w:vertAlign w:val="superscript"/>
        </w:rPr>
        <w:t>36–38</w:t>
      </w:r>
      <w:r w:rsidR="004B4D15" w:rsidRPr="004B4D15">
        <w:rPr>
          <w:rFonts w:ascii="Arial" w:hAnsi="Arial" w:cs="Arial"/>
          <w:iCs/>
          <w:sz w:val="22"/>
          <w:szCs w:val="22"/>
        </w:rPr>
        <w:fldChar w:fldCharType="end"/>
      </w:r>
      <w:r w:rsidR="004B4D15" w:rsidRPr="004B4D15">
        <w:rPr>
          <w:rFonts w:ascii="Arial" w:hAnsi="Arial" w:cs="Arial"/>
          <w:iCs/>
          <w:sz w:val="22"/>
          <w:szCs w:val="22"/>
        </w:rPr>
        <w:t xml:space="preserve"> </w:t>
      </w:r>
      <w:r w:rsidR="00BD2CE1" w:rsidRPr="004B4D15">
        <w:rPr>
          <w:rFonts w:ascii="Arial" w:hAnsi="Arial" w:cs="Arial"/>
          <w:iCs/>
          <w:sz w:val="22"/>
          <w:szCs w:val="22"/>
        </w:rPr>
        <w:t>we</w:t>
      </w:r>
      <w:r w:rsidRPr="004B4D15">
        <w:rPr>
          <w:rFonts w:ascii="Arial" w:hAnsi="Arial" w:cs="Arial"/>
          <w:iCs/>
          <w:sz w:val="22"/>
          <w:szCs w:val="22"/>
        </w:rPr>
        <w:t xml:space="preserve"> </w:t>
      </w:r>
      <w:r w:rsidR="004B4D15" w:rsidRPr="004B4D15">
        <w:rPr>
          <w:rFonts w:ascii="Arial" w:hAnsi="Arial" w:cs="Arial"/>
          <w:iCs/>
          <w:sz w:val="22"/>
          <w:szCs w:val="22"/>
        </w:rPr>
        <w:t xml:space="preserve">will define </w:t>
      </w:r>
      <w:r w:rsidRPr="004B4D15">
        <w:rPr>
          <w:rFonts w:ascii="Arial" w:hAnsi="Arial" w:cs="Arial"/>
          <w:iCs/>
          <w:sz w:val="22"/>
          <w:szCs w:val="22"/>
        </w:rPr>
        <w:t xml:space="preserve">DEx as ‘present’ for those reporting exercise to manage weight </w:t>
      </w:r>
      <w:r w:rsidRPr="00AB48B8">
        <w:rPr>
          <w:rFonts w:ascii="Arial" w:hAnsi="Arial" w:cs="Arial"/>
          <w:b/>
          <w:iCs/>
          <w:sz w:val="22"/>
          <w:szCs w:val="22"/>
        </w:rPr>
        <w:t>and</w:t>
      </w:r>
      <w:r w:rsidRPr="004B4D15">
        <w:rPr>
          <w:rFonts w:ascii="Arial" w:hAnsi="Arial" w:cs="Arial"/>
          <w:iCs/>
          <w:sz w:val="22"/>
          <w:szCs w:val="22"/>
        </w:rPr>
        <w:t xml:space="preserve"> a) feeling guilty after missing exercise sessions b) exercise interfering with work or school</w:t>
      </w:r>
      <w:r w:rsidR="00AB48B8">
        <w:rPr>
          <w:rFonts w:ascii="Arial" w:hAnsi="Arial" w:cs="Arial"/>
          <w:iCs/>
          <w:sz w:val="22"/>
          <w:szCs w:val="22"/>
        </w:rPr>
        <w:t xml:space="preserve"> or c) exercising even when sick or injured.</w:t>
      </w:r>
    </w:p>
    <w:p w14:paraId="5DAE5719" w14:textId="77777777" w:rsidR="004B4D15" w:rsidRPr="004B4D15" w:rsidRDefault="00F108F2" w:rsidP="004B4D15">
      <w:pPr>
        <w:tabs>
          <w:tab w:val="left" w:pos="4320"/>
        </w:tabs>
        <w:spacing w:after="120"/>
        <w:jc w:val="both"/>
        <w:rPr>
          <w:rFonts w:ascii="Arial" w:hAnsi="Arial" w:cs="Arial"/>
          <w:iCs/>
          <w:sz w:val="22"/>
          <w:szCs w:val="22"/>
        </w:rPr>
      </w:pPr>
      <w:r w:rsidRPr="004B4D15">
        <w:rPr>
          <w:rFonts w:ascii="Arial" w:hAnsi="Arial" w:cs="Arial"/>
          <w:b/>
          <w:sz w:val="22"/>
          <w:szCs w:val="22"/>
        </w:rPr>
        <w:t>Eating Disorder D</w:t>
      </w:r>
      <w:r w:rsidR="00285012" w:rsidRPr="004B4D15">
        <w:rPr>
          <w:rFonts w:ascii="Arial" w:hAnsi="Arial" w:cs="Arial"/>
          <w:b/>
          <w:sz w:val="22"/>
          <w:szCs w:val="22"/>
        </w:rPr>
        <w:t>iagnoses.</w:t>
      </w:r>
    </w:p>
    <w:p w14:paraId="46AD7A39" w14:textId="68A81852" w:rsidR="009545D4" w:rsidRPr="004B4D15" w:rsidRDefault="000B4BAB" w:rsidP="004B4D15">
      <w:pPr>
        <w:tabs>
          <w:tab w:val="left" w:pos="4320"/>
        </w:tabs>
        <w:spacing w:after="120"/>
        <w:jc w:val="both"/>
        <w:rPr>
          <w:rFonts w:ascii="Arial" w:hAnsi="Arial" w:cs="Arial"/>
          <w:iCs/>
          <w:sz w:val="22"/>
          <w:szCs w:val="22"/>
        </w:rPr>
      </w:pPr>
      <w:r w:rsidRPr="004B4D15">
        <w:rPr>
          <w:rFonts w:ascii="Arial" w:hAnsi="Arial" w:cs="Arial"/>
          <w:color w:val="000000" w:themeColor="text1"/>
          <w:sz w:val="22"/>
          <w:szCs w:val="22"/>
        </w:rPr>
        <w:t xml:space="preserve">Eating disorder diagnoses (AN, BN, BED, and purging disorder [PD]) </w:t>
      </w:r>
      <w:r w:rsidR="004B4D15">
        <w:rPr>
          <w:rFonts w:ascii="Arial" w:hAnsi="Arial" w:cs="Arial"/>
          <w:color w:val="000000" w:themeColor="text1"/>
          <w:sz w:val="22"/>
          <w:szCs w:val="22"/>
        </w:rPr>
        <w:t>were</w:t>
      </w:r>
      <w:r w:rsidRPr="004B4D15">
        <w:rPr>
          <w:rFonts w:ascii="Arial" w:hAnsi="Arial" w:cs="Arial"/>
          <w:color w:val="000000" w:themeColor="text1"/>
          <w:sz w:val="22"/>
          <w:szCs w:val="22"/>
        </w:rPr>
        <w:t xml:space="preserve"> derived using questionnaire data from the YRBSS from adolescents using DSM-5 diagnostic criteria</w:t>
      </w:r>
      <w:r w:rsidR="004B4D15" w:rsidRPr="004B4D15">
        <w:rPr>
          <w:rFonts w:ascii="Arial" w:hAnsi="Arial" w:cs="Arial"/>
          <w:color w:val="000000" w:themeColor="text1"/>
          <w:sz w:val="22"/>
          <w:szCs w:val="22"/>
        </w:rPr>
        <w:fldChar w:fldCharType="begin"/>
      </w:r>
      <w:r w:rsidR="004B4D15" w:rsidRPr="004B4D15">
        <w:rPr>
          <w:rFonts w:ascii="Arial" w:hAnsi="Arial" w:cs="Arial"/>
          <w:color w:val="000000" w:themeColor="text1"/>
          <w:sz w:val="22"/>
          <w:szCs w:val="22"/>
        </w:rPr>
        <w:instrText xml:space="preserve"> ADDIN ZOTERO_ITEM CSL_CITATION {"citationID":"f8vUJzc6","properties":{"formattedCitation":"\\super 37,39\\nosupersub{}","plainCitation":"37,39","noteIndex":0},"citationItems":[{"id":2849,"uris":["http://zotero.org/users/2565677/items/8R4SWWSJ"],"uri":["http://zotero.org/users/2565677/items/8R4SWWSJ"],"itemData":{"id":2849,"type":"article-journal","abstract":"OBJECTIVE:  To investigate whether anorexia nervosa (AN), bulimia nervosa (BN), binge eating disorder (BED), and other specified feeding and eating disorders (OSFED), including purging disorder (PD), subthreshold BN, and BED at ages 14 and 16 years, are prospectively associated with later depression, anxiety disorders, alcohol and substance use, and self-harm. METHOD:  Eating disorders were ascertained at ages 14 and 16 years in 6,140 youth at age 14 (58% of those eligible) and 5,069 at age 16 (52% of those eligible) as part of the prospective Avon Longitudinal Study of Parents and Children (ALSPAC). Outcomes (depression, anxiety disorders, binge drinking, drug use, deliberate self-harm, weight status) were measured using interviews and questionnaires about 2 years after predictors. Generalized estimating equation models adjusting for gender, socio-demographic variables, and prior outcome were used to examine prospective associations between eating disorders and each outcome. RESULTS:  All eating disorders were predictive of later anxiety disorders. AN, BN, BED, PD, and OSFED were prospectively associated with depression (respectively AN: odds ratio [OR] = 1.39, 95% CI = 1.00-1.94; BN: OR = 3.39, 95% CI = 1.25-9.20; BED: OR = 2.00, 95% CI = 1.06-3.75; and PD: OR = 2.56, 95% CI = 1.38-4.74). All eating disorders but AN predicted drug use and deliberate self-harm (BN: OR = 5.72, 95% CI = 2.22-14.72; PD: OR = 4.88, 95% CI = 2.78-8.57; subthreshold BN: OR = 3.97, 95% CI = 1.44-10.98; and subthreshold BED: OR = 2.32, 95% CI = 1.43-3.75). Although BED and BN predicted obesity (respectively OR = 3.58, 95% CI = 1.06-12.14 and OR = 6.42, 95% CI = 1.69-24.30), AN was prospectively associated with underweight. CONCLUSIONS:  Adolescent eating disorders, including subthreshold presentations, predict negative outcomes, including mental health disorders, substance use, deliberate self-harm, and weight outcomes. This study highlights the high public health and clinical burden of eating disorders among adolescents.","container-title":"J Am Acad Child Adolesc Psychiatry","DOI":"10.1016/j.jaac.2015.05.009","ISSN":"0890-8567","issue":"8","page":"652-659.e1","title":"Adolescent Eating Disorders Predict Psychiatric, High-Risk Behaviors and Weight Outcomes in Young Adulthood.","volume":"54","author":[{"family":"Micali","given":"N."},{"family":"Solmi","given":"F."},{"family":"Horton","given":"N. J."},{"family":"Crosby","given":"R. D."},{"family":"Eddy","given":"K. T."},{"family":"Calzo","given":"J. P."},{"family":"Sonneville","given":"K. R."},{"family":"Swanson","given":"S. A."},{"family":"Field","given":"A. E."}],"issued":{"date-parts":[["2015",8]]}}},{"id":748,"uris":["http://zotero.org/users/2565677/items/72LB3WTM"],"uri":["http://zotero.org/users/2565677/items/72LB3WTM"],"itemData":{"id":748,"type":"article","publisher":"American Psychiatric Publishing","title":"Diagnostic and Statistical Manual of Mental Disorders","author":[{"family":"American Psychiatric Association","given":""}],"issued":{"date-parts":[["2013"]]}}}],"schema":"https://github.com/citation-style-language/schema/raw/master/csl-citation.json"} </w:instrText>
      </w:r>
      <w:r w:rsidR="004B4D15" w:rsidRPr="004B4D15">
        <w:rPr>
          <w:rFonts w:ascii="Arial" w:hAnsi="Arial" w:cs="Arial"/>
          <w:color w:val="000000" w:themeColor="text1"/>
          <w:sz w:val="22"/>
          <w:szCs w:val="22"/>
        </w:rPr>
        <w:fldChar w:fldCharType="separate"/>
      </w:r>
      <w:r w:rsidR="004B4D15" w:rsidRPr="004B4D15">
        <w:rPr>
          <w:rFonts w:ascii="Arial" w:hAnsi="Arial" w:cs="Arial"/>
          <w:color w:val="000000"/>
          <w:sz w:val="22"/>
          <w:szCs w:val="22"/>
          <w:vertAlign w:val="superscript"/>
        </w:rPr>
        <w:t>37,39</w:t>
      </w:r>
      <w:r w:rsidR="004B4D15" w:rsidRPr="004B4D15">
        <w:rPr>
          <w:rFonts w:ascii="Arial" w:hAnsi="Arial" w:cs="Arial"/>
          <w:color w:val="000000" w:themeColor="text1"/>
          <w:sz w:val="22"/>
          <w:szCs w:val="22"/>
        </w:rPr>
        <w:fldChar w:fldCharType="end"/>
      </w:r>
      <w:r w:rsidR="004B4D15" w:rsidRPr="004B4D15">
        <w:rPr>
          <w:rFonts w:ascii="Arial" w:hAnsi="Arial" w:cs="Arial"/>
          <w:color w:val="000000" w:themeColor="text1"/>
          <w:sz w:val="22"/>
          <w:szCs w:val="22"/>
        </w:rPr>
        <w:t xml:space="preserve"> </w:t>
      </w:r>
      <w:r w:rsidRPr="004B4D15">
        <w:rPr>
          <w:rFonts w:ascii="Arial" w:hAnsi="Arial" w:cs="Arial"/>
          <w:color w:val="000000" w:themeColor="text1"/>
          <w:sz w:val="22"/>
          <w:szCs w:val="22"/>
        </w:rPr>
        <w:fldChar w:fldCharType="begin">
          <w:fldData xml:space="preserve">PEVuZE5vdGU+PENpdGU+PEF1dGhvcj5Bc3NvY2lhdGlvbjwvQXV0aG9yPjxZZWFyPjIwMTM8L1ll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</w:fldData>
        </w:fldChar>
      </w:r>
      <w:r w:rsidRPr="004B4D15">
        <w:rPr>
          <w:rFonts w:ascii="Arial" w:hAnsi="Arial" w:cs="Arial"/>
          <w:color w:val="000000" w:themeColor="text1"/>
          <w:sz w:val="22"/>
          <w:szCs w:val="22"/>
        </w:rPr>
        <w:instrText xml:space="preserve"> ADDIN EN.CITE </w:instrText>
      </w:r>
      <w:r w:rsidRPr="004B4D15">
        <w:rPr>
          <w:rFonts w:ascii="Arial" w:hAnsi="Arial" w:cs="Arial"/>
          <w:color w:val="000000" w:themeColor="text1"/>
          <w:sz w:val="22"/>
          <w:szCs w:val="22"/>
        </w:rPr>
        <w:fldChar w:fldCharType="begin">
          <w:fldData xml:space="preserve">PEVuZE5vdGU+PENpdGU+PEF1dGhvcj5Bc3NvY2lhdGlvbjwvQXV0aG9yPjxZZWFyPjIwMTM8L1ll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</w:fldData>
        </w:fldChar>
      </w:r>
      <w:r w:rsidRPr="004B4D15">
        <w:rPr>
          <w:rFonts w:ascii="Arial" w:hAnsi="Arial" w:cs="Arial"/>
          <w:color w:val="000000" w:themeColor="text1"/>
          <w:sz w:val="22"/>
          <w:szCs w:val="22"/>
        </w:rPr>
        <w:instrText xml:space="preserve"> ADDIN EN.CITE.DATA </w:instrText>
      </w:r>
      <w:r w:rsidRPr="004B4D15">
        <w:rPr>
          <w:rFonts w:ascii="Arial" w:hAnsi="Arial" w:cs="Arial"/>
          <w:color w:val="000000" w:themeColor="text1"/>
          <w:sz w:val="22"/>
          <w:szCs w:val="22"/>
        </w:rPr>
      </w:r>
      <w:r w:rsidRPr="004B4D15">
        <w:rPr>
          <w:rFonts w:ascii="Arial" w:hAnsi="Arial" w:cs="Arial"/>
          <w:color w:val="000000" w:themeColor="text1"/>
          <w:sz w:val="22"/>
          <w:szCs w:val="22"/>
        </w:rPr>
        <w:fldChar w:fldCharType="end"/>
      </w:r>
      <w:r w:rsidR="00A86D91">
        <w:rPr>
          <w:rFonts w:ascii="Arial" w:hAnsi="Arial" w:cs="Arial"/>
          <w:color w:val="000000" w:themeColor="text1"/>
          <w:sz w:val="22"/>
          <w:szCs w:val="22"/>
        </w:rPr>
      </w:r>
      <w:r w:rsidR="00A86D91">
        <w:rPr>
          <w:rFonts w:ascii="Arial" w:hAnsi="Arial" w:cs="Arial"/>
          <w:color w:val="000000" w:themeColor="text1"/>
          <w:sz w:val="22"/>
          <w:szCs w:val="22"/>
        </w:rPr>
        <w:fldChar w:fldCharType="separate"/>
      </w:r>
      <w:r w:rsidRPr="004B4D15">
        <w:rPr>
          <w:rFonts w:ascii="Arial" w:hAnsi="Arial" w:cs="Arial"/>
          <w:color w:val="000000" w:themeColor="text1"/>
          <w:sz w:val="22"/>
          <w:szCs w:val="22"/>
        </w:rPr>
        <w:fldChar w:fldCharType="end"/>
      </w:r>
      <w:r w:rsidRPr="004B4D15">
        <w:rPr>
          <w:rFonts w:ascii="Arial" w:hAnsi="Arial" w:cs="Arial"/>
          <w:color w:val="000000" w:themeColor="text1"/>
          <w:sz w:val="22"/>
          <w:szCs w:val="22"/>
        </w:rPr>
        <w:t>. Body mass index (BMI) was an objective measure collected at face-to-face assessment (median ages 13.8, 15.5, 17.8</w:t>
      </w:r>
      <w:r w:rsidR="001B3D77">
        <w:rPr>
          <w:rFonts w:ascii="Arial" w:hAnsi="Arial" w:cs="Arial"/>
          <w:color w:val="000000" w:themeColor="text1"/>
          <w:sz w:val="22"/>
          <w:szCs w:val="22"/>
        </w:rPr>
        <w:t>, and 24.0 years</w:t>
      </w:r>
      <w:r w:rsidRPr="004B4D15">
        <w:rPr>
          <w:rFonts w:ascii="Arial" w:hAnsi="Arial" w:cs="Arial"/>
          <w:color w:val="000000" w:themeColor="text1"/>
          <w:sz w:val="22"/>
          <w:szCs w:val="22"/>
        </w:rPr>
        <w:t>) and was included as a diagnostic criterion for AN.  Underweight was determined using age, gender, and BMI-specific cutoffs (based on UK reference data</w:t>
      </w:r>
      <w:r w:rsidR="000A769A">
        <w:rPr>
          <w:rFonts w:ascii="Arial" w:hAnsi="Arial" w:cs="Arial"/>
          <w:color w:val="000000" w:themeColor="text1"/>
          <w:sz w:val="22"/>
          <w:szCs w:val="22"/>
        </w:rPr>
        <w:t>);</w:t>
      </w:r>
      <w:r w:rsidR="000A769A">
        <w:rPr>
          <w:rFonts w:ascii="Arial" w:hAnsi="Arial" w:cs="Arial"/>
          <w:color w:val="000000" w:themeColor="text1"/>
          <w:sz w:val="22"/>
          <w:szCs w:val="22"/>
        </w:rPr>
        <w:fldChar w:fldCharType="begin"/>
      </w:r>
      <w:r w:rsidR="000A769A">
        <w:rPr>
          <w:rFonts w:ascii="Arial" w:hAnsi="Arial" w:cs="Arial"/>
          <w:color w:val="000000" w:themeColor="text1"/>
          <w:sz w:val="22"/>
          <w:szCs w:val="22"/>
        </w:rPr>
        <w:instrText xml:space="preserve"> ADDIN ZOTERO_ITEM CSL_CITATION {"citationID":"E6IoBjMM","properties":{"formattedCitation":"\\super 40\\nosupersub{}","plainCitation":"40","noteIndex":0},"citationItems":[{"id":2498,"uris":["http://zotero.org/users/2565677/items/DCNX2MUN"],"uri":["http://zotero.org/users/2565677/items/DCNX2MUN"],"itemData":{"id":2498,"type":"article-journal","abstract":"OBJECTIVE:  To determine cut offs to define thinness in children and adolescents, based on body mass index at age 18 years. DESIGN:  International survey of six large nationally representative cross sectional studies on growth. SETTING:  Brazil, Great Britain, Hong Kong, the Netherlands, Singapore, and the United States. SUBJECTS:  97 876 males and 94 851 females from birth to 25 years. MAIN OUTCOME MEASURE:  Body mass index (BMI, weight/height(2)). RESULTS:  The World Health Organization defines grade 2 thinness in adults as BMI &lt;17. This same cut off, applied to the six datasets at age 18 years, gave mean BMI close to a z score of -2 and 80% of the median. Thus it matches existing criteria for wasting in children based on weight for height. For each dataset, centile curves were drawn to pass through the cut off of BMI 17 at 18 years. The resulting curves were averaged to provide age and sex specific cut-off points from 2-18 years. Similar cut offs were derived based on BMI 16 and 18.5 at 18 years, together providing definitions of thinness grades 1, 2, and 3 in children and adolescents consistent with the WHO adult definitions. CONCLUSIONS:  The proposed cut-off points should help to provide internationally comparable prevalence rates of thinness in children and adolescents.","container-title":"BMJ","DOI":"10.1136/bmj.39238.399444.55","ISSN":"0959-8138","issue":"7612","page":"194","title":"Body mass index cut offs to define thinness in children and adolescents: international survey.","volume":"335","author":[{"family":"Cole","given":"T. J."},{"family":"Flegal","given":"K. M."},{"family":"Nicholls","given":"D."},{"family":"Jackson","given":"A. A."}],"issued":{"date-parts":[["2007",7,28]]}}}],"schema":"https://github.com/citation-style-language/schema/raw/master/csl-citation.json"} </w:instrText>
      </w:r>
      <w:r w:rsidR="000A769A">
        <w:rPr>
          <w:rFonts w:ascii="Arial" w:hAnsi="Arial" w:cs="Arial"/>
          <w:color w:val="000000" w:themeColor="text1"/>
          <w:sz w:val="22"/>
          <w:szCs w:val="22"/>
        </w:rPr>
        <w:fldChar w:fldCharType="separate"/>
      </w:r>
      <w:r w:rsidR="000A769A" w:rsidRPr="000A769A">
        <w:rPr>
          <w:rFonts w:ascii="Arial" w:hAnsi="Arial" w:cs="Arial"/>
          <w:color w:val="000000"/>
          <w:sz w:val="22"/>
          <w:vertAlign w:val="superscript"/>
        </w:rPr>
        <w:t>40</w:t>
      </w:r>
      <w:r w:rsidR="000A769A">
        <w:rPr>
          <w:rFonts w:ascii="Arial" w:hAnsi="Arial" w:cs="Arial"/>
          <w:color w:val="000000" w:themeColor="text1"/>
          <w:sz w:val="22"/>
          <w:szCs w:val="22"/>
        </w:rPr>
        <w:fldChar w:fldCharType="end"/>
      </w:r>
      <w:r w:rsidR="000A769A">
        <w:rPr>
          <w:rFonts w:ascii="Arial" w:hAnsi="Arial" w:cs="Arial"/>
          <w:color w:val="000000" w:themeColor="text1"/>
          <w:sz w:val="22"/>
          <w:szCs w:val="22"/>
        </w:rPr>
        <w:t xml:space="preserve"> </w:t>
      </w:r>
      <w:r w:rsidRPr="004B4D15">
        <w:rPr>
          <w:rFonts w:ascii="Arial" w:hAnsi="Arial" w:cs="Arial"/>
          <w:color w:val="000000" w:themeColor="text1"/>
          <w:sz w:val="22"/>
          <w:szCs w:val="22"/>
        </w:rPr>
        <w:t>corresponding to World Health Organization (WHO) grade 1 thinness</w:t>
      </w:r>
      <w:r w:rsidR="009545D4" w:rsidRPr="004B4D15">
        <w:rPr>
          <w:rFonts w:ascii="Arial" w:hAnsi="Arial" w:cs="Arial"/>
          <w:color w:val="000000" w:themeColor="text1"/>
          <w:sz w:val="22"/>
          <w:szCs w:val="22"/>
        </w:rPr>
        <w:t>.</w:t>
      </w:r>
    </w:p>
    <w:p w14:paraId="6F2B15BD" w14:textId="516FD927" w:rsidR="000A769A" w:rsidRDefault="000B4BAB" w:rsidP="000A769A">
      <w:pPr>
        <w:rPr>
          <w:rFonts w:ascii="Arial" w:hAnsi="Arial" w:cs="Arial"/>
          <w:color w:val="000000" w:themeColor="text1"/>
          <w:sz w:val="22"/>
          <w:szCs w:val="22"/>
        </w:rPr>
      </w:pPr>
      <w:r w:rsidRPr="004B4D15">
        <w:rPr>
          <w:rFonts w:ascii="Arial" w:hAnsi="Arial" w:cs="Arial"/>
          <w:color w:val="000000" w:themeColor="text1"/>
          <w:sz w:val="22"/>
          <w:szCs w:val="22"/>
        </w:rPr>
        <w:t>Parental report of AN symptoms was also used at ages 14 and 16 when formulating AN diagnoses as prior research has shown that parental report often aids in the diagnosis of AN in adolescents due to under-reporting of AN symptoms</w:t>
      </w:r>
      <w:r w:rsidR="004B4D15" w:rsidRPr="004B4D15">
        <w:rPr>
          <w:rFonts w:ascii="Arial" w:hAnsi="Arial" w:cs="Arial"/>
          <w:color w:val="000000" w:themeColor="text1"/>
          <w:sz w:val="22"/>
          <w:szCs w:val="22"/>
        </w:rPr>
        <w:fldChar w:fldCharType="begin"/>
      </w:r>
      <w:r w:rsidR="000A769A">
        <w:rPr>
          <w:rFonts w:ascii="Arial" w:hAnsi="Arial" w:cs="Arial"/>
          <w:color w:val="000000" w:themeColor="text1"/>
          <w:sz w:val="22"/>
          <w:szCs w:val="22"/>
        </w:rPr>
        <w:instrText xml:space="preserve"> ADDIN ZOTERO_ITEM CSL_CITATION {"citationID":"1eti4vFt","properties":{"formattedCitation":"\\super 41\\nosupersub{}","plainCitation":"41","noteIndex":0},"citationItems":[{"id":2587,"uris":["http://zotero.org/users/2565677/items/UDG7ATPW"],"uri":["http://zotero.org/users/2565677/items/UDG7ATPW"],"itemData":{"id":2587,"type":"article-journal","abstract":"OBJECTIVE:  To compare the diagnostic properties of the Eating Disorder Examination (EDE) and the online version of the Development and Well-Being Assessment (DAWBA). METHOD:  Fifty-Seven adolescents (mean age 15.7 years) who attended consecutive assessments at a specialist eating disorders clinic completed the DAWBA, the EDE, and a standard clinical assessment with a multidisciplinary team. Cohen's Kappas were used to make pairwise comparisons between the diagnoses generated by the three assessments. RESULTS:  Participants had anorexia nervosa (n = 30), eating disorders NOS (n = 21) or no eating disorder (n = 6) according to the clinical diagnosis. Agreement between the clinical and DAWBA diagnoses was moderate (kappa = 0.59), agreement between the DAWBA and EDE diagnoses was fair (kappa = 0.21), and agreement between the clinical and EDE diagnoses was poor (kappa = 0.10). The EDE did not identify an eating disorder in 20 participants (35% of the sample) who were clinically assessed as cases. CONCLUSION:  Computerized measures using multiple informants may be more suitable for assessing clinical samples of adolescents with anorexia nervosa or eating disorders NOS than individual interviews with young people.","container-title":"Int J Eat Disord","DOI":"10.1002/eat.20528","ISSN":"0276-3478","issue":"6","page":"535-41","title":"Diagnosing eating disorders in adolescents: a comparison of the eating disorder examination and the development and well-being assessment.","volume":"41","author":[{"family":"House","given":"J."},{"family":"Eisler","given":"I."},{"family":"Simic","given":"M."},{"family":"Micali","given":"N."}],"issued":{"date-parts":[["2008",9]]}}}],"schema":"https://github.com/citation-style-language/schema/raw/master/csl-citation.json"} </w:instrText>
      </w:r>
      <w:r w:rsidR="004B4D15" w:rsidRPr="004B4D15">
        <w:rPr>
          <w:rFonts w:ascii="Arial" w:hAnsi="Arial" w:cs="Arial"/>
          <w:color w:val="000000" w:themeColor="text1"/>
          <w:sz w:val="22"/>
          <w:szCs w:val="22"/>
        </w:rPr>
        <w:fldChar w:fldCharType="separate"/>
      </w:r>
      <w:r w:rsidR="000A769A" w:rsidRPr="000A769A">
        <w:rPr>
          <w:rFonts w:ascii="Arial" w:hAnsi="Arial" w:cs="Arial"/>
          <w:color w:val="000000"/>
          <w:sz w:val="22"/>
          <w:vertAlign w:val="superscript"/>
        </w:rPr>
        <w:t>41</w:t>
      </w:r>
      <w:r w:rsidR="004B4D15" w:rsidRPr="004B4D15">
        <w:rPr>
          <w:rFonts w:ascii="Arial" w:hAnsi="Arial" w:cs="Arial"/>
          <w:color w:val="000000" w:themeColor="text1"/>
          <w:sz w:val="22"/>
          <w:szCs w:val="22"/>
        </w:rPr>
        <w:fldChar w:fldCharType="end"/>
      </w:r>
      <w:r w:rsidR="004B4D15" w:rsidRPr="004B4D15">
        <w:rPr>
          <w:rFonts w:ascii="Arial" w:hAnsi="Arial" w:cs="Arial"/>
          <w:sz w:val="22"/>
          <w:szCs w:val="22"/>
        </w:rPr>
        <w:t xml:space="preserve">. </w:t>
      </w:r>
      <w:r w:rsidRPr="004B4D15">
        <w:rPr>
          <w:rFonts w:ascii="Arial" w:hAnsi="Arial" w:cs="Arial"/>
          <w:color w:val="000000" w:themeColor="text1"/>
          <w:sz w:val="22"/>
          <w:szCs w:val="22"/>
        </w:rPr>
        <w:t>In addition to threshold eating disorder diagnoses, we also identified youth with disordered eating cognitions and behaviors. This category included individuals who reported monthly binge eating, purging excessive exercise, or fasting, along with those who reported more sporadic disordered eating behaviors along with shape and weight concern at age 14, and those who reported eating disorder behaviors at any subthreshold level of severity at ages 16</w:t>
      </w:r>
      <w:r w:rsidR="001B3D77">
        <w:rPr>
          <w:rFonts w:ascii="Arial" w:hAnsi="Arial" w:cs="Arial"/>
          <w:color w:val="000000" w:themeColor="text1"/>
          <w:sz w:val="22"/>
          <w:szCs w:val="22"/>
        </w:rPr>
        <w:t xml:space="preserve">, </w:t>
      </w:r>
      <w:r w:rsidRPr="004B4D15">
        <w:rPr>
          <w:rFonts w:ascii="Arial" w:hAnsi="Arial" w:cs="Arial"/>
          <w:color w:val="000000" w:themeColor="text1"/>
          <w:sz w:val="22"/>
          <w:szCs w:val="22"/>
        </w:rPr>
        <w:t>18</w:t>
      </w:r>
      <w:r w:rsidR="001B3D77">
        <w:rPr>
          <w:rFonts w:ascii="Arial" w:hAnsi="Arial" w:cs="Arial"/>
          <w:color w:val="000000" w:themeColor="text1"/>
          <w:sz w:val="22"/>
          <w:szCs w:val="22"/>
        </w:rPr>
        <w:t>, and 24 years</w:t>
      </w:r>
      <w:r w:rsidRPr="004B4D15">
        <w:rPr>
          <w:rFonts w:ascii="Arial" w:hAnsi="Arial" w:cs="Arial"/>
          <w:color w:val="000000" w:themeColor="text1"/>
          <w:sz w:val="22"/>
          <w:szCs w:val="22"/>
        </w:rPr>
        <w:t>.</w:t>
      </w:r>
    </w:p>
    <w:p w14:paraId="5A05413F" w14:textId="77777777" w:rsidR="000A769A" w:rsidRDefault="000A769A" w:rsidP="000A769A">
      <w:pPr>
        <w:rPr>
          <w:rFonts w:ascii="Arial" w:hAnsi="Arial" w:cs="Arial"/>
          <w:b/>
          <w:sz w:val="22"/>
          <w:szCs w:val="22"/>
        </w:rPr>
      </w:pPr>
    </w:p>
    <w:p w14:paraId="5004349C" w14:textId="77777777" w:rsidR="000A769A" w:rsidRDefault="00F108F2" w:rsidP="000A769A">
      <w:pPr>
        <w:rPr>
          <w:rFonts w:ascii="Arial" w:hAnsi="Arial" w:cs="Arial"/>
          <w:sz w:val="22"/>
          <w:szCs w:val="22"/>
        </w:rPr>
      </w:pPr>
      <w:r w:rsidRPr="004B4D15">
        <w:rPr>
          <w:rFonts w:ascii="Arial" w:hAnsi="Arial" w:cs="Arial"/>
          <w:b/>
          <w:sz w:val="22"/>
          <w:szCs w:val="22"/>
        </w:rPr>
        <w:t>Physical Activity</w:t>
      </w:r>
      <w:r w:rsidRPr="004B4D15">
        <w:rPr>
          <w:rFonts w:ascii="Arial" w:hAnsi="Arial" w:cs="Arial"/>
          <w:sz w:val="22"/>
          <w:szCs w:val="22"/>
        </w:rPr>
        <w:t xml:space="preserve">. </w:t>
      </w:r>
    </w:p>
    <w:p w14:paraId="65FAEA75" w14:textId="79708D44" w:rsidR="00F108F2" w:rsidRDefault="00F108F2" w:rsidP="000A769A">
      <w:pPr>
        <w:rPr>
          <w:rFonts w:ascii="Arial" w:hAnsi="Arial" w:cs="Arial"/>
          <w:noProof/>
          <w:sz w:val="22"/>
          <w:szCs w:val="22"/>
          <w:lang w:val="en-GB" w:eastAsia="en-GB"/>
        </w:rPr>
      </w:pPr>
      <w:r w:rsidRPr="004B4D15">
        <w:rPr>
          <w:rFonts w:ascii="Arial" w:hAnsi="Arial" w:cs="Arial"/>
          <w:sz w:val="22"/>
          <w:szCs w:val="22"/>
        </w:rPr>
        <w:t>the current study, we will use accelerometer-assessed moderate-to-vigorous physical activity (MVPA) to estimate physical activity trajectories.</w:t>
      </w:r>
      <w:r w:rsidRPr="004B4D15">
        <w:rPr>
          <w:rFonts w:ascii="Arial" w:hAnsi="Arial" w:cs="Arial"/>
          <w:noProof/>
          <w:sz w:val="22"/>
          <w:szCs w:val="22"/>
          <w:lang w:val="en-GB" w:eastAsia="en-GB"/>
        </w:rPr>
        <w:t xml:space="preserve"> </w:t>
      </w:r>
    </w:p>
    <w:p w14:paraId="6DE86A6D" w14:textId="0847DA34" w:rsidR="00D86F58" w:rsidRDefault="00D86F58" w:rsidP="000A769A">
      <w:pPr>
        <w:rPr>
          <w:rFonts w:ascii="Arial" w:hAnsi="Arial" w:cs="Arial"/>
          <w:noProof/>
          <w:sz w:val="22"/>
          <w:szCs w:val="22"/>
          <w:lang w:val="en-GB" w:eastAsia="en-GB"/>
        </w:rPr>
      </w:pPr>
    </w:p>
    <w:p w14:paraId="65638CB1" w14:textId="5C7B6E71" w:rsidR="00D86F58" w:rsidRPr="00D86F58" w:rsidRDefault="00D86F58" w:rsidP="00D86F58">
      <w:pPr>
        <w:autoSpaceDE w:val="0"/>
        <w:autoSpaceDN w:val="0"/>
        <w:adjustRightInd w:val="0"/>
        <w:rPr>
          <w:rFonts w:ascii="Arial" w:hAnsi="Arial" w:cs="Arial"/>
          <w:color w:val="000000"/>
          <w:sz w:val="23"/>
          <w:szCs w:val="23"/>
        </w:rPr>
      </w:pPr>
      <w:r>
        <w:rPr>
          <w:rFonts w:ascii="Arial" w:hAnsi="Arial" w:cs="Arial"/>
          <w:b/>
          <w:bCs/>
          <w:color w:val="000000"/>
          <w:sz w:val="28"/>
          <w:szCs w:val="28"/>
        </w:rPr>
        <w:t xml:space="preserve">F11 (age 11.5) </w:t>
      </w:r>
      <w:r w:rsidRPr="00D86F58">
        <w:rPr>
          <w:rFonts w:ascii="Arial" w:hAnsi="Arial" w:cs="Arial"/>
          <w:color w:val="000000"/>
          <w:sz w:val="23"/>
          <w:szCs w:val="23"/>
        </w:rPr>
        <w:t xml:space="preserve">ACTIGRAPH SESSION </w:t>
      </w:r>
    </w:p>
    <w:p w14:paraId="37196234"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The ActiGraph™ is a commonly used accelerometer in child and adolescent free-living physical activity studies. At the F11+ clinic, children were asked to wear an MTI Actigraph AM7164 2.2 accelerometer on their right hip for 7 days, beginning the morning after the clinic (Mattocks </w:t>
      </w:r>
      <w:r w:rsidRPr="00D86F58">
        <w:rPr>
          <w:rFonts w:ascii="Arial" w:hAnsi="Arial" w:cs="Arial"/>
          <w:i/>
          <w:iCs/>
          <w:color w:val="000000"/>
          <w:sz w:val="23"/>
          <w:szCs w:val="23"/>
        </w:rPr>
        <w:t>et</w:t>
      </w:r>
      <w:r w:rsidRPr="00D86F58">
        <w:rPr>
          <w:rFonts w:ascii="Arial" w:hAnsi="Arial" w:cs="Arial"/>
          <w:color w:val="000000"/>
          <w:sz w:val="23"/>
          <w:szCs w:val="23"/>
        </w:rPr>
        <w:t xml:space="preserve">. </w:t>
      </w:r>
      <w:r w:rsidRPr="00D86F58">
        <w:rPr>
          <w:rFonts w:ascii="Arial" w:hAnsi="Arial" w:cs="Arial"/>
          <w:i/>
          <w:iCs/>
          <w:color w:val="000000"/>
          <w:sz w:val="23"/>
          <w:szCs w:val="23"/>
        </w:rPr>
        <w:t>al</w:t>
      </w:r>
      <w:r w:rsidRPr="00D86F58">
        <w:rPr>
          <w:rFonts w:ascii="Arial" w:hAnsi="Arial" w:cs="Arial"/>
          <w:color w:val="000000"/>
          <w:sz w:val="23"/>
          <w:szCs w:val="23"/>
        </w:rPr>
        <w:t xml:space="preserve">., 2008). Summary variables are included in the released dataset. Reinvites have been excluded. Daily variables are not included in the released data as they unlikely to be used in analyses. However, those interested in recoding the raw data are invited to contact ALSPAC. </w:t>
      </w:r>
    </w:p>
    <w:p w14:paraId="63D9410D"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In addition to the direct measures, there are a number of derived variables that may be useful for analysis: </w:t>
      </w:r>
    </w:p>
    <w:p w14:paraId="20A17999"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b/>
          <w:bCs/>
          <w:color w:val="000000"/>
          <w:sz w:val="23"/>
          <w:szCs w:val="23"/>
        </w:rPr>
        <w:t xml:space="preserve">CPM </w:t>
      </w:r>
    </w:p>
    <w:p w14:paraId="6DC2AF4E"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Total physical activity is the total volume activity including activities at all intensities, measured as the average counts per minute (cpm) over the period of valid recording. This </w:t>
      </w:r>
      <w:r w:rsidRPr="00D86F58">
        <w:rPr>
          <w:rFonts w:ascii="Arial" w:hAnsi="Arial" w:cs="Arial"/>
          <w:color w:val="000000"/>
          <w:sz w:val="23"/>
          <w:szCs w:val="23"/>
        </w:rPr>
        <w:lastRenderedPageBreak/>
        <w:t>variable is commonly used as it is the summary measure of total physical activity that has been validated against doubly labelled water (</w:t>
      </w:r>
      <w:r w:rsidRPr="00D86F58">
        <w:rPr>
          <w:rFonts w:ascii="Arial" w:hAnsi="Arial" w:cs="Arial"/>
          <w:i/>
          <w:iCs/>
          <w:color w:val="000000"/>
          <w:sz w:val="23"/>
          <w:szCs w:val="23"/>
        </w:rPr>
        <w:t>ibid.</w:t>
      </w:r>
      <w:r w:rsidRPr="00D86F58">
        <w:rPr>
          <w:rFonts w:ascii="Arial" w:hAnsi="Arial" w:cs="Arial"/>
          <w:color w:val="000000"/>
          <w:sz w:val="23"/>
          <w:szCs w:val="23"/>
        </w:rPr>
        <w:t xml:space="preserve">). Associations with total physical activity are usually calculated per 100 cpm as this difference is of a similar order to the differences observed between males and females in these data. </w:t>
      </w:r>
    </w:p>
    <w:p w14:paraId="60CC4389"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b/>
          <w:bCs/>
          <w:color w:val="000000"/>
          <w:sz w:val="23"/>
          <w:szCs w:val="23"/>
        </w:rPr>
        <w:t xml:space="preserve">MVPA </w:t>
      </w:r>
    </w:p>
    <w:p w14:paraId="1747D6E2"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MVPA is the average minutes of moderate to vigorous physical activity per valid day. This variable is commonly used as current physical activity recommendations for children are framed in terms of time spent each day in MVPA. A value of &gt;= 3600 cpm was originally used to define MVPA at the time of the data collection (</w:t>
      </w:r>
      <w:r w:rsidRPr="00D86F58">
        <w:rPr>
          <w:rFonts w:ascii="Arial" w:hAnsi="Arial" w:cs="Arial"/>
          <w:i/>
          <w:iCs/>
          <w:color w:val="000000"/>
          <w:sz w:val="23"/>
          <w:szCs w:val="23"/>
        </w:rPr>
        <w:t>ibid</w:t>
      </w:r>
      <w:r w:rsidRPr="00D86F58">
        <w:rPr>
          <w:rFonts w:ascii="Arial" w:hAnsi="Arial" w:cs="Arial"/>
          <w:color w:val="000000"/>
          <w:sz w:val="23"/>
          <w:szCs w:val="23"/>
        </w:rPr>
        <w:t xml:space="preserve">.). More recently, following Evenson </w:t>
      </w:r>
      <w:r w:rsidRPr="00D86F58">
        <w:rPr>
          <w:rFonts w:ascii="Arial" w:hAnsi="Arial" w:cs="Arial"/>
          <w:i/>
          <w:iCs/>
          <w:color w:val="000000"/>
          <w:sz w:val="23"/>
          <w:szCs w:val="23"/>
        </w:rPr>
        <w:t>et</w:t>
      </w:r>
      <w:r w:rsidRPr="00D86F58">
        <w:rPr>
          <w:rFonts w:ascii="Arial" w:hAnsi="Arial" w:cs="Arial"/>
          <w:color w:val="000000"/>
          <w:sz w:val="23"/>
          <w:szCs w:val="23"/>
        </w:rPr>
        <w:t xml:space="preserve">. </w:t>
      </w:r>
      <w:r w:rsidRPr="00D86F58">
        <w:rPr>
          <w:rFonts w:ascii="Arial" w:hAnsi="Arial" w:cs="Arial"/>
          <w:i/>
          <w:iCs/>
          <w:color w:val="000000"/>
          <w:sz w:val="23"/>
          <w:szCs w:val="23"/>
        </w:rPr>
        <w:t>al</w:t>
      </w:r>
      <w:r w:rsidRPr="00D86F58">
        <w:rPr>
          <w:rFonts w:ascii="Arial" w:hAnsi="Arial" w:cs="Arial"/>
          <w:color w:val="000000"/>
          <w:sz w:val="23"/>
          <w:szCs w:val="23"/>
        </w:rPr>
        <w:t xml:space="preserve">. (2008), who calculated a lower cutpoint of &gt;=2296. Both sets of data are included, where </w:t>
      </w:r>
      <w:r w:rsidRPr="00D86F58">
        <w:rPr>
          <w:rFonts w:ascii="Arial" w:hAnsi="Arial" w:cs="Arial"/>
          <w:i/>
          <w:iCs/>
          <w:color w:val="000000"/>
          <w:sz w:val="23"/>
          <w:szCs w:val="23"/>
        </w:rPr>
        <w:t xml:space="preserve">feag100 </w:t>
      </w:r>
      <w:r w:rsidRPr="00D86F58">
        <w:rPr>
          <w:rFonts w:ascii="Arial" w:hAnsi="Arial" w:cs="Arial"/>
          <w:color w:val="000000"/>
          <w:sz w:val="23"/>
          <w:szCs w:val="23"/>
        </w:rPr>
        <w:t xml:space="preserve">- </w:t>
      </w:r>
      <w:r w:rsidRPr="00D86F58">
        <w:rPr>
          <w:rFonts w:ascii="Arial" w:hAnsi="Arial" w:cs="Arial"/>
          <w:i/>
          <w:iCs/>
          <w:color w:val="000000"/>
          <w:sz w:val="23"/>
          <w:szCs w:val="23"/>
        </w:rPr>
        <w:t xml:space="preserve">feag168 </w:t>
      </w:r>
      <w:r w:rsidRPr="00D86F58">
        <w:rPr>
          <w:rFonts w:ascii="Arial" w:hAnsi="Arial" w:cs="Arial"/>
          <w:color w:val="000000"/>
          <w:sz w:val="23"/>
          <w:szCs w:val="23"/>
        </w:rPr>
        <w:t xml:space="preserve">use a cut point of =&gt;3600 and </w:t>
      </w:r>
      <w:r w:rsidRPr="00D86F58">
        <w:rPr>
          <w:rFonts w:ascii="Arial" w:hAnsi="Arial" w:cs="Arial"/>
          <w:i/>
          <w:iCs/>
          <w:color w:val="000000"/>
          <w:sz w:val="23"/>
          <w:szCs w:val="23"/>
        </w:rPr>
        <w:t>feag200</w:t>
      </w:r>
      <w:r w:rsidRPr="00D86F58">
        <w:rPr>
          <w:rFonts w:ascii="Arial" w:hAnsi="Arial" w:cs="Arial"/>
          <w:color w:val="000000"/>
          <w:sz w:val="23"/>
          <w:szCs w:val="23"/>
        </w:rPr>
        <w:t xml:space="preserve">- </w:t>
      </w:r>
      <w:r w:rsidRPr="00D86F58">
        <w:rPr>
          <w:rFonts w:ascii="Arial" w:hAnsi="Arial" w:cs="Arial"/>
          <w:i/>
          <w:iCs/>
          <w:color w:val="000000"/>
          <w:sz w:val="23"/>
          <w:szCs w:val="23"/>
        </w:rPr>
        <w:t xml:space="preserve">feag238 </w:t>
      </w:r>
      <w:r w:rsidRPr="00D86F58">
        <w:rPr>
          <w:rFonts w:ascii="Arial" w:hAnsi="Arial" w:cs="Arial"/>
          <w:color w:val="000000"/>
          <w:sz w:val="23"/>
          <w:szCs w:val="23"/>
        </w:rPr>
        <w:t xml:space="preserve">use a cut-point of &gt;=2296. </w:t>
      </w:r>
    </w:p>
    <w:p w14:paraId="3A0B5619"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b/>
          <w:bCs/>
          <w:color w:val="000000"/>
          <w:sz w:val="23"/>
          <w:szCs w:val="23"/>
        </w:rPr>
        <w:t xml:space="preserve">Valid days </w:t>
      </w:r>
    </w:p>
    <w:p w14:paraId="5FF2C72F"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At the time of writing, the definition of a valid day of wear is generally between 480 to 600 minutes. There are two marker variables in the dataset: </w:t>
      </w:r>
      <w:r w:rsidRPr="00D86F58">
        <w:rPr>
          <w:rFonts w:ascii="Arial" w:hAnsi="Arial" w:cs="Arial"/>
          <w:i/>
          <w:iCs/>
          <w:color w:val="000000"/>
          <w:sz w:val="23"/>
          <w:szCs w:val="23"/>
        </w:rPr>
        <w:t xml:space="preserve">feag163 </w:t>
      </w:r>
      <w:r w:rsidRPr="00D86F58">
        <w:rPr>
          <w:rFonts w:ascii="Arial" w:hAnsi="Arial" w:cs="Arial"/>
          <w:color w:val="000000"/>
          <w:sz w:val="23"/>
          <w:szCs w:val="23"/>
        </w:rPr>
        <w:t xml:space="preserve">and </w:t>
      </w:r>
      <w:r w:rsidRPr="00D86F58">
        <w:rPr>
          <w:rFonts w:ascii="Arial" w:hAnsi="Arial" w:cs="Arial"/>
          <w:i/>
          <w:iCs/>
          <w:color w:val="000000"/>
          <w:sz w:val="23"/>
          <w:szCs w:val="23"/>
        </w:rPr>
        <w:t>feag213</w:t>
      </w:r>
      <w:r w:rsidRPr="00D86F58">
        <w:rPr>
          <w:rFonts w:ascii="Arial" w:hAnsi="Arial" w:cs="Arial"/>
          <w:color w:val="000000"/>
          <w:sz w:val="23"/>
          <w:szCs w:val="23"/>
        </w:rPr>
        <w:t xml:space="preserve">. </w:t>
      </w:r>
      <w:r w:rsidRPr="00D86F58">
        <w:rPr>
          <w:rFonts w:ascii="Arial" w:hAnsi="Arial" w:cs="Arial"/>
          <w:i/>
          <w:iCs/>
          <w:color w:val="000000"/>
          <w:sz w:val="23"/>
          <w:szCs w:val="23"/>
        </w:rPr>
        <w:t xml:space="preserve">feag163 </w:t>
      </w:r>
      <w:r w:rsidRPr="00D86F58">
        <w:rPr>
          <w:rFonts w:ascii="Arial" w:hAnsi="Arial" w:cs="Arial"/>
          <w:color w:val="000000"/>
          <w:sz w:val="23"/>
          <w:szCs w:val="23"/>
        </w:rPr>
        <w:t xml:space="preserve">equals 1 when valid data is determined as at least 10 hours (600mins) of valid wear for at least 3 days. This threshold defines a valid day in variables </w:t>
      </w:r>
      <w:r w:rsidRPr="00D86F58">
        <w:rPr>
          <w:rFonts w:ascii="Arial" w:hAnsi="Arial" w:cs="Arial"/>
          <w:i/>
          <w:iCs/>
          <w:color w:val="000000"/>
          <w:sz w:val="23"/>
          <w:szCs w:val="23"/>
        </w:rPr>
        <w:t xml:space="preserve">feag100 </w:t>
      </w:r>
      <w:r w:rsidRPr="00D86F58">
        <w:rPr>
          <w:rFonts w:ascii="Arial" w:hAnsi="Arial" w:cs="Arial"/>
          <w:color w:val="000000"/>
          <w:sz w:val="23"/>
          <w:szCs w:val="23"/>
        </w:rPr>
        <w:t xml:space="preserve">- </w:t>
      </w:r>
      <w:r w:rsidRPr="00D86F58">
        <w:rPr>
          <w:rFonts w:ascii="Arial" w:hAnsi="Arial" w:cs="Arial"/>
          <w:i/>
          <w:iCs/>
          <w:color w:val="000000"/>
          <w:sz w:val="23"/>
          <w:szCs w:val="23"/>
        </w:rPr>
        <w:t xml:space="preserve">feag168. feag213 </w:t>
      </w:r>
      <w:r w:rsidRPr="00D86F58">
        <w:rPr>
          <w:rFonts w:ascii="Arial" w:hAnsi="Arial" w:cs="Arial"/>
          <w:color w:val="000000"/>
          <w:sz w:val="23"/>
          <w:szCs w:val="23"/>
        </w:rPr>
        <w:t xml:space="preserve">summarises the number of valid days worn overall, based on 500 minutes of wear per valid day. This threshold defines a valid day in variables </w:t>
      </w:r>
      <w:r w:rsidRPr="00D86F58">
        <w:rPr>
          <w:rFonts w:ascii="Arial" w:hAnsi="Arial" w:cs="Arial"/>
          <w:i/>
          <w:iCs/>
          <w:color w:val="000000"/>
          <w:sz w:val="23"/>
          <w:szCs w:val="23"/>
        </w:rPr>
        <w:t xml:space="preserve">feag200 </w:t>
      </w:r>
      <w:r w:rsidRPr="00D86F58">
        <w:rPr>
          <w:rFonts w:ascii="Arial" w:hAnsi="Arial" w:cs="Arial"/>
          <w:color w:val="000000"/>
          <w:sz w:val="23"/>
          <w:szCs w:val="23"/>
        </w:rPr>
        <w:t xml:space="preserve">- feag238. </w:t>
      </w:r>
    </w:p>
    <w:p w14:paraId="7FD04890"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The data contains 140 continuous variables measuring physical activity. Please note that the derivations using different cutpoints and valid day thresholds are clearly defined by the variable labels using the prefix DV: &gt;=3600 or DV: &gt;=2296. </w:t>
      </w:r>
    </w:p>
    <w:p w14:paraId="747CAB21"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Evenson KR, Cattellier D, Gill K, Ondrak K, McMurray RG. (2008) ‘Calibration of two objective measures of physical activity for children’. </w:t>
      </w:r>
      <w:r w:rsidRPr="00D86F58">
        <w:rPr>
          <w:rFonts w:ascii="Arial" w:hAnsi="Arial" w:cs="Arial"/>
          <w:i/>
          <w:iCs/>
          <w:color w:val="000000"/>
          <w:sz w:val="23"/>
          <w:szCs w:val="23"/>
        </w:rPr>
        <w:t>Journal of Sports Science</w:t>
      </w:r>
      <w:r w:rsidRPr="00D86F58">
        <w:rPr>
          <w:rFonts w:ascii="Arial" w:hAnsi="Arial" w:cs="Arial"/>
          <w:color w:val="000000"/>
          <w:sz w:val="23"/>
          <w:szCs w:val="23"/>
        </w:rPr>
        <w:t xml:space="preserve">. (26):1557–65. </w:t>
      </w:r>
    </w:p>
    <w:p w14:paraId="478AA115" w14:textId="6DBE03B3" w:rsidR="00D86F58" w:rsidRDefault="00D86F58" w:rsidP="00D86F58">
      <w:pPr>
        <w:rPr>
          <w:rFonts w:ascii="Arial" w:hAnsi="Arial" w:cs="Arial"/>
          <w:noProof/>
          <w:sz w:val="22"/>
          <w:szCs w:val="22"/>
          <w:lang w:val="en-GB" w:eastAsia="en-GB"/>
        </w:rPr>
      </w:pPr>
      <w:r w:rsidRPr="00D86F58">
        <w:rPr>
          <w:rFonts w:ascii="Arial" w:hAnsi="Arial" w:cs="Arial"/>
          <w:color w:val="000000"/>
          <w:sz w:val="23"/>
          <w:szCs w:val="23"/>
        </w:rPr>
        <w:t xml:space="preserve">Mattocks, C., Ness, A., Leary, S., Tilling, K., Blair, S.N., Shield, J., Deere, K., Saunders, J., Kirkby, J., Smith, G.D., Wells, J., Wareham, N., Reilly, John J. and Riddoch, C. (2008). ‘Use of accelerometers in a large field-based study of children: protocols, design issues and effects on precision’. </w:t>
      </w:r>
      <w:r w:rsidRPr="00D86F58">
        <w:rPr>
          <w:rFonts w:ascii="Arial" w:hAnsi="Arial" w:cs="Arial"/>
          <w:i/>
          <w:iCs/>
          <w:color w:val="000000"/>
          <w:sz w:val="23"/>
          <w:szCs w:val="23"/>
        </w:rPr>
        <w:t xml:space="preserve">Journal of Physical Activity and Health, </w:t>
      </w:r>
      <w:r w:rsidRPr="00D86F58">
        <w:rPr>
          <w:rFonts w:ascii="Arial" w:hAnsi="Arial" w:cs="Arial"/>
          <w:color w:val="000000"/>
          <w:sz w:val="23"/>
          <w:szCs w:val="23"/>
        </w:rPr>
        <w:t>5 (1): S94-S107: https://doi.org/10.1123/jpah.5.s1.s98</w:t>
      </w:r>
    </w:p>
    <w:p w14:paraId="6DE5E727" w14:textId="27E1B164" w:rsidR="00E869AF" w:rsidRDefault="00E869AF" w:rsidP="000A769A">
      <w:pPr>
        <w:rPr>
          <w:rFonts w:ascii="Arial" w:hAnsi="Arial" w:cs="Arial"/>
          <w:color w:val="000000" w:themeColor="text1"/>
          <w:sz w:val="22"/>
          <w:szCs w:val="22"/>
        </w:rPr>
      </w:pPr>
    </w:p>
    <w:p w14:paraId="1E968215" w14:textId="33FFDA90" w:rsidR="00026720" w:rsidRPr="00026720" w:rsidRDefault="00026720" w:rsidP="00026720">
      <w:pPr>
        <w:autoSpaceDE w:val="0"/>
        <w:autoSpaceDN w:val="0"/>
        <w:adjustRightInd w:val="0"/>
        <w:rPr>
          <w:rFonts w:ascii="Arial" w:hAnsi="Arial" w:cs="Arial"/>
          <w:color w:val="000000"/>
          <w:sz w:val="23"/>
          <w:szCs w:val="23"/>
        </w:rPr>
      </w:pPr>
      <w:r w:rsidRPr="00026720">
        <w:rPr>
          <w:rFonts w:ascii="Arial" w:hAnsi="Arial" w:cs="Arial"/>
          <w:b/>
          <w:color w:val="000000"/>
          <w:sz w:val="23"/>
          <w:szCs w:val="23"/>
        </w:rPr>
        <w:t>TF2</w:t>
      </w:r>
      <w:r w:rsidR="00D86F58">
        <w:rPr>
          <w:rFonts w:ascii="Arial" w:hAnsi="Arial" w:cs="Arial"/>
          <w:b/>
          <w:color w:val="000000"/>
          <w:sz w:val="23"/>
          <w:szCs w:val="23"/>
        </w:rPr>
        <w:t xml:space="preserve"> (Age 13.5) </w:t>
      </w:r>
      <w:r>
        <w:rPr>
          <w:rFonts w:ascii="Arial" w:hAnsi="Arial" w:cs="Arial"/>
          <w:color w:val="000000"/>
          <w:sz w:val="23"/>
          <w:szCs w:val="23"/>
        </w:rPr>
        <w:t xml:space="preserve">. </w:t>
      </w:r>
      <w:r w:rsidRPr="00026720">
        <w:rPr>
          <w:rFonts w:ascii="Arial" w:hAnsi="Arial" w:cs="Arial"/>
          <w:color w:val="000000"/>
          <w:sz w:val="23"/>
          <w:szCs w:val="23"/>
        </w:rPr>
        <w:t xml:space="preserve">The food and movement session describes data collected from the participants over a number of days at home. Two methods of data collection, taken at different times, were used to collect food and movement data. </w:t>
      </w:r>
    </w:p>
    <w:p w14:paraId="0F091821" w14:textId="77777777" w:rsidR="00026720" w:rsidRPr="00026720" w:rsidRDefault="00026720" w:rsidP="00026720">
      <w:pPr>
        <w:autoSpaceDE w:val="0"/>
        <w:autoSpaceDN w:val="0"/>
        <w:adjustRightInd w:val="0"/>
        <w:rPr>
          <w:rFonts w:ascii="Arial" w:hAnsi="Arial" w:cs="Arial"/>
          <w:color w:val="000000"/>
          <w:sz w:val="23"/>
          <w:szCs w:val="23"/>
        </w:rPr>
      </w:pPr>
      <w:r w:rsidRPr="00026720">
        <w:rPr>
          <w:rFonts w:ascii="Arial" w:hAnsi="Arial" w:cs="Arial"/>
          <w:color w:val="000000"/>
          <w:sz w:val="23"/>
          <w:szCs w:val="23"/>
        </w:rPr>
        <w:t>During clinic, participants were asked to wear activity monitors (accelerometers) to measure movement beginning the day after the clinic visit. The accelerometer, worn on the right hip around the waist, was the Computer Science and Applications (CSA) Inc. ActiGraph</w:t>
      </w:r>
      <w:r w:rsidRPr="00026720">
        <w:rPr>
          <w:rFonts w:ascii="Arial" w:hAnsi="Arial" w:cs="Arial"/>
          <w:color w:val="000000"/>
          <w:sz w:val="16"/>
          <w:szCs w:val="16"/>
        </w:rPr>
        <w:t>TM</w:t>
      </w:r>
      <w:r w:rsidRPr="00026720">
        <w:rPr>
          <w:rFonts w:ascii="Arial" w:hAnsi="Arial" w:cs="Arial"/>
          <w:color w:val="000000"/>
          <w:sz w:val="23"/>
          <w:szCs w:val="23"/>
        </w:rPr>
        <w:t xml:space="preserve">, model numbers 7164 and 71256. As such, the terms CSA, actigraph and accelerometer are referred to interchangeably in the TF2 meta-data and information sheets. </w:t>
      </w:r>
    </w:p>
    <w:p w14:paraId="155918E5" w14:textId="58B3D44B" w:rsidR="00026720" w:rsidRDefault="00026720" w:rsidP="00026720">
      <w:pPr>
        <w:pStyle w:val="Default"/>
        <w:rPr>
          <w:sz w:val="23"/>
          <w:szCs w:val="23"/>
        </w:rPr>
      </w:pPr>
      <w:r w:rsidRPr="00026720">
        <w:rPr>
          <w:sz w:val="23"/>
          <w:szCs w:val="23"/>
        </w:rPr>
        <w:t>Three day diet diaries were sent out before clinic to be completed by the adolescent, with parental assistance as needed. Adolescents were instructed to record all food and beverages consumed using standard household measures for the three days, including one weekend day. In order to add precision to the dietary diary data, questionnaires queried for additional information on vitamin supplements, medicine, types of spreads and other foods that were commonly eaten. Participants were asked to bring their completed diaries and food questionnaire with them to clinic.</w:t>
      </w:r>
    </w:p>
    <w:p w14:paraId="05E427AD" w14:textId="1CD2D6F1" w:rsidR="00D86F58" w:rsidRDefault="00D86F58" w:rsidP="00026720">
      <w:pPr>
        <w:pStyle w:val="Default"/>
        <w:rPr>
          <w:b/>
          <w:bCs/>
          <w:sz w:val="23"/>
          <w:szCs w:val="23"/>
        </w:rPr>
      </w:pPr>
    </w:p>
    <w:p w14:paraId="1FAB1A28"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The CSA ActiGraph™ is a commonly used accelerometer in child and adolescent free-living physical activity studies. At the TF2 clinic, young people were asked to wear the CSA </w:t>
      </w:r>
      <w:r w:rsidRPr="00D86F58">
        <w:rPr>
          <w:rFonts w:ascii="Arial" w:hAnsi="Arial" w:cs="Arial"/>
          <w:color w:val="000000"/>
          <w:sz w:val="23"/>
          <w:szCs w:val="23"/>
        </w:rPr>
        <w:lastRenderedPageBreak/>
        <w:t>ActiGraph</w:t>
      </w:r>
      <w:r w:rsidRPr="00D86F58">
        <w:rPr>
          <w:rFonts w:ascii="Arial" w:hAnsi="Arial" w:cs="Arial"/>
          <w:color w:val="000000"/>
          <w:sz w:val="14"/>
          <w:szCs w:val="14"/>
        </w:rPr>
        <w:t xml:space="preserve">TM </w:t>
      </w:r>
      <w:r w:rsidRPr="00D86F58">
        <w:rPr>
          <w:rFonts w:ascii="Arial" w:hAnsi="Arial" w:cs="Arial"/>
          <w:color w:val="000000"/>
          <w:sz w:val="23"/>
          <w:szCs w:val="23"/>
        </w:rPr>
        <w:t xml:space="preserve">accelerometer (model numbers 7164 (serial numbers 10706-27702) and 71256 (serial numbers 51103-52173)) on their right hip for 7 days, beginning the day after clinic attendance. Summary variables are included in the dataset. Reinvites have been excluded. </w:t>
      </w:r>
    </w:p>
    <w:p w14:paraId="0217224A"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Below details the derived variables in the dataset that may be useful for analysis. Those interested in recoding the raw data are invited to contact ALSPAC. </w:t>
      </w:r>
    </w:p>
    <w:p w14:paraId="4C8B155F"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b/>
          <w:bCs/>
          <w:color w:val="000000"/>
          <w:sz w:val="23"/>
          <w:szCs w:val="23"/>
        </w:rPr>
        <w:t xml:space="preserve">CPM </w:t>
      </w:r>
    </w:p>
    <w:p w14:paraId="0EBFC8F7"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Total physical activity is the total volume activity including activities at all intensities, measured as the average counts per minute (cpm) over the period of valid recording. This variable is used as it is the summary measure of total physical activity that has been validated against doubly labelled water. Associations with total physical activity are usually calculated per 100 cpm as this difference is of a similar order to the differences observed between males and females in these data. </w:t>
      </w:r>
    </w:p>
    <w:p w14:paraId="6E8D61FA"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b/>
          <w:bCs/>
          <w:color w:val="000000"/>
          <w:sz w:val="23"/>
          <w:szCs w:val="23"/>
        </w:rPr>
        <w:t xml:space="preserve">MVPA </w:t>
      </w:r>
    </w:p>
    <w:p w14:paraId="40F4A124"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MVPA is the average minutes of moderate to vigorous physical activity per valid day. This variable is commonly used as current physical activity recommendations for children are framed in terms of time spent each day in MVPA. A value of ≥ 3600 cpm was originally used to define MVPA at the time of the data collection (Mattocks </w:t>
      </w:r>
      <w:r w:rsidRPr="00D86F58">
        <w:rPr>
          <w:rFonts w:ascii="Arial" w:hAnsi="Arial" w:cs="Arial"/>
          <w:i/>
          <w:iCs/>
          <w:color w:val="000000"/>
          <w:sz w:val="23"/>
          <w:szCs w:val="23"/>
        </w:rPr>
        <w:t xml:space="preserve">et. al., </w:t>
      </w:r>
      <w:r w:rsidRPr="00D86F58">
        <w:rPr>
          <w:rFonts w:ascii="Arial" w:hAnsi="Arial" w:cs="Arial"/>
          <w:color w:val="000000"/>
          <w:sz w:val="23"/>
          <w:szCs w:val="23"/>
        </w:rPr>
        <w:t xml:space="preserve">2008). More recently, following Evenson </w:t>
      </w:r>
      <w:r w:rsidRPr="00D86F58">
        <w:rPr>
          <w:rFonts w:ascii="Arial" w:hAnsi="Arial" w:cs="Arial"/>
          <w:i/>
          <w:iCs/>
          <w:color w:val="000000"/>
          <w:sz w:val="23"/>
          <w:szCs w:val="23"/>
        </w:rPr>
        <w:t xml:space="preserve">et. al. </w:t>
      </w:r>
      <w:r w:rsidRPr="00D86F58">
        <w:rPr>
          <w:rFonts w:ascii="Arial" w:hAnsi="Arial" w:cs="Arial"/>
          <w:color w:val="000000"/>
          <w:sz w:val="23"/>
          <w:szCs w:val="23"/>
        </w:rPr>
        <w:t xml:space="preserve">(2008), a lower cutpoint of ≥2296 has been calculated. Both sets of data are included, where </w:t>
      </w:r>
      <w:r w:rsidRPr="00D86F58">
        <w:rPr>
          <w:rFonts w:ascii="Arial" w:hAnsi="Arial" w:cs="Arial"/>
          <w:i/>
          <w:iCs/>
          <w:color w:val="000000"/>
          <w:sz w:val="23"/>
          <w:szCs w:val="23"/>
        </w:rPr>
        <w:t xml:space="preserve">fg1203 </w:t>
      </w:r>
      <w:r w:rsidRPr="00D86F58">
        <w:rPr>
          <w:rFonts w:ascii="Arial" w:hAnsi="Arial" w:cs="Arial"/>
          <w:color w:val="000000"/>
          <w:sz w:val="23"/>
          <w:szCs w:val="23"/>
        </w:rPr>
        <w:t xml:space="preserve">- </w:t>
      </w:r>
      <w:r w:rsidRPr="00D86F58">
        <w:rPr>
          <w:rFonts w:ascii="Arial" w:hAnsi="Arial" w:cs="Arial"/>
          <w:i/>
          <w:iCs/>
          <w:color w:val="000000"/>
          <w:sz w:val="23"/>
          <w:szCs w:val="23"/>
        </w:rPr>
        <w:t xml:space="preserve">fg1291 </w:t>
      </w:r>
      <w:r w:rsidRPr="00D86F58">
        <w:rPr>
          <w:rFonts w:ascii="Arial" w:hAnsi="Arial" w:cs="Arial"/>
          <w:color w:val="000000"/>
          <w:sz w:val="23"/>
          <w:szCs w:val="23"/>
        </w:rPr>
        <w:t xml:space="preserve">use a cut point of ≥3600 and </w:t>
      </w:r>
      <w:r w:rsidRPr="00D86F58">
        <w:rPr>
          <w:rFonts w:ascii="Arial" w:hAnsi="Arial" w:cs="Arial"/>
          <w:i/>
          <w:iCs/>
          <w:color w:val="000000"/>
          <w:sz w:val="23"/>
          <w:szCs w:val="23"/>
        </w:rPr>
        <w:t xml:space="preserve">fg1300 </w:t>
      </w:r>
      <w:r w:rsidRPr="00D86F58">
        <w:rPr>
          <w:rFonts w:ascii="Arial" w:hAnsi="Arial" w:cs="Arial"/>
          <w:color w:val="000000"/>
          <w:sz w:val="23"/>
          <w:szCs w:val="23"/>
        </w:rPr>
        <w:t xml:space="preserve">- </w:t>
      </w:r>
      <w:r w:rsidRPr="00D86F58">
        <w:rPr>
          <w:rFonts w:ascii="Arial" w:hAnsi="Arial" w:cs="Arial"/>
          <w:i/>
          <w:iCs/>
          <w:color w:val="000000"/>
          <w:sz w:val="23"/>
          <w:szCs w:val="23"/>
        </w:rPr>
        <w:t xml:space="preserve">fg1337 </w:t>
      </w:r>
      <w:r w:rsidRPr="00D86F58">
        <w:rPr>
          <w:rFonts w:ascii="Arial" w:hAnsi="Arial" w:cs="Arial"/>
          <w:color w:val="000000"/>
          <w:sz w:val="23"/>
          <w:szCs w:val="23"/>
        </w:rPr>
        <w:t xml:space="preserve">use a cut-point of ≥2296. </w:t>
      </w:r>
    </w:p>
    <w:p w14:paraId="03D6BC85"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b/>
          <w:bCs/>
          <w:color w:val="000000"/>
          <w:sz w:val="23"/>
          <w:szCs w:val="23"/>
        </w:rPr>
        <w:t xml:space="preserve">Valid days </w:t>
      </w:r>
    </w:p>
    <w:p w14:paraId="600AF702"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At the time of writing (2018), the definition of a valid day of wear is generally between 480 to 600 minutes. There are two marker variables in the dataset: </w:t>
      </w:r>
      <w:r w:rsidRPr="00D86F58">
        <w:rPr>
          <w:rFonts w:ascii="Arial" w:hAnsi="Arial" w:cs="Arial"/>
          <w:i/>
          <w:iCs/>
          <w:color w:val="000000"/>
          <w:sz w:val="23"/>
          <w:szCs w:val="23"/>
        </w:rPr>
        <w:t xml:space="preserve">fg1203 </w:t>
      </w:r>
      <w:r w:rsidRPr="00D86F58">
        <w:rPr>
          <w:rFonts w:ascii="Arial" w:hAnsi="Arial" w:cs="Arial"/>
          <w:color w:val="000000"/>
          <w:sz w:val="23"/>
          <w:szCs w:val="23"/>
        </w:rPr>
        <w:t xml:space="preserve">and </w:t>
      </w:r>
      <w:r w:rsidRPr="00D86F58">
        <w:rPr>
          <w:rFonts w:ascii="Arial" w:hAnsi="Arial" w:cs="Arial"/>
          <w:i/>
          <w:iCs/>
          <w:color w:val="000000"/>
          <w:sz w:val="23"/>
          <w:szCs w:val="23"/>
        </w:rPr>
        <w:t xml:space="preserve">fg1300. fg1203 </w:t>
      </w:r>
      <w:r w:rsidRPr="00D86F58">
        <w:rPr>
          <w:rFonts w:ascii="Arial" w:hAnsi="Arial" w:cs="Arial"/>
          <w:color w:val="000000"/>
          <w:sz w:val="23"/>
          <w:szCs w:val="23"/>
        </w:rPr>
        <w:t xml:space="preserve">equals 1 when valid data is determined as at least 10 hours (600mins) of valid wear for at least 3 days. This threshold defines a valid day in variables </w:t>
      </w:r>
      <w:r w:rsidRPr="00D86F58">
        <w:rPr>
          <w:rFonts w:ascii="Arial" w:hAnsi="Arial" w:cs="Arial"/>
          <w:i/>
          <w:iCs/>
          <w:color w:val="000000"/>
          <w:sz w:val="23"/>
          <w:szCs w:val="23"/>
        </w:rPr>
        <w:t xml:space="preserve">fg1205 </w:t>
      </w:r>
      <w:r w:rsidRPr="00D86F58">
        <w:rPr>
          <w:rFonts w:ascii="Arial" w:hAnsi="Arial" w:cs="Arial"/>
          <w:color w:val="000000"/>
          <w:sz w:val="23"/>
          <w:szCs w:val="23"/>
        </w:rPr>
        <w:t xml:space="preserve">to </w:t>
      </w:r>
      <w:r w:rsidRPr="00D86F58">
        <w:rPr>
          <w:rFonts w:ascii="Arial" w:hAnsi="Arial" w:cs="Arial"/>
          <w:i/>
          <w:iCs/>
          <w:color w:val="000000"/>
          <w:sz w:val="23"/>
          <w:szCs w:val="23"/>
        </w:rPr>
        <w:t xml:space="preserve">fg1291. fg1300 </w:t>
      </w:r>
      <w:r w:rsidRPr="00D86F58">
        <w:rPr>
          <w:rFonts w:ascii="Arial" w:hAnsi="Arial" w:cs="Arial"/>
          <w:color w:val="000000"/>
          <w:sz w:val="23"/>
          <w:szCs w:val="23"/>
        </w:rPr>
        <w:t xml:space="preserve">summarises the number of valid days worn overall, based on 500 minutes of wear per valid day. This threshold defines a valid day in variables </w:t>
      </w:r>
      <w:r w:rsidRPr="00D86F58">
        <w:rPr>
          <w:rFonts w:ascii="Arial" w:hAnsi="Arial" w:cs="Arial"/>
          <w:i/>
          <w:iCs/>
          <w:color w:val="000000"/>
          <w:sz w:val="23"/>
          <w:szCs w:val="23"/>
        </w:rPr>
        <w:t xml:space="preserve">fg1301 </w:t>
      </w:r>
      <w:r w:rsidRPr="00D86F58">
        <w:rPr>
          <w:rFonts w:ascii="Arial" w:hAnsi="Arial" w:cs="Arial"/>
          <w:color w:val="000000"/>
          <w:sz w:val="23"/>
          <w:szCs w:val="23"/>
        </w:rPr>
        <w:t xml:space="preserve">to </w:t>
      </w:r>
      <w:r w:rsidRPr="00D86F58">
        <w:rPr>
          <w:rFonts w:ascii="Arial" w:hAnsi="Arial" w:cs="Arial"/>
          <w:i/>
          <w:iCs/>
          <w:color w:val="000000"/>
          <w:sz w:val="23"/>
          <w:szCs w:val="23"/>
        </w:rPr>
        <w:t>fg1337</w:t>
      </w:r>
      <w:r w:rsidRPr="00D86F58">
        <w:rPr>
          <w:rFonts w:ascii="Arial" w:hAnsi="Arial" w:cs="Arial"/>
          <w:color w:val="000000"/>
          <w:sz w:val="23"/>
          <w:szCs w:val="23"/>
        </w:rPr>
        <w:t xml:space="preserve">. </w:t>
      </w:r>
    </w:p>
    <w:p w14:paraId="1FB2E683"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Please note that the derivations using different cutpoints and valid day thresholds are clearly defined by the variable labels using the prefix ‘DV: ≥3600’ or ‘DV: ≥2296’. </w:t>
      </w:r>
    </w:p>
    <w:p w14:paraId="2D4200D0"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Evenson K.R., Cattellier D., Gill K., Ondrak K., McMurray R.G. (2008) ‘Calibration of two objective measures of physical activity for children’. </w:t>
      </w:r>
      <w:r w:rsidRPr="00D86F58">
        <w:rPr>
          <w:rFonts w:ascii="Arial" w:hAnsi="Arial" w:cs="Arial"/>
          <w:i/>
          <w:iCs/>
          <w:color w:val="000000"/>
          <w:sz w:val="23"/>
          <w:szCs w:val="23"/>
        </w:rPr>
        <w:t>Journal of Sports Science</w:t>
      </w:r>
      <w:r w:rsidRPr="00D86F58">
        <w:rPr>
          <w:rFonts w:ascii="Arial" w:hAnsi="Arial" w:cs="Arial"/>
          <w:color w:val="000000"/>
          <w:sz w:val="23"/>
          <w:szCs w:val="23"/>
        </w:rPr>
        <w:t xml:space="preserve">. (26):1557–65. </w:t>
      </w:r>
    </w:p>
    <w:p w14:paraId="5F8C8CC7" w14:textId="58260181" w:rsidR="00D86F58" w:rsidRDefault="00D86F58" w:rsidP="00D86F58">
      <w:pPr>
        <w:pStyle w:val="Default"/>
        <w:rPr>
          <w:b/>
          <w:bCs/>
          <w:sz w:val="23"/>
          <w:szCs w:val="23"/>
        </w:rPr>
      </w:pPr>
      <w:r w:rsidRPr="00D86F58">
        <w:rPr>
          <w:sz w:val="23"/>
          <w:szCs w:val="23"/>
        </w:rPr>
        <w:t xml:space="preserve">Mattocks, C., Ness, A., Leary, S., Tilling, K., Blair, S.N., Shield, J., Deere, K., Saunders, J., Kirkby, J., Smith, G.D., Wells, J., Wareham, N., Reilly, John J. and Riddoch, C. (2008). ‘Use of accelerometers in a large field-based study of children: protocols, design issues and effects on precision’. </w:t>
      </w:r>
      <w:r w:rsidRPr="00D86F58">
        <w:rPr>
          <w:i/>
          <w:iCs/>
          <w:sz w:val="23"/>
          <w:szCs w:val="23"/>
        </w:rPr>
        <w:t>Journal of Physical Activity and Health</w:t>
      </w:r>
      <w:r w:rsidRPr="00D86F58">
        <w:rPr>
          <w:sz w:val="23"/>
          <w:szCs w:val="23"/>
        </w:rPr>
        <w:t>, 5 (1): S94-S107: https://doi.org/10.1123/jpah.5.s1.s98</w:t>
      </w:r>
    </w:p>
    <w:p w14:paraId="66902886" w14:textId="77777777" w:rsidR="00026720" w:rsidRDefault="00026720" w:rsidP="00E869AF">
      <w:pPr>
        <w:pStyle w:val="Default"/>
        <w:rPr>
          <w:b/>
          <w:bCs/>
          <w:sz w:val="23"/>
          <w:szCs w:val="23"/>
        </w:rPr>
      </w:pPr>
    </w:p>
    <w:p w14:paraId="3BC72712" w14:textId="42B6DB60" w:rsidR="00D86F58" w:rsidRPr="00D86F58" w:rsidRDefault="00D86F58" w:rsidP="00D86F58">
      <w:pPr>
        <w:autoSpaceDE w:val="0"/>
        <w:autoSpaceDN w:val="0"/>
        <w:adjustRightInd w:val="0"/>
        <w:rPr>
          <w:rFonts w:ascii="Arial" w:hAnsi="Arial" w:cs="Arial"/>
          <w:color w:val="000000"/>
          <w:sz w:val="23"/>
          <w:szCs w:val="23"/>
        </w:rPr>
      </w:pPr>
      <w:r>
        <w:rPr>
          <w:rFonts w:ascii="Arial" w:hAnsi="Arial" w:cs="Arial"/>
          <w:b/>
          <w:bCs/>
          <w:color w:val="000000"/>
          <w:sz w:val="23"/>
          <w:szCs w:val="23"/>
        </w:rPr>
        <w:t xml:space="preserve">TF3 (age </w:t>
      </w:r>
      <w:r w:rsidR="00A410AA">
        <w:rPr>
          <w:rFonts w:ascii="Arial" w:hAnsi="Arial" w:cs="Arial"/>
          <w:b/>
          <w:bCs/>
          <w:color w:val="000000"/>
          <w:sz w:val="23"/>
          <w:szCs w:val="23"/>
        </w:rPr>
        <w:t>15.5</w:t>
      </w:r>
      <w:r>
        <w:rPr>
          <w:rFonts w:ascii="Arial" w:hAnsi="Arial" w:cs="Arial"/>
          <w:b/>
          <w:bCs/>
          <w:color w:val="000000"/>
          <w:sz w:val="23"/>
          <w:szCs w:val="23"/>
        </w:rPr>
        <w:t xml:space="preserve">). </w:t>
      </w:r>
    </w:p>
    <w:p w14:paraId="6232A94A"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The ActiGraph™ is a commonly used accelerometer in child and adolescent free-living physical activity studies. At the TF3 clinic, young people were asked to wear the ActiGraph</w:t>
      </w:r>
      <w:r w:rsidRPr="00D86F58">
        <w:rPr>
          <w:rFonts w:ascii="Arial" w:hAnsi="Arial" w:cs="Arial"/>
          <w:color w:val="000000"/>
          <w:sz w:val="14"/>
          <w:szCs w:val="14"/>
        </w:rPr>
        <w:t xml:space="preserve">TM </w:t>
      </w:r>
      <w:r w:rsidRPr="00D86F58">
        <w:rPr>
          <w:rFonts w:ascii="Arial" w:hAnsi="Arial" w:cs="Arial"/>
          <w:color w:val="000000"/>
          <w:sz w:val="23"/>
          <w:szCs w:val="23"/>
        </w:rPr>
        <w:t xml:space="preserve">accelerometer for 7 days, beginning the day after clinic attendance. Summary variables are included in the dataset. Reinvites have been excluded. </w:t>
      </w:r>
    </w:p>
    <w:p w14:paraId="4C956E39" w14:textId="7C0AC56B" w:rsid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Below details the derived variables in the dataset that may be useful for analysis. Those interested in recoding the raw data are invited to contact ALSPAC. </w:t>
      </w:r>
    </w:p>
    <w:p w14:paraId="44448804" w14:textId="77777777" w:rsidR="00A410AA" w:rsidRPr="00D86F58" w:rsidRDefault="00A410AA" w:rsidP="00D86F58">
      <w:pPr>
        <w:autoSpaceDE w:val="0"/>
        <w:autoSpaceDN w:val="0"/>
        <w:adjustRightInd w:val="0"/>
        <w:rPr>
          <w:rFonts w:ascii="Arial" w:hAnsi="Arial" w:cs="Arial"/>
          <w:color w:val="000000"/>
          <w:sz w:val="23"/>
          <w:szCs w:val="23"/>
        </w:rPr>
      </w:pPr>
    </w:p>
    <w:p w14:paraId="1BB26198"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b/>
          <w:bCs/>
          <w:color w:val="000000"/>
          <w:sz w:val="23"/>
          <w:szCs w:val="23"/>
        </w:rPr>
        <w:t xml:space="preserve">CPM </w:t>
      </w:r>
    </w:p>
    <w:p w14:paraId="2556B260"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Total physical activity is the total volume activity including activities at all intensities, measured as the average counts per minute (cpm) over the period of valid recording. This </w:t>
      </w:r>
      <w:r w:rsidRPr="00D86F58">
        <w:rPr>
          <w:rFonts w:ascii="Arial" w:hAnsi="Arial" w:cs="Arial"/>
          <w:color w:val="000000"/>
          <w:sz w:val="23"/>
          <w:szCs w:val="23"/>
        </w:rPr>
        <w:lastRenderedPageBreak/>
        <w:t xml:space="preserve">variable is used as it is the summary measure of total physical activity that has been validated against doubly labelled water. Associations with total physical activity are usually calculated per 100 cpm as this difference is of a similar order to the differences observed between males and females in these data. </w:t>
      </w:r>
    </w:p>
    <w:p w14:paraId="0A05E286"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b/>
          <w:bCs/>
          <w:color w:val="000000"/>
          <w:sz w:val="23"/>
          <w:szCs w:val="23"/>
        </w:rPr>
        <w:t xml:space="preserve">MVPA </w:t>
      </w:r>
    </w:p>
    <w:p w14:paraId="1ECFD366" w14:textId="1422DBE5" w:rsid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MVPA is the average minutes of moderate to vigorous physical activity per valid day. This variable is commonly used as current physical activity recommendations for children are framed in terms of time spent each day in MVPA. A value of &gt;= 3600 cpm was originally used to define MVPA at the time of the data collection (Mattocks </w:t>
      </w:r>
      <w:r w:rsidRPr="00D86F58">
        <w:rPr>
          <w:rFonts w:ascii="Arial" w:hAnsi="Arial" w:cs="Arial"/>
          <w:i/>
          <w:iCs/>
          <w:color w:val="000000"/>
          <w:sz w:val="23"/>
          <w:szCs w:val="23"/>
        </w:rPr>
        <w:t xml:space="preserve">et. al., </w:t>
      </w:r>
      <w:r w:rsidRPr="00D86F58">
        <w:rPr>
          <w:rFonts w:ascii="Arial" w:hAnsi="Arial" w:cs="Arial"/>
          <w:color w:val="000000"/>
          <w:sz w:val="23"/>
          <w:szCs w:val="23"/>
        </w:rPr>
        <w:t xml:space="preserve">2008). More recently, following Evenson </w:t>
      </w:r>
      <w:r w:rsidRPr="00D86F58">
        <w:rPr>
          <w:rFonts w:ascii="Arial" w:hAnsi="Arial" w:cs="Arial"/>
          <w:i/>
          <w:iCs/>
          <w:color w:val="000000"/>
          <w:sz w:val="23"/>
          <w:szCs w:val="23"/>
        </w:rPr>
        <w:t xml:space="preserve">et. al. </w:t>
      </w:r>
      <w:r w:rsidRPr="00D86F58">
        <w:rPr>
          <w:rFonts w:ascii="Arial" w:hAnsi="Arial" w:cs="Arial"/>
          <w:color w:val="000000"/>
          <w:sz w:val="23"/>
          <w:szCs w:val="23"/>
        </w:rPr>
        <w:t xml:space="preserve">(2008), a lower cutpoint of &gt;=2296 has been calculated. Both sets of data are included, where </w:t>
      </w:r>
      <w:r w:rsidRPr="00D86F58">
        <w:rPr>
          <w:rFonts w:ascii="Arial" w:hAnsi="Arial" w:cs="Arial"/>
          <w:i/>
          <w:iCs/>
          <w:color w:val="000000"/>
          <w:sz w:val="23"/>
          <w:szCs w:val="23"/>
        </w:rPr>
        <w:t xml:space="preserve">fh5010 </w:t>
      </w:r>
      <w:r w:rsidRPr="00D86F58">
        <w:rPr>
          <w:rFonts w:ascii="Arial" w:hAnsi="Arial" w:cs="Arial"/>
          <w:color w:val="000000"/>
          <w:sz w:val="23"/>
          <w:szCs w:val="23"/>
        </w:rPr>
        <w:t xml:space="preserve">- </w:t>
      </w:r>
      <w:r w:rsidRPr="00D86F58">
        <w:rPr>
          <w:rFonts w:ascii="Arial" w:hAnsi="Arial" w:cs="Arial"/>
          <w:i/>
          <w:iCs/>
          <w:color w:val="000000"/>
          <w:sz w:val="23"/>
          <w:szCs w:val="23"/>
        </w:rPr>
        <w:t xml:space="preserve">fh5078 </w:t>
      </w:r>
      <w:r w:rsidRPr="00D86F58">
        <w:rPr>
          <w:rFonts w:ascii="Arial" w:hAnsi="Arial" w:cs="Arial"/>
          <w:color w:val="000000"/>
          <w:sz w:val="23"/>
          <w:szCs w:val="23"/>
        </w:rPr>
        <w:t xml:space="preserve">use a cut point of &gt;=3600 and </w:t>
      </w:r>
      <w:r w:rsidRPr="00D86F58">
        <w:rPr>
          <w:rFonts w:ascii="Arial" w:hAnsi="Arial" w:cs="Arial"/>
          <w:i/>
          <w:iCs/>
          <w:color w:val="000000"/>
          <w:sz w:val="23"/>
          <w:szCs w:val="23"/>
        </w:rPr>
        <w:t xml:space="preserve">fh5100 </w:t>
      </w:r>
      <w:r w:rsidRPr="00D86F58">
        <w:rPr>
          <w:rFonts w:ascii="Arial" w:hAnsi="Arial" w:cs="Arial"/>
          <w:color w:val="000000"/>
          <w:sz w:val="23"/>
          <w:szCs w:val="23"/>
        </w:rPr>
        <w:t xml:space="preserve">– </w:t>
      </w:r>
      <w:r w:rsidRPr="00D86F58">
        <w:rPr>
          <w:rFonts w:ascii="Arial" w:hAnsi="Arial" w:cs="Arial"/>
          <w:i/>
          <w:iCs/>
          <w:color w:val="000000"/>
          <w:sz w:val="23"/>
          <w:szCs w:val="23"/>
        </w:rPr>
        <w:t xml:space="preserve">fh5137 </w:t>
      </w:r>
      <w:r w:rsidRPr="00D86F58">
        <w:rPr>
          <w:rFonts w:ascii="Arial" w:hAnsi="Arial" w:cs="Arial"/>
          <w:color w:val="000000"/>
          <w:sz w:val="23"/>
          <w:szCs w:val="23"/>
        </w:rPr>
        <w:t xml:space="preserve">use a cut-point of &gt;=2296. </w:t>
      </w:r>
    </w:p>
    <w:p w14:paraId="185A9CE3" w14:textId="674168E2" w:rsidR="00A410AA" w:rsidRDefault="00A410AA" w:rsidP="00D86F58">
      <w:pPr>
        <w:autoSpaceDE w:val="0"/>
        <w:autoSpaceDN w:val="0"/>
        <w:adjustRightInd w:val="0"/>
        <w:rPr>
          <w:rFonts w:ascii="Arial" w:hAnsi="Arial" w:cs="Arial"/>
          <w:color w:val="000000"/>
          <w:sz w:val="23"/>
          <w:szCs w:val="23"/>
        </w:rPr>
      </w:pPr>
    </w:p>
    <w:p w14:paraId="53619DB0" w14:textId="77777777" w:rsidR="00A410AA" w:rsidRPr="00D86F58" w:rsidRDefault="00A410AA" w:rsidP="00D86F58">
      <w:pPr>
        <w:autoSpaceDE w:val="0"/>
        <w:autoSpaceDN w:val="0"/>
        <w:adjustRightInd w:val="0"/>
        <w:rPr>
          <w:rFonts w:ascii="Arial" w:hAnsi="Arial" w:cs="Arial"/>
          <w:color w:val="000000"/>
          <w:sz w:val="23"/>
          <w:szCs w:val="23"/>
        </w:rPr>
      </w:pPr>
    </w:p>
    <w:p w14:paraId="25EDA3AF"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b/>
          <w:bCs/>
          <w:color w:val="000000"/>
          <w:sz w:val="23"/>
          <w:szCs w:val="23"/>
        </w:rPr>
        <w:t xml:space="preserve">Valid days </w:t>
      </w:r>
    </w:p>
    <w:p w14:paraId="28AD29D2"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At the time of writing (2018), the definition of a valid day of wear is generally between 480 to 600 minutes. There are two marker variables in the dataset: </w:t>
      </w:r>
      <w:r w:rsidRPr="00D86F58">
        <w:rPr>
          <w:rFonts w:ascii="Arial" w:hAnsi="Arial" w:cs="Arial"/>
          <w:i/>
          <w:iCs/>
          <w:color w:val="000000"/>
          <w:sz w:val="23"/>
          <w:szCs w:val="23"/>
        </w:rPr>
        <w:t xml:space="preserve">fh5073 </w:t>
      </w:r>
      <w:r w:rsidRPr="00D86F58">
        <w:rPr>
          <w:rFonts w:ascii="Arial" w:hAnsi="Arial" w:cs="Arial"/>
          <w:color w:val="000000"/>
          <w:sz w:val="23"/>
          <w:szCs w:val="23"/>
        </w:rPr>
        <w:t xml:space="preserve">and </w:t>
      </w:r>
      <w:r w:rsidRPr="00D86F58">
        <w:rPr>
          <w:rFonts w:ascii="Arial" w:hAnsi="Arial" w:cs="Arial"/>
          <w:i/>
          <w:iCs/>
          <w:color w:val="000000"/>
          <w:sz w:val="23"/>
          <w:szCs w:val="23"/>
        </w:rPr>
        <w:t xml:space="preserve">fh5100. fh5073 </w:t>
      </w:r>
      <w:r w:rsidRPr="00D86F58">
        <w:rPr>
          <w:rFonts w:ascii="Arial" w:hAnsi="Arial" w:cs="Arial"/>
          <w:color w:val="000000"/>
          <w:sz w:val="23"/>
          <w:szCs w:val="23"/>
        </w:rPr>
        <w:t xml:space="preserve">equals 1 when valid data is determined as at least 10 hours (600mins) of valid wear for at least 3 days. This threshold defines a valid day in variables </w:t>
      </w:r>
      <w:r w:rsidRPr="00D86F58">
        <w:rPr>
          <w:rFonts w:ascii="Arial" w:hAnsi="Arial" w:cs="Arial"/>
          <w:i/>
          <w:iCs/>
          <w:color w:val="000000"/>
          <w:sz w:val="23"/>
          <w:szCs w:val="23"/>
        </w:rPr>
        <w:t xml:space="preserve">fh5010 </w:t>
      </w:r>
      <w:r w:rsidRPr="00D86F58">
        <w:rPr>
          <w:rFonts w:ascii="Arial" w:hAnsi="Arial" w:cs="Arial"/>
          <w:color w:val="000000"/>
          <w:sz w:val="23"/>
          <w:szCs w:val="23"/>
        </w:rPr>
        <w:t xml:space="preserve">to </w:t>
      </w:r>
      <w:r w:rsidRPr="00D86F58">
        <w:rPr>
          <w:rFonts w:ascii="Arial" w:hAnsi="Arial" w:cs="Arial"/>
          <w:i/>
          <w:iCs/>
          <w:color w:val="000000"/>
          <w:sz w:val="23"/>
          <w:szCs w:val="23"/>
        </w:rPr>
        <w:t xml:space="preserve">fh5078. fh5100 </w:t>
      </w:r>
      <w:r w:rsidRPr="00D86F58">
        <w:rPr>
          <w:rFonts w:ascii="Arial" w:hAnsi="Arial" w:cs="Arial"/>
          <w:color w:val="000000"/>
          <w:sz w:val="23"/>
          <w:szCs w:val="23"/>
        </w:rPr>
        <w:t xml:space="preserve">summarises the number of valid days worn overall, based on a minimum of 500 minutes of wear per valid day. This threshold defines a valid day in variables </w:t>
      </w:r>
      <w:r w:rsidRPr="00D86F58">
        <w:rPr>
          <w:rFonts w:ascii="Arial" w:hAnsi="Arial" w:cs="Arial"/>
          <w:i/>
          <w:iCs/>
          <w:color w:val="000000"/>
          <w:sz w:val="23"/>
          <w:szCs w:val="23"/>
        </w:rPr>
        <w:t xml:space="preserve">fh5101 </w:t>
      </w:r>
      <w:r w:rsidRPr="00D86F58">
        <w:rPr>
          <w:rFonts w:ascii="Arial" w:hAnsi="Arial" w:cs="Arial"/>
          <w:color w:val="000000"/>
          <w:sz w:val="23"/>
          <w:szCs w:val="23"/>
        </w:rPr>
        <w:t xml:space="preserve">to </w:t>
      </w:r>
      <w:r w:rsidRPr="00D86F58">
        <w:rPr>
          <w:rFonts w:ascii="Arial" w:hAnsi="Arial" w:cs="Arial"/>
          <w:i/>
          <w:iCs/>
          <w:color w:val="000000"/>
          <w:sz w:val="23"/>
          <w:szCs w:val="23"/>
        </w:rPr>
        <w:t>fh5137</w:t>
      </w:r>
      <w:r w:rsidRPr="00D86F58">
        <w:rPr>
          <w:rFonts w:ascii="Arial" w:hAnsi="Arial" w:cs="Arial"/>
          <w:color w:val="000000"/>
          <w:sz w:val="23"/>
          <w:szCs w:val="23"/>
        </w:rPr>
        <w:t xml:space="preserve">. </w:t>
      </w:r>
    </w:p>
    <w:p w14:paraId="162A2E70"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Please note that the derivations using different cutpoints and valid day thresholds are clearly defined by the variable labels using the prefix ‘DV: </w:t>
      </w:r>
      <w:r w:rsidRPr="00D86F58">
        <w:rPr>
          <w:rFonts w:ascii="Arial" w:hAnsi="Arial" w:cs="Arial"/>
          <w:color w:val="212121"/>
          <w:sz w:val="22"/>
          <w:szCs w:val="22"/>
        </w:rPr>
        <w:t>≥</w:t>
      </w:r>
      <w:r w:rsidRPr="00D86F58">
        <w:rPr>
          <w:rFonts w:ascii="Arial" w:hAnsi="Arial" w:cs="Arial"/>
          <w:color w:val="000000"/>
          <w:sz w:val="23"/>
          <w:szCs w:val="23"/>
        </w:rPr>
        <w:t xml:space="preserve">3600’ or ‘DV: </w:t>
      </w:r>
      <w:r w:rsidRPr="00D86F58">
        <w:rPr>
          <w:rFonts w:ascii="Arial" w:hAnsi="Arial" w:cs="Arial"/>
          <w:color w:val="212121"/>
          <w:sz w:val="22"/>
          <w:szCs w:val="22"/>
        </w:rPr>
        <w:t xml:space="preserve">≥ </w:t>
      </w:r>
      <w:r w:rsidRPr="00D86F58">
        <w:rPr>
          <w:rFonts w:ascii="Arial" w:hAnsi="Arial" w:cs="Arial"/>
          <w:color w:val="000000"/>
          <w:sz w:val="23"/>
          <w:szCs w:val="23"/>
        </w:rPr>
        <w:t xml:space="preserve">2296’. </w:t>
      </w:r>
    </w:p>
    <w:p w14:paraId="6B444DA9" w14:textId="77777777" w:rsidR="00D86F58" w:rsidRPr="00D86F58" w:rsidRDefault="00D86F58" w:rsidP="00D86F58">
      <w:pPr>
        <w:autoSpaceDE w:val="0"/>
        <w:autoSpaceDN w:val="0"/>
        <w:adjustRightInd w:val="0"/>
        <w:rPr>
          <w:rFonts w:ascii="Arial" w:hAnsi="Arial" w:cs="Arial"/>
          <w:color w:val="000000"/>
          <w:sz w:val="23"/>
          <w:szCs w:val="23"/>
        </w:rPr>
      </w:pPr>
      <w:r w:rsidRPr="00D86F58">
        <w:rPr>
          <w:rFonts w:ascii="Arial" w:hAnsi="Arial" w:cs="Arial"/>
          <w:color w:val="000000"/>
          <w:sz w:val="23"/>
          <w:szCs w:val="23"/>
        </w:rPr>
        <w:t xml:space="preserve">Evenson K.R., Cattellier D., Gill K., Ondrak K., McMurray R.G. (2008) ‘Calibration of two objective measures of physical activity for children’. </w:t>
      </w:r>
      <w:r w:rsidRPr="00D86F58">
        <w:rPr>
          <w:rFonts w:ascii="Arial" w:hAnsi="Arial" w:cs="Arial"/>
          <w:i/>
          <w:iCs/>
          <w:color w:val="000000"/>
          <w:sz w:val="23"/>
          <w:szCs w:val="23"/>
        </w:rPr>
        <w:t>Journal of Sports Science</w:t>
      </w:r>
      <w:r w:rsidRPr="00D86F58">
        <w:rPr>
          <w:rFonts w:ascii="Arial" w:hAnsi="Arial" w:cs="Arial"/>
          <w:color w:val="000000"/>
          <w:sz w:val="23"/>
          <w:szCs w:val="23"/>
        </w:rPr>
        <w:t xml:space="preserve">. (26):1557–65. </w:t>
      </w:r>
    </w:p>
    <w:p w14:paraId="34AF8A60" w14:textId="36643778" w:rsidR="00D86F58" w:rsidRDefault="00D86F58" w:rsidP="00D86F58">
      <w:pPr>
        <w:pStyle w:val="Default"/>
        <w:rPr>
          <w:b/>
          <w:bCs/>
          <w:sz w:val="23"/>
          <w:szCs w:val="23"/>
        </w:rPr>
      </w:pPr>
      <w:r w:rsidRPr="00D86F58">
        <w:rPr>
          <w:sz w:val="23"/>
          <w:szCs w:val="23"/>
        </w:rPr>
        <w:t xml:space="preserve">Mattocks, C., Ness, A., Leary, S., Tilling, K., Blair, S.N., Shield, J., Deere, K., Saunders, J., Kirkby, J., Smith, G.D., Wells, J., Wareham, N., Reilly, John J. and Riddoch, C. (2008). ‘Use of accelerometers in a large field-based study of children: protocols, design issues and effects on precision’. </w:t>
      </w:r>
      <w:r w:rsidRPr="00D86F58">
        <w:rPr>
          <w:i/>
          <w:iCs/>
          <w:sz w:val="23"/>
          <w:szCs w:val="23"/>
        </w:rPr>
        <w:t>Journal of Physical Activity and Health</w:t>
      </w:r>
      <w:r w:rsidRPr="00D86F58">
        <w:rPr>
          <w:sz w:val="23"/>
          <w:szCs w:val="23"/>
        </w:rPr>
        <w:t>, 5 (1): S94-S107: https://doi.org/10.1123/jpah.5.s1.s98</w:t>
      </w:r>
    </w:p>
    <w:p w14:paraId="68070E0D" w14:textId="77777777" w:rsidR="00D86F58" w:rsidRDefault="00D86F58" w:rsidP="00E869AF">
      <w:pPr>
        <w:pStyle w:val="Default"/>
        <w:rPr>
          <w:b/>
          <w:bCs/>
          <w:sz w:val="23"/>
          <w:szCs w:val="23"/>
        </w:rPr>
      </w:pPr>
    </w:p>
    <w:p w14:paraId="571CFE86" w14:textId="4D5C4670" w:rsidR="00E869AF" w:rsidRDefault="00E869AF" w:rsidP="00E869AF">
      <w:pPr>
        <w:pStyle w:val="Default"/>
        <w:rPr>
          <w:sz w:val="23"/>
          <w:szCs w:val="23"/>
        </w:rPr>
      </w:pPr>
      <w:r>
        <w:rPr>
          <w:b/>
          <w:bCs/>
          <w:sz w:val="23"/>
          <w:szCs w:val="23"/>
        </w:rPr>
        <w:t xml:space="preserve">Age 24. Actigraph activity monitoring session </w:t>
      </w:r>
    </w:p>
    <w:p w14:paraId="0E5D4BD3" w14:textId="77777777" w:rsidR="00E869AF" w:rsidRDefault="00E869AF" w:rsidP="00E869AF">
      <w:pPr>
        <w:pStyle w:val="Default"/>
        <w:rPr>
          <w:sz w:val="23"/>
          <w:szCs w:val="23"/>
        </w:rPr>
      </w:pPr>
      <w:r>
        <w:rPr>
          <w:sz w:val="23"/>
          <w:szCs w:val="23"/>
        </w:rPr>
        <w:t xml:space="preserve">For this session, participants were asked to wear an ActiGraph GT3X+ accelerometer device for four consecutive days, ideally starting the day after the clinic visit. This device provides an objective measurement of human activity. </w:t>
      </w:r>
    </w:p>
    <w:p w14:paraId="2C329BC5" w14:textId="77777777" w:rsidR="00E869AF" w:rsidRDefault="00E869AF" w:rsidP="00E869AF">
      <w:pPr>
        <w:pStyle w:val="Default"/>
        <w:rPr>
          <w:sz w:val="23"/>
          <w:szCs w:val="23"/>
        </w:rPr>
      </w:pPr>
      <w:r>
        <w:rPr>
          <w:sz w:val="23"/>
          <w:szCs w:val="23"/>
        </w:rPr>
        <w:t xml:space="preserve">The device is a small plastic box worn around the waist, just above the right hip. Participants were instructed to wear the device from first thing in the morning until they went to bed. They were advised to only take it off to avoid getting the device wet (e.g., swimming or bath/shower) or during physical contact sports to avoid damaging the device (e.g., rugby). To monitor wear times, YPs completed a diary of the times they wore and took off the device. </w:t>
      </w:r>
    </w:p>
    <w:p w14:paraId="2C8E9E4C" w14:textId="77777777" w:rsidR="00E869AF" w:rsidRDefault="00E869AF" w:rsidP="00E869AF">
      <w:pPr>
        <w:pStyle w:val="Default"/>
        <w:rPr>
          <w:sz w:val="23"/>
          <w:szCs w:val="23"/>
        </w:rPr>
      </w:pPr>
      <w:r>
        <w:rPr>
          <w:sz w:val="23"/>
          <w:szCs w:val="23"/>
        </w:rPr>
        <w:t xml:space="preserve">Participants were advised to wear the accelerometer devices if the following days were part of a ‘normal week’ with regards to the activity of the YP. If the participant was doing anything unusual in the days after the clinic, such as going on holiday, then the accelerometer was to be sent to them at an agreed future date. </w:t>
      </w:r>
    </w:p>
    <w:p w14:paraId="765B9941" w14:textId="77777777" w:rsidR="00E869AF" w:rsidRDefault="00E869AF" w:rsidP="00E869AF">
      <w:pPr>
        <w:pStyle w:val="Default"/>
        <w:rPr>
          <w:sz w:val="23"/>
          <w:szCs w:val="23"/>
        </w:rPr>
      </w:pPr>
      <w:r>
        <w:rPr>
          <w:sz w:val="23"/>
          <w:szCs w:val="23"/>
        </w:rPr>
        <w:t>The actigraph session was conducted as part of the SEACHANGE cardiovascular health project, with data collected between 17</w:t>
      </w:r>
      <w:r>
        <w:rPr>
          <w:sz w:val="16"/>
          <w:szCs w:val="16"/>
        </w:rPr>
        <w:t xml:space="preserve">th </w:t>
      </w:r>
      <w:r>
        <w:rPr>
          <w:sz w:val="23"/>
          <w:szCs w:val="23"/>
        </w:rPr>
        <w:t>November 2015 and 31</w:t>
      </w:r>
      <w:r>
        <w:rPr>
          <w:sz w:val="16"/>
          <w:szCs w:val="16"/>
        </w:rPr>
        <w:t xml:space="preserve">st </w:t>
      </w:r>
      <w:r>
        <w:rPr>
          <w:sz w:val="23"/>
          <w:szCs w:val="23"/>
        </w:rPr>
        <w:t xml:space="preserve">March 2017. </w:t>
      </w:r>
    </w:p>
    <w:p w14:paraId="3313560A" w14:textId="77777777" w:rsidR="00E869AF" w:rsidRDefault="00E869AF" w:rsidP="00E869AF">
      <w:pPr>
        <w:pStyle w:val="Default"/>
        <w:rPr>
          <w:sz w:val="23"/>
          <w:szCs w:val="23"/>
        </w:rPr>
      </w:pPr>
      <w:r>
        <w:rPr>
          <w:sz w:val="23"/>
          <w:szCs w:val="23"/>
        </w:rPr>
        <w:lastRenderedPageBreak/>
        <w:t xml:space="preserve">The cut-points used to distinguish different types of physical activity in the variables below are as follows (based on counts per minute; cpm): </w:t>
      </w:r>
    </w:p>
    <w:p w14:paraId="07D88831" w14:textId="77777777" w:rsidR="00E869AF" w:rsidRDefault="00E869AF" w:rsidP="00E869AF">
      <w:pPr>
        <w:pStyle w:val="Default"/>
        <w:numPr>
          <w:ilvl w:val="0"/>
          <w:numId w:val="2"/>
        </w:numPr>
        <w:spacing w:after="36"/>
        <w:rPr>
          <w:sz w:val="23"/>
          <w:szCs w:val="23"/>
        </w:rPr>
      </w:pPr>
      <w:r>
        <w:rPr>
          <w:sz w:val="23"/>
          <w:szCs w:val="23"/>
        </w:rPr>
        <w:t>• _S_e_d_e_n_t_a_r_y_:_ _&lt;_1_0_0_ _c_p_m_ _</w:t>
      </w:r>
    </w:p>
    <w:p w14:paraId="18ED6904" w14:textId="77777777" w:rsidR="00E869AF" w:rsidRDefault="00E869AF" w:rsidP="00E869AF">
      <w:pPr>
        <w:pStyle w:val="Default"/>
        <w:numPr>
          <w:ilvl w:val="0"/>
          <w:numId w:val="2"/>
        </w:numPr>
        <w:spacing w:after="36"/>
        <w:rPr>
          <w:sz w:val="23"/>
          <w:szCs w:val="23"/>
        </w:rPr>
      </w:pPr>
      <w:r>
        <w:rPr>
          <w:sz w:val="23"/>
          <w:szCs w:val="23"/>
        </w:rPr>
        <w:t xml:space="preserve">• _Light physical activity: 100-2020 cpm </w:t>
      </w:r>
    </w:p>
    <w:p w14:paraId="66E26E2E" w14:textId="77777777" w:rsidR="00E869AF" w:rsidRDefault="00E869AF" w:rsidP="00E869AF">
      <w:pPr>
        <w:pStyle w:val="Default"/>
        <w:numPr>
          <w:ilvl w:val="0"/>
          <w:numId w:val="2"/>
        </w:numPr>
        <w:rPr>
          <w:sz w:val="23"/>
          <w:szCs w:val="23"/>
        </w:rPr>
      </w:pPr>
      <w:r>
        <w:rPr>
          <w:sz w:val="23"/>
          <w:szCs w:val="23"/>
        </w:rPr>
        <w:t xml:space="preserve">• _Moderate-to-vigorous physical activity: &gt;2020 cpm </w:t>
      </w:r>
    </w:p>
    <w:p w14:paraId="17A9CF9A" w14:textId="77777777" w:rsidR="00E869AF" w:rsidRDefault="00E869AF" w:rsidP="00E869AF">
      <w:pPr>
        <w:pStyle w:val="Default"/>
        <w:rPr>
          <w:sz w:val="23"/>
          <w:szCs w:val="23"/>
        </w:rPr>
      </w:pPr>
    </w:p>
    <w:p w14:paraId="688E0835" w14:textId="77777777" w:rsidR="00E869AF" w:rsidRDefault="00E869AF" w:rsidP="00E869AF">
      <w:pPr>
        <w:pStyle w:val="Default"/>
        <w:rPr>
          <w:sz w:val="23"/>
          <w:szCs w:val="23"/>
        </w:rPr>
      </w:pPr>
      <w:r>
        <w:rPr>
          <w:sz w:val="23"/>
          <w:szCs w:val="23"/>
        </w:rPr>
        <w:t xml:space="preserve">Note that these cut-points are different from those previously used in ALSPAC as the participants are now adults. These cut-points have previously been used by Troiano </w:t>
      </w:r>
      <w:r>
        <w:rPr>
          <w:i/>
          <w:iCs/>
          <w:sz w:val="23"/>
          <w:szCs w:val="23"/>
        </w:rPr>
        <w:t xml:space="preserve">et al. </w:t>
      </w:r>
      <w:r>
        <w:rPr>
          <w:sz w:val="23"/>
          <w:szCs w:val="23"/>
        </w:rPr>
        <w:t xml:space="preserve">(2008), but if researchers would like to use different cut-points it is possible to reprocess the raw actigraph data (although additional fees may apply). </w:t>
      </w:r>
    </w:p>
    <w:p w14:paraId="2BDDBB1D" w14:textId="77777777" w:rsidR="00E869AF" w:rsidRDefault="00E869AF" w:rsidP="00E869AF">
      <w:pPr>
        <w:pStyle w:val="Default"/>
        <w:rPr>
          <w:sz w:val="23"/>
          <w:szCs w:val="23"/>
        </w:rPr>
      </w:pPr>
      <w:r>
        <w:rPr>
          <w:sz w:val="23"/>
          <w:szCs w:val="23"/>
        </w:rPr>
        <w:t xml:space="preserve">Valid days were operationalised as a wear time of at least 500 minutes, after excluding intervals of &gt;60 minutes of zero counts. This follows previous protocols, and provides the most data per participant. </w:t>
      </w:r>
    </w:p>
    <w:p w14:paraId="7460038D" w14:textId="77777777" w:rsidR="00E869AF" w:rsidRDefault="00E869AF" w:rsidP="00E869AF">
      <w:pPr>
        <w:pStyle w:val="Default"/>
        <w:rPr>
          <w:sz w:val="23"/>
          <w:szCs w:val="23"/>
        </w:rPr>
      </w:pPr>
      <w:r>
        <w:rPr>
          <w:sz w:val="23"/>
          <w:szCs w:val="23"/>
        </w:rPr>
        <w:t xml:space="preserve">Note also that this physical activity data is based solely on data held in the device. The activity diaries completed by participants has not been processed, but the raw data is available upon request (although additional fees may apply). </w:t>
      </w:r>
    </w:p>
    <w:p w14:paraId="22752505" w14:textId="77777777" w:rsidR="00E869AF" w:rsidRDefault="00E869AF" w:rsidP="00E869AF">
      <w:pPr>
        <w:pStyle w:val="Default"/>
        <w:rPr>
          <w:sz w:val="23"/>
          <w:szCs w:val="23"/>
        </w:rPr>
      </w:pPr>
      <w:r>
        <w:rPr>
          <w:sz w:val="23"/>
          <w:szCs w:val="23"/>
        </w:rPr>
        <w:t xml:space="preserve">Variables FKAC1010 to FKAC1110 detail physical activity over all days the device was worn, variables FKAC1200 to FKAC1300 detail physical activity over weekdays on which the device was worn, while variables FKAC1400 to FKAC1500 detail physical activity over weekend days on which the device was worn. </w:t>
      </w:r>
    </w:p>
    <w:p w14:paraId="185F044D" w14:textId="031A00C5" w:rsidR="00E869AF" w:rsidRPr="000A769A" w:rsidRDefault="00E869AF" w:rsidP="00E869AF">
      <w:pPr>
        <w:rPr>
          <w:rFonts w:ascii="Arial" w:hAnsi="Arial" w:cs="Arial"/>
          <w:color w:val="000000" w:themeColor="text1"/>
          <w:sz w:val="22"/>
          <w:szCs w:val="22"/>
        </w:rPr>
      </w:pPr>
      <w:r>
        <w:rPr>
          <w:sz w:val="23"/>
          <w:szCs w:val="23"/>
        </w:rPr>
        <w:t>Troiano, R. P., Berrigan, D., Dodd, K. W., Masse, L. C., Tilert, T. &amp; McDowell, M. (2008). Physical activity in the United States measured by accelerometer. Medicine and Science in Sports and Exercise, 40(1), 181-188.</w:t>
      </w:r>
    </w:p>
    <w:p w14:paraId="5663BDB0" w14:textId="15A49528" w:rsidR="00A84730" w:rsidRPr="004B4D15" w:rsidRDefault="00A84730">
      <w:pPr>
        <w:rPr>
          <w:rFonts w:ascii="Arial" w:hAnsi="Arial" w:cs="Arial"/>
          <w:sz w:val="22"/>
          <w:szCs w:val="22"/>
        </w:rPr>
      </w:pPr>
    </w:p>
    <w:p w14:paraId="4B70EC4B" w14:textId="77777777" w:rsidR="00A84730" w:rsidRPr="004B4D15" w:rsidRDefault="00C95FC0" w:rsidP="00721048">
      <w:pPr>
        <w:jc w:val="center"/>
        <w:rPr>
          <w:rFonts w:ascii="Arial" w:hAnsi="Arial" w:cs="Arial"/>
          <w:b/>
          <w:sz w:val="22"/>
          <w:szCs w:val="22"/>
        </w:rPr>
      </w:pPr>
      <w:r w:rsidRPr="004B4D15">
        <w:rPr>
          <w:rFonts w:ascii="Arial" w:hAnsi="Arial" w:cs="Arial"/>
          <w:b/>
          <w:sz w:val="22"/>
          <w:szCs w:val="22"/>
        </w:rPr>
        <w:t>Analytic Plan</w:t>
      </w:r>
    </w:p>
    <w:p w14:paraId="4625CD8A" w14:textId="77777777" w:rsidR="00C95FC0" w:rsidRPr="004B4D15" w:rsidRDefault="00C95FC0">
      <w:pPr>
        <w:rPr>
          <w:rFonts w:ascii="Arial" w:hAnsi="Arial" w:cs="Arial"/>
          <w:b/>
          <w:sz w:val="22"/>
          <w:szCs w:val="22"/>
        </w:rPr>
      </w:pPr>
    </w:p>
    <w:p w14:paraId="616DEB3D" w14:textId="325C5185" w:rsidR="002932E4" w:rsidRPr="004B4D15" w:rsidRDefault="002932E4" w:rsidP="00BD2CE1">
      <w:pPr>
        <w:pStyle w:val="ListParagraph"/>
        <w:numPr>
          <w:ilvl w:val="0"/>
          <w:numId w:val="1"/>
        </w:numPr>
        <w:ind w:left="360"/>
        <w:rPr>
          <w:rFonts w:ascii="Arial" w:hAnsi="Arial" w:cs="Arial"/>
          <w:b/>
          <w:sz w:val="22"/>
          <w:szCs w:val="22"/>
        </w:rPr>
      </w:pPr>
      <w:r w:rsidRPr="004B4D15">
        <w:rPr>
          <w:rFonts w:ascii="Arial" w:hAnsi="Arial" w:cs="Arial"/>
          <w:b/>
          <w:bCs/>
          <w:color w:val="000000" w:themeColor="text1"/>
          <w:sz w:val="22"/>
          <w:szCs w:val="22"/>
        </w:rPr>
        <w:t>Step 1: Trajectory modeling of PA</w:t>
      </w:r>
      <w:r w:rsidRPr="004B4D15">
        <w:rPr>
          <w:rFonts w:ascii="Arial" w:hAnsi="Arial" w:cs="Arial"/>
          <w:color w:val="000000" w:themeColor="text1"/>
          <w:sz w:val="22"/>
          <w:szCs w:val="22"/>
        </w:rPr>
        <w:t xml:space="preserve">. </w:t>
      </w:r>
      <w:r w:rsidR="00F03FC5" w:rsidRPr="004B4D15">
        <w:rPr>
          <w:rFonts w:ascii="Arial" w:hAnsi="Arial" w:cs="Arial"/>
          <w:color w:val="000000" w:themeColor="text1"/>
          <w:sz w:val="22"/>
          <w:szCs w:val="22"/>
        </w:rPr>
        <w:t>We will use</w:t>
      </w:r>
      <w:r w:rsidRPr="004B4D15">
        <w:rPr>
          <w:rFonts w:ascii="Arial" w:hAnsi="Arial" w:cs="Arial"/>
          <w:color w:val="000000" w:themeColor="text1"/>
          <w:sz w:val="22"/>
          <w:szCs w:val="22"/>
        </w:rPr>
        <w:t xml:space="preserve"> group based trajectory modeling (GBTM)</w:t>
      </w:r>
      <w:r w:rsidR="000A769A">
        <w:rPr>
          <w:rFonts w:ascii="Arial" w:hAnsi="Arial" w:cs="Arial"/>
          <w:color w:val="000000" w:themeColor="text1"/>
          <w:sz w:val="22"/>
          <w:szCs w:val="22"/>
        </w:rPr>
        <w:fldChar w:fldCharType="begin"/>
      </w:r>
      <w:r w:rsidR="000A769A">
        <w:rPr>
          <w:rFonts w:ascii="Arial" w:hAnsi="Arial" w:cs="Arial"/>
          <w:color w:val="000000" w:themeColor="text1"/>
          <w:sz w:val="22"/>
          <w:szCs w:val="22"/>
        </w:rPr>
        <w:instrText xml:space="preserve"> ADDIN ZOTERO_ITEM CSL_CITATION {"citationID":"JpKEOnbG","properties":{"formattedCitation":"\\super 42\\nosupersub{}","plainCitation":"42","noteIndex":0},"citationItems":[{"id":13624,"uris":["http://zotero.org/users/2565677/items/YCWBMZ7H"],"uri":["http://zotero.org/users/2565677/items/YCWBMZ7H"],"itemData":{"id":13624,"type":"article-journal","abstract":"Group-based trajectory models are increasingly being applied in clinical research to map the developmental course of symptoms and assess heterogeneity in response to clinical interventions. In this review, we provide a nontechnical overview of group-based trajectory and growth mixture modeling alongside a sampling of how these models have been applied in clinical research. We discuss the challenges associated with the application of both types of group-based models and propose a set of preliminary guidelines for applied researchers to follow when reporting model results. Future directions in group-based modeling applications are discussed, including the use of trajectory models to facilitate causal inference when random assignment to treatment condition is not possible.","container-title":"Annual Review of Clinical Psychology","DOI":"10.1146/annurev.clinpsy.121208.131413","ISSN":"1548-5951","journalAbbreviation":"Annu Rev Clin Psychol","language":"eng","note":"PMID: 20192788","page":"109-138","source":"PubMed","title":"Group-based trajectory modeling in clinical research","volume":"6","author":[{"family":"Nagin","given":"Daniel S."},{"family":"Odgers","given":"Candice L."}],"issued":{"date-parts":[["2010"]]}}}],"schema":"https://github.com/citation-style-language/schema/raw/master/csl-citation.json"} </w:instrText>
      </w:r>
      <w:r w:rsidR="000A769A">
        <w:rPr>
          <w:rFonts w:ascii="Arial" w:hAnsi="Arial" w:cs="Arial"/>
          <w:color w:val="000000" w:themeColor="text1"/>
          <w:sz w:val="22"/>
          <w:szCs w:val="22"/>
        </w:rPr>
        <w:fldChar w:fldCharType="separate"/>
      </w:r>
      <w:r w:rsidR="000A769A" w:rsidRPr="000A769A">
        <w:rPr>
          <w:rFonts w:ascii="Arial" w:hAnsi="Arial" w:cs="Arial"/>
          <w:color w:val="000000"/>
          <w:sz w:val="22"/>
          <w:vertAlign w:val="superscript"/>
        </w:rPr>
        <w:t>42</w:t>
      </w:r>
      <w:r w:rsidR="000A769A">
        <w:rPr>
          <w:rFonts w:ascii="Arial" w:hAnsi="Arial" w:cs="Arial"/>
          <w:color w:val="000000" w:themeColor="text1"/>
          <w:sz w:val="22"/>
          <w:szCs w:val="22"/>
        </w:rPr>
        <w:fldChar w:fldCharType="end"/>
      </w:r>
      <w:r w:rsidR="000A769A">
        <w:rPr>
          <w:rFonts w:ascii="Arial" w:hAnsi="Arial" w:cs="Arial"/>
          <w:color w:val="000000" w:themeColor="text1"/>
          <w:sz w:val="22"/>
          <w:szCs w:val="22"/>
        </w:rPr>
        <w:t xml:space="preserve"> </w:t>
      </w:r>
      <w:r w:rsidRPr="004B4D15">
        <w:rPr>
          <w:rFonts w:ascii="Arial" w:hAnsi="Arial" w:cs="Arial"/>
          <w:color w:val="000000" w:themeColor="text1"/>
          <w:sz w:val="22"/>
          <w:szCs w:val="22"/>
        </w:rPr>
        <w:t xml:space="preserve">to define trajectories of MVPA from middle childhood through emerging adulthood for all participants with at least one PA assessment, using Maximum likelihood (ML) estimation with estimation maximization (EM). Following estimation, posterior class probabilities will be derived and used to assign individuals to classes. To estimate associations with DEx, we will use a </w:t>
      </w:r>
      <w:r w:rsidRPr="004B4D15">
        <w:rPr>
          <w:rFonts w:ascii="Arial" w:hAnsi="Arial" w:cs="Arial"/>
          <w:sz w:val="22"/>
          <w:szCs w:val="22"/>
        </w:rPr>
        <w:t>“3-step approach.” First, the best fitting latent trajectory model is used to assign individuals to their most likely class using the predicted posterior probabilities of belonging to each class. These classifications will be saved (2</w:t>
      </w:r>
      <w:r w:rsidRPr="004B4D15">
        <w:rPr>
          <w:rFonts w:ascii="Arial" w:hAnsi="Arial" w:cs="Arial"/>
          <w:sz w:val="22"/>
          <w:szCs w:val="22"/>
          <w:vertAlign w:val="superscript"/>
        </w:rPr>
        <w:t>nd</w:t>
      </w:r>
      <w:r w:rsidRPr="004B4D15">
        <w:rPr>
          <w:rFonts w:ascii="Arial" w:hAnsi="Arial" w:cs="Arial"/>
          <w:sz w:val="22"/>
          <w:szCs w:val="22"/>
        </w:rPr>
        <w:t xml:space="preserve"> step) and then included as predictors in the relevant new analyses (3</w:t>
      </w:r>
      <w:r w:rsidRPr="004B4D15">
        <w:rPr>
          <w:rFonts w:ascii="Arial" w:hAnsi="Arial" w:cs="Arial"/>
          <w:sz w:val="22"/>
          <w:szCs w:val="22"/>
          <w:vertAlign w:val="superscript"/>
        </w:rPr>
        <w:t>rd</w:t>
      </w:r>
      <w:r w:rsidRPr="004B4D15">
        <w:rPr>
          <w:rFonts w:ascii="Arial" w:hAnsi="Arial" w:cs="Arial"/>
          <w:sz w:val="22"/>
          <w:szCs w:val="22"/>
        </w:rPr>
        <w:t xml:space="preserve"> step). </w:t>
      </w:r>
    </w:p>
    <w:p w14:paraId="0597F6A3" w14:textId="77777777" w:rsidR="00827F44" w:rsidRPr="004B4D15" w:rsidRDefault="00827F44" w:rsidP="00827F44">
      <w:pPr>
        <w:pStyle w:val="ListParagraph"/>
        <w:ind w:left="360"/>
        <w:rPr>
          <w:rFonts w:ascii="Arial" w:hAnsi="Arial" w:cs="Arial"/>
          <w:b/>
          <w:sz w:val="22"/>
          <w:szCs w:val="22"/>
        </w:rPr>
      </w:pPr>
    </w:p>
    <w:p w14:paraId="50E65C06" w14:textId="4304C389" w:rsidR="002932E4" w:rsidRPr="004B4D15" w:rsidRDefault="002932E4" w:rsidP="00BD2CE1">
      <w:pPr>
        <w:pStyle w:val="ListParagraph"/>
        <w:numPr>
          <w:ilvl w:val="0"/>
          <w:numId w:val="1"/>
        </w:numPr>
        <w:ind w:left="360"/>
        <w:rPr>
          <w:rFonts w:ascii="Arial" w:hAnsi="Arial" w:cs="Arial"/>
          <w:b/>
          <w:sz w:val="22"/>
          <w:szCs w:val="22"/>
        </w:rPr>
      </w:pPr>
      <w:r w:rsidRPr="004B4D15">
        <w:rPr>
          <w:rFonts w:ascii="Arial" w:hAnsi="Arial" w:cs="Arial"/>
          <w:b/>
          <w:bCs/>
          <w:color w:val="000000" w:themeColor="text1"/>
          <w:sz w:val="22"/>
          <w:szCs w:val="22"/>
        </w:rPr>
        <w:t>Step 2: Associations with DEx</w:t>
      </w:r>
      <w:r w:rsidRPr="004B4D15">
        <w:rPr>
          <w:rFonts w:ascii="Arial" w:hAnsi="Arial" w:cs="Arial"/>
          <w:color w:val="000000" w:themeColor="text1"/>
          <w:sz w:val="22"/>
          <w:szCs w:val="22"/>
        </w:rPr>
        <w:t xml:space="preserve">. </w:t>
      </w:r>
      <w:r w:rsidRPr="004B4D15">
        <w:rPr>
          <w:rFonts w:ascii="Arial" w:hAnsi="Arial" w:cs="Arial"/>
          <w:sz w:val="22"/>
          <w:szCs w:val="22"/>
        </w:rPr>
        <w:t>We will estimate the association between PA trajectories with DEx and ED diagnoses (both at individual time points and lifetime risk by age 24) during adolescence using multivariable logistic regression models. We will assume outcome data were missing at random (MAR)</w:t>
      </w:r>
      <w:r w:rsidR="00721048" w:rsidRPr="004B4D15">
        <w:rPr>
          <w:rFonts w:ascii="Arial" w:hAnsi="Arial" w:cs="Arial"/>
          <w:sz w:val="22"/>
          <w:szCs w:val="22"/>
        </w:rPr>
        <w:t xml:space="preserve"> conditionally on the variables included in the models which are associated with drop-out. We will use maximum likelihood estimation to account for missing data.</w:t>
      </w:r>
    </w:p>
    <w:p w14:paraId="24D82446" w14:textId="77777777" w:rsidR="00721048" w:rsidRPr="004B4D15" w:rsidRDefault="00721048" w:rsidP="00721048">
      <w:pPr>
        <w:pStyle w:val="ListParagraph"/>
        <w:ind w:left="360"/>
        <w:rPr>
          <w:rFonts w:ascii="Arial" w:hAnsi="Arial" w:cs="Arial"/>
          <w:b/>
          <w:sz w:val="22"/>
          <w:szCs w:val="22"/>
        </w:rPr>
      </w:pPr>
    </w:p>
    <w:p w14:paraId="30653C5B" w14:textId="2E2CC0D5" w:rsidR="00C95FC0" w:rsidRPr="004B4D15" w:rsidRDefault="002932E4" w:rsidP="00721048">
      <w:pPr>
        <w:pStyle w:val="ListParagraph"/>
        <w:numPr>
          <w:ilvl w:val="0"/>
          <w:numId w:val="1"/>
        </w:numPr>
        <w:ind w:left="360"/>
        <w:rPr>
          <w:rFonts w:ascii="Arial" w:hAnsi="Arial" w:cs="Arial"/>
          <w:b/>
          <w:sz w:val="22"/>
          <w:szCs w:val="22"/>
        </w:rPr>
      </w:pPr>
      <w:r w:rsidRPr="004B4D15">
        <w:rPr>
          <w:rFonts w:ascii="Arial" w:hAnsi="Arial" w:cs="Arial"/>
          <w:b/>
          <w:bCs/>
          <w:sz w:val="22"/>
          <w:szCs w:val="22"/>
        </w:rPr>
        <w:t xml:space="preserve">Step 3: </w:t>
      </w:r>
      <w:r w:rsidR="00721048" w:rsidRPr="004B4D15">
        <w:rPr>
          <w:rFonts w:ascii="Arial" w:hAnsi="Arial" w:cs="Arial"/>
          <w:b/>
          <w:bCs/>
          <w:sz w:val="22"/>
          <w:szCs w:val="22"/>
        </w:rPr>
        <w:t>Sensitivity analyses</w:t>
      </w:r>
      <w:r w:rsidR="00721048" w:rsidRPr="004B4D15">
        <w:rPr>
          <w:rFonts w:ascii="Arial" w:hAnsi="Arial" w:cs="Arial"/>
          <w:b/>
          <w:sz w:val="22"/>
          <w:szCs w:val="22"/>
        </w:rPr>
        <w:t xml:space="preserve">. </w:t>
      </w:r>
      <w:r w:rsidR="00721048" w:rsidRPr="004B4D15">
        <w:rPr>
          <w:rFonts w:ascii="Arial" w:hAnsi="Arial" w:cs="Arial"/>
          <w:sz w:val="22"/>
          <w:szCs w:val="22"/>
        </w:rPr>
        <w:t>W</w:t>
      </w:r>
      <w:r w:rsidRPr="004B4D15">
        <w:rPr>
          <w:rFonts w:ascii="Arial" w:hAnsi="Arial" w:cs="Arial"/>
          <w:sz w:val="22"/>
          <w:szCs w:val="22"/>
        </w:rPr>
        <w:t xml:space="preserve">e will complete sensitivity analyses to account for overlap in assessment timepoints between PA and ED variables. To do this, we will compute </w:t>
      </w:r>
      <w:r w:rsidRPr="004B4D15">
        <w:rPr>
          <w:rFonts w:ascii="Arial" w:hAnsi="Arial" w:cs="Arial"/>
          <w:color w:val="000000" w:themeColor="text1"/>
          <w:sz w:val="22"/>
          <w:szCs w:val="22"/>
        </w:rPr>
        <w:t xml:space="preserve">PA </w:t>
      </w:r>
      <w:r w:rsidRPr="004B4D15">
        <w:rPr>
          <w:rFonts w:ascii="Arial" w:hAnsi="Arial" w:cs="Arial"/>
          <w:sz w:val="22"/>
          <w:szCs w:val="22"/>
        </w:rPr>
        <w:t>trajectories prior to age 16</w:t>
      </w:r>
      <w:r w:rsidR="00721048" w:rsidRPr="004B4D15">
        <w:rPr>
          <w:rFonts w:ascii="Arial" w:hAnsi="Arial" w:cs="Arial"/>
          <w:sz w:val="22"/>
          <w:szCs w:val="22"/>
        </w:rPr>
        <w:t xml:space="preserve"> (using accelerometer data only from ages 11, 13, 15) </w:t>
      </w:r>
      <w:r w:rsidRPr="004B4D15">
        <w:rPr>
          <w:rFonts w:ascii="Arial" w:hAnsi="Arial" w:cs="Arial"/>
          <w:sz w:val="22"/>
          <w:szCs w:val="22"/>
        </w:rPr>
        <w:t xml:space="preserve">and determine whether these trajectories predict ED behaviors and diagnoses that onset at or after age 16.  </w:t>
      </w:r>
    </w:p>
    <w:p w14:paraId="36C9314C" w14:textId="5EDB9450" w:rsidR="00827F44" w:rsidRPr="004B4D15" w:rsidRDefault="00827F44">
      <w:pPr>
        <w:rPr>
          <w:rFonts w:ascii="Arial" w:hAnsi="Arial" w:cs="Arial"/>
          <w:b/>
          <w:sz w:val="22"/>
          <w:szCs w:val="22"/>
        </w:rPr>
      </w:pPr>
      <w:r w:rsidRPr="004B4D15">
        <w:rPr>
          <w:rFonts w:ascii="Arial" w:hAnsi="Arial" w:cs="Arial"/>
          <w:b/>
          <w:sz w:val="22"/>
          <w:szCs w:val="22"/>
        </w:rPr>
        <w:br w:type="page"/>
      </w:r>
    </w:p>
    <w:p w14:paraId="28D59CC7" w14:textId="5416DAF1" w:rsidR="00C95FC0" w:rsidRPr="004B4D15" w:rsidRDefault="00827F44" w:rsidP="00827F44">
      <w:pPr>
        <w:jc w:val="center"/>
        <w:rPr>
          <w:rFonts w:ascii="Arial" w:hAnsi="Arial" w:cs="Arial"/>
          <w:b/>
          <w:sz w:val="22"/>
          <w:szCs w:val="22"/>
        </w:rPr>
      </w:pPr>
      <w:r w:rsidRPr="004B4D15">
        <w:rPr>
          <w:rFonts w:ascii="Arial" w:hAnsi="Arial" w:cs="Arial"/>
          <w:b/>
          <w:sz w:val="22"/>
          <w:szCs w:val="22"/>
        </w:rPr>
        <w:lastRenderedPageBreak/>
        <w:t>References</w:t>
      </w:r>
    </w:p>
    <w:p w14:paraId="19AE19D6" w14:textId="4721EF59" w:rsidR="00827F44" w:rsidRPr="004B4D15" w:rsidRDefault="00827F44" w:rsidP="00BD2CE1">
      <w:pPr>
        <w:rPr>
          <w:rFonts w:ascii="Arial" w:hAnsi="Arial" w:cs="Arial"/>
          <w:b/>
          <w:sz w:val="22"/>
          <w:szCs w:val="22"/>
        </w:rPr>
      </w:pPr>
    </w:p>
    <w:p w14:paraId="1FFAF142" w14:textId="77777777" w:rsidR="000A769A" w:rsidRPr="000A769A" w:rsidRDefault="00827F44" w:rsidP="000A769A">
      <w:pPr>
        <w:pStyle w:val="Bibliography"/>
        <w:rPr>
          <w:rFonts w:ascii="Arial" w:hAnsi="Arial" w:cs="Arial"/>
          <w:sz w:val="22"/>
        </w:rPr>
      </w:pPr>
      <w:r w:rsidRPr="004B4D15">
        <w:rPr>
          <w:rFonts w:ascii="Arial" w:hAnsi="Arial" w:cs="Arial"/>
          <w:b/>
          <w:sz w:val="22"/>
          <w:szCs w:val="22"/>
        </w:rPr>
        <w:fldChar w:fldCharType="begin"/>
      </w:r>
      <w:r w:rsidRPr="004B4D15">
        <w:rPr>
          <w:rFonts w:ascii="Arial" w:hAnsi="Arial" w:cs="Arial"/>
          <w:b/>
          <w:sz w:val="22"/>
          <w:szCs w:val="22"/>
        </w:rPr>
        <w:instrText xml:space="preserve"> ADDIN ZOTERO_BIBL {"uncited":[],"omitted":[],"custom":[]} CSL_BIBLIOGRAPHY </w:instrText>
      </w:r>
      <w:r w:rsidRPr="004B4D15">
        <w:rPr>
          <w:rFonts w:ascii="Arial" w:hAnsi="Arial" w:cs="Arial"/>
          <w:b/>
          <w:sz w:val="22"/>
          <w:szCs w:val="22"/>
        </w:rPr>
        <w:fldChar w:fldCharType="separate"/>
      </w:r>
      <w:r w:rsidR="000A769A" w:rsidRPr="000A769A">
        <w:rPr>
          <w:rFonts w:ascii="Arial" w:hAnsi="Arial" w:cs="Arial"/>
          <w:sz w:val="22"/>
        </w:rPr>
        <w:t xml:space="preserve">1. </w:t>
      </w:r>
      <w:r w:rsidR="000A769A" w:rsidRPr="000A769A">
        <w:rPr>
          <w:rFonts w:ascii="Arial" w:hAnsi="Arial" w:cs="Arial"/>
          <w:sz w:val="22"/>
        </w:rPr>
        <w:tab/>
        <w:t xml:space="preserve">Schaumberg K, Welch E, Breithaupt L, et al. The science behind the Academy for Eating Disorders’ Nine Truths about Eating Disorders. </w:t>
      </w:r>
      <w:r w:rsidR="000A769A" w:rsidRPr="000A769A">
        <w:rPr>
          <w:rFonts w:ascii="Arial" w:hAnsi="Arial" w:cs="Arial"/>
          <w:i/>
          <w:iCs/>
          <w:sz w:val="22"/>
        </w:rPr>
        <w:t>Eur Eat Disord Rev</w:t>
      </w:r>
      <w:r w:rsidR="000A769A" w:rsidRPr="000A769A">
        <w:rPr>
          <w:rFonts w:ascii="Arial" w:hAnsi="Arial" w:cs="Arial"/>
          <w:sz w:val="22"/>
        </w:rPr>
        <w:t>. 2017;25(6):432-450. doi:10.1002/erv.2553</w:t>
      </w:r>
    </w:p>
    <w:p w14:paraId="79063B3A"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2. </w:t>
      </w:r>
      <w:r w:rsidRPr="000A769A">
        <w:rPr>
          <w:rFonts w:ascii="Arial" w:hAnsi="Arial" w:cs="Arial"/>
          <w:sz w:val="22"/>
        </w:rPr>
        <w:tab/>
        <w:t xml:space="preserve">Steinhausen HC. Outcome of eating disorders. </w:t>
      </w:r>
      <w:r w:rsidRPr="000A769A">
        <w:rPr>
          <w:rFonts w:ascii="Arial" w:hAnsi="Arial" w:cs="Arial"/>
          <w:i/>
          <w:iCs/>
          <w:sz w:val="22"/>
        </w:rPr>
        <w:t>Child Adolesc Psychiatr Clin N Am</w:t>
      </w:r>
      <w:r w:rsidRPr="000A769A">
        <w:rPr>
          <w:rFonts w:ascii="Arial" w:hAnsi="Arial" w:cs="Arial"/>
          <w:sz w:val="22"/>
        </w:rPr>
        <w:t>. 2009;18(1):225-242. doi:10.1016/j.chc.2008.07.013</w:t>
      </w:r>
    </w:p>
    <w:p w14:paraId="7F1B207E"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3. </w:t>
      </w:r>
      <w:r w:rsidRPr="000A769A">
        <w:rPr>
          <w:rFonts w:ascii="Arial" w:hAnsi="Arial" w:cs="Arial"/>
          <w:sz w:val="22"/>
        </w:rPr>
        <w:tab/>
        <w:t xml:space="preserve">Pisetsky EM, Thornton LM, Lichtenstein P, Pedersen NL, Bulik CM. Suicide attempts in women with eating disorders. </w:t>
      </w:r>
      <w:r w:rsidRPr="000A769A">
        <w:rPr>
          <w:rFonts w:ascii="Arial" w:hAnsi="Arial" w:cs="Arial"/>
          <w:i/>
          <w:iCs/>
          <w:sz w:val="22"/>
        </w:rPr>
        <w:t>Journal of Abnormal Psychology</w:t>
      </w:r>
      <w:r w:rsidRPr="000A769A">
        <w:rPr>
          <w:rFonts w:ascii="Arial" w:hAnsi="Arial" w:cs="Arial"/>
          <w:sz w:val="22"/>
        </w:rPr>
        <w:t>. 2013;122(4):1042-1056. doi:10.1037/a0034902</w:t>
      </w:r>
    </w:p>
    <w:p w14:paraId="4EBA8EDD"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4. </w:t>
      </w:r>
      <w:r w:rsidRPr="000A769A">
        <w:rPr>
          <w:rFonts w:ascii="Arial" w:hAnsi="Arial" w:cs="Arial"/>
          <w:sz w:val="22"/>
        </w:rPr>
        <w:tab/>
        <w:t xml:space="preserve">Smith AR, Fink EL, Anestis MD, et al. Exercise caution: over-exercise is associated with suicidality among individuals with disordered eating. </w:t>
      </w:r>
      <w:r w:rsidRPr="000A769A">
        <w:rPr>
          <w:rFonts w:ascii="Arial" w:hAnsi="Arial" w:cs="Arial"/>
          <w:i/>
          <w:iCs/>
          <w:sz w:val="22"/>
        </w:rPr>
        <w:t>Psychiatry Res</w:t>
      </w:r>
      <w:r w:rsidRPr="000A769A">
        <w:rPr>
          <w:rFonts w:ascii="Arial" w:hAnsi="Arial" w:cs="Arial"/>
          <w:sz w:val="22"/>
        </w:rPr>
        <w:t>. 2013;206(2-3):246-255. doi:10.1016/j.psychres.2012.11.004</w:t>
      </w:r>
    </w:p>
    <w:p w14:paraId="66078F52"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5. </w:t>
      </w:r>
      <w:r w:rsidRPr="000A769A">
        <w:rPr>
          <w:rFonts w:ascii="Arial" w:hAnsi="Arial" w:cs="Arial"/>
          <w:sz w:val="22"/>
        </w:rPr>
        <w:tab/>
        <w:t xml:space="preserve">Dalle Grave R, Calugi S, Marchesini G. Compulsive exercise to control shape or weight in eating disorders: prevalence, associated features, and treatment outcome. </w:t>
      </w:r>
      <w:r w:rsidRPr="000A769A">
        <w:rPr>
          <w:rFonts w:ascii="Arial" w:hAnsi="Arial" w:cs="Arial"/>
          <w:i/>
          <w:iCs/>
          <w:sz w:val="22"/>
        </w:rPr>
        <w:t>Compr Psychiatry</w:t>
      </w:r>
      <w:r w:rsidRPr="000A769A">
        <w:rPr>
          <w:rFonts w:ascii="Arial" w:hAnsi="Arial" w:cs="Arial"/>
          <w:sz w:val="22"/>
        </w:rPr>
        <w:t>. 2008;49(4):346-352. doi:10.1016/j.comppsych.2007.12.007</w:t>
      </w:r>
    </w:p>
    <w:p w14:paraId="4B12313A"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6. </w:t>
      </w:r>
      <w:r w:rsidRPr="000A769A">
        <w:rPr>
          <w:rFonts w:ascii="Arial" w:hAnsi="Arial" w:cs="Arial"/>
          <w:sz w:val="22"/>
        </w:rPr>
        <w:tab/>
        <w:t xml:space="preserve">Carter JC, Blackmore E, Sutandar-Pinnock K, Woodside DB. Relapse in anorexia nervosa: a survival analysis. </w:t>
      </w:r>
      <w:r w:rsidRPr="000A769A">
        <w:rPr>
          <w:rFonts w:ascii="Arial" w:hAnsi="Arial" w:cs="Arial"/>
          <w:i/>
          <w:iCs/>
          <w:sz w:val="22"/>
        </w:rPr>
        <w:t>Psychol Med</w:t>
      </w:r>
      <w:r w:rsidRPr="000A769A">
        <w:rPr>
          <w:rFonts w:ascii="Arial" w:hAnsi="Arial" w:cs="Arial"/>
          <w:sz w:val="22"/>
        </w:rPr>
        <w:t>. 2004;34(4):671-679. doi:10.1017/S0033291703001168</w:t>
      </w:r>
    </w:p>
    <w:p w14:paraId="13F76241"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7. </w:t>
      </w:r>
      <w:r w:rsidRPr="000A769A">
        <w:rPr>
          <w:rFonts w:ascii="Arial" w:hAnsi="Arial" w:cs="Arial"/>
          <w:sz w:val="22"/>
        </w:rPr>
        <w:tab/>
        <w:t xml:space="preserve">Holtkamp K, Herpertz-Dahlmann B, Hebebrand K, Mika C, Kratzsch J, Hebebrand J. Physical activity and restlessness correlate with leptin levels in patients with adolescent anorexia nervosa. </w:t>
      </w:r>
      <w:r w:rsidRPr="000A769A">
        <w:rPr>
          <w:rFonts w:ascii="Arial" w:hAnsi="Arial" w:cs="Arial"/>
          <w:i/>
          <w:iCs/>
          <w:sz w:val="22"/>
        </w:rPr>
        <w:t>Biol Psychiatry</w:t>
      </w:r>
      <w:r w:rsidRPr="000A769A">
        <w:rPr>
          <w:rFonts w:ascii="Arial" w:hAnsi="Arial" w:cs="Arial"/>
          <w:sz w:val="22"/>
        </w:rPr>
        <w:t>. 2006;60(3):311-313. doi:10.1016/j.biopsych.2005.11.001</w:t>
      </w:r>
    </w:p>
    <w:p w14:paraId="14810579"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8. </w:t>
      </w:r>
      <w:r w:rsidRPr="000A769A">
        <w:rPr>
          <w:rFonts w:ascii="Arial" w:hAnsi="Arial" w:cs="Arial"/>
          <w:sz w:val="22"/>
        </w:rPr>
        <w:tab/>
        <w:t xml:space="preserve">Greenwood BN, Foley TE, Le TV, Strong PV, Loughridge AB, Fleshner M. Long-term voluntary wheel running is rewarding and produces plasticity in the mesolimbic reward pathway. </w:t>
      </w:r>
      <w:r w:rsidRPr="000A769A">
        <w:rPr>
          <w:rFonts w:ascii="Arial" w:hAnsi="Arial" w:cs="Arial"/>
          <w:i/>
          <w:iCs/>
          <w:sz w:val="22"/>
        </w:rPr>
        <w:t>Behav Brain Res</w:t>
      </w:r>
      <w:r w:rsidRPr="000A769A">
        <w:rPr>
          <w:rFonts w:ascii="Arial" w:hAnsi="Arial" w:cs="Arial"/>
          <w:sz w:val="22"/>
        </w:rPr>
        <w:t>. 2011;217(2):354-362.</w:t>
      </w:r>
    </w:p>
    <w:p w14:paraId="34BBACBA"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9. </w:t>
      </w:r>
      <w:r w:rsidRPr="000A769A">
        <w:rPr>
          <w:rFonts w:ascii="Arial" w:hAnsi="Arial" w:cs="Arial"/>
          <w:sz w:val="22"/>
        </w:rPr>
        <w:tab/>
        <w:t xml:space="preserve">Stiles-Shields C, DclinPsy BB, Lock J, Le Grange D. The effect of driven exercise on treatment outcomes for adolescents with anorexia and bulimia nervosa: Driven Exercise and Adolescent Outcomes. </w:t>
      </w:r>
      <w:r w:rsidRPr="000A769A">
        <w:rPr>
          <w:rFonts w:ascii="Arial" w:hAnsi="Arial" w:cs="Arial"/>
          <w:i/>
          <w:iCs/>
          <w:sz w:val="22"/>
        </w:rPr>
        <w:t>Int J Eat Disord</w:t>
      </w:r>
      <w:r w:rsidRPr="000A769A">
        <w:rPr>
          <w:rFonts w:ascii="Arial" w:hAnsi="Arial" w:cs="Arial"/>
          <w:sz w:val="22"/>
        </w:rPr>
        <w:t>. 2015;48(4):392-396. doi:10.1002/eat.22281</w:t>
      </w:r>
    </w:p>
    <w:p w14:paraId="1EDE3723"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10. </w:t>
      </w:r>
      <w:r w:rsidRPr="000A769A">
        <w:rPr>
          <w:rFonts w:ascii="Arial" w:hAnsi="Arial" w:cs="Arial"/>
          <w:sz w:val="22"/>
        </w:rPr>
        <w:tab/>
        <w:t xml:space="preserve">Brewerton TD, Stellefson EJ, Hibbs N, Hodges EL, Cochrane CE. Comparison of eating disorder patients with and without compulsive exercising. </w:t>
      </w:r>
      <w:r w:rsidRPr="000A769A">
        <w:rPr>
          <w:rFonts w:ascii="Arial" w:hAnsi="Arial" w:cs="Arial"/>
          <w:i/>
          <w:iCs/>
          <w:sz w:val="22"/>
        </w:rPr>
        <w:t>Int J Eat Disord</w:t>
      </w:r>
      <w:r w:rsidRPr="000A769A">
        <w:rPr>
          <w:rFonts w:ascii="Arial" w:hAnsi="Arial" w:cs="Arial"/>
          <w:sz w:val="22"/>
        </w:rPr>
        <w:t>. 1995;17(4):413-416.</w:t>
      </w:r>
    </w:p>
    <w:p w14:paraId="4DF5EBD7"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11. </w:t>
      </w:r>
      <w:r w:rsidRPr="000A769A">
        <w:rPr>
          <w:rFonts w:ascii="Arial" w:hAnsi="Arial" w:cs="Arial"/>
          <w:sz w:val="22"/>
        </w:rPr>
        <w:tab/>
        <w:t xml:space="preserve">Shroff H, Reba L, Thornton LM, et al. Features associated with excessive exercise in women with eating disorders. </w:t>
      </w:r>
      <w:r w:rsidRPr="000A769A">
        <w:rPr>
          <w:rFonts w:ascii="Arial" w:hAnsi="Arial" w:cs="Arial"/>
          <w:i/>
          <w:iCs/>
          <w:sz w:val="22"/>
        </w:rPr>
        <w:t>Int J Eat Disord</w:t>
      </w:r>
      <w:r w:rsidRPr="000A769A">
        <w:rPr>
          <w:rFonts w:ascii="Arial" w:hAnsi="Arial" w:cs="Arial"/>
          <w:sz w:val="22"/>
        </w:rPr>
        <w:t>. 2006;39(6):454-461. doi:10.1002/eat.20247</w:t>
      </w:r>
    </w:p>
    <w:p w14:paraId="6E6584CC"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12. </w:t>
      </w:r>
      <w:r w:rsidRPr="000A769A">
        <w:rPr>
          <w:rFonts w:ascii="Arial" w:hAnsi="Arial" w:cs="Arial"/>
          <w:sz w:val="22"/>
        </w:rPr>
        <w:tab/>
        <w:t xml:space="preserve">Gielen M, Westerterp-Plantenga MS, Bouwman FG, et al. Heritability and genetic etiology of habitual physical activity: a twin study with objective measures. </w:t>
      </w:r>
      <w:r w:rsidRPr="000A769A">
        <w:rPr>
          <w:rFonts w:ascii="Arial" w:hAnsi="Arial" w:cs="Arial"/>
          <w:i/>
          <w:iCs/>
          <w:sz w:val="22"/>
        </w:rPr>
        <w:t>Genes Nutr</w:t>
      </w:r>
      <w:r w:rsidRPr="000A769A">
        <w:rPr>
          <w:rFonts w:ascii="Arial" w:hAnsi="Arial" w:cs="Arial"/>
          <w:sz w:val="22"/>
        </w:rPr>
        <w:t>. 2014;9(4):415. doi:10.1007/s12263-014-0415-5</w:t>
      </w:r>
    </w:p>
    <w:p w14:paraId="47A48350"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13. </w:t>
      </w:r>
      <w:r w:rsidRPr="000A769A">
        <w:rPr>
          <w:rFonts w:ascii="Arial" w:hAnsi="Arial" w:cs="Arial"/>
          <w:sz w:val="22"/>
        </w:rPr>
        <w:tab/>
        <w:t xml:space="preserve">Huppertz C, Bartels M, de Zeeuw E, et al. Individual Differences in Exercise Behavior: Stability and Change in Genetic and Environmental Determinants From Age 7 to 18. </w:t>
      </w:r>
      <w:r w:rsidRPr="000A769A">
        <w:rPr>
          <w:rFonts w:ascii="Arial" w:hAnsi="Arial" w:cs="Arial"/>
          <w:i/>
          <w:iCs/>
          <w:sz w:val="22"/>
        </w:rPr>
        <w:t>Behav Genet</w:t>
      </w:r>
      <w:r w:rsidRPr="000A769A">
        <w:rPr>
          <w:rFonts w:ascii="Arial" w:hAnsi="Arial" w:cs="Arial"/>
          <w:sz w:val="22"/>
        </w:rPr>
        <w:t>. 2016;46(5):665-679. doi:10.1007/s10519-016-9799-x</w:t>
      </w:r>
    </w:p>
    <w:p w14:paraId="0D4E81FC" w14:textId="77777777" w:rsidR="000A769A" w:rsidRPr="000A769A" w:rsidRDefault="000A769A" w:rsidP="000A769A">
      <w:pPr>
        <w:pStyle w:val="Bibliography"/>
        <w:rPr>
          <w:rFonts w:ascii="Arial" w:hAnsi="Arial" w:cs="Arial"/>
          <w:sz w:val="22"/>
        </w:rPr>
      </w:pPr>
      <w:r w:rsidRPr="000A769A">
        <w:rPr>
          <w:rFonts w:ascii="Arial" w:hAnsi="Arial" w:cs="Arial"/>
          <w:sz w:val="22"/>
        </w:rPr>
        <w:lastRenderedPageBreak/>
        <w:t xml:space="preserve">14. </w:t>
      </w:r>
      <w:r w:rsidRPr="000A769A">
        <w:rPr>
          <w:rFonts w:ascii="Arial" w:hAnsi="Arial" w:cs="Arial"/>
          <w:sz w:val="22"/>
        </w:rPr>
        <w:tab/>
        <w:t xml:space="preserve">Anorexia Nervosa Genetics Initiative, Eating Disorders Working Group of the Psychiatric Genomics Consortium, Watson HJ, et al. Genome-wide association study identifies eight risk loci and implicates metabo-psychiatric origins for anorexia nervosa. </w:t>
      </w:r>
      <w:r w:rsidRPr="000A769A">
        <w:rPr>
          <w:rFonts w:ascii="Arial" w:hAnsi="Arial" w:cs="Arial"/>
          <w:i/>
          <w:iCs/>
          <w:sz w:val="22"/>
        </w:rPr>
        <w:t>Nat Genet</w:t>
      </w:r>
      <w:r w:rsidRPr="000A769A">
        <w:rPr>
          <w:rFonts w:ascii="Arial" w:hAnsi="Arial" w:cs="Arial"/>
          <w:sz w:val="22"/>
        </w:rPr>
        <w:t>. Published online July 15, 2019. doi:10.1038/s41588-019-0439-2</w:t>
      </w:r>
    </w:p>
    <w:p w14:paraId="17DD65EF"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15. </w:t>
      </w:r>
      <w:r w:rsidRPr="000A769A">
        <w:rPr>
          <w:rFonts w:ascii="Arial" w:hAnsi="Arial" w:cs="Arial"/>
          <w:sz w:val="22"/>
        </w:rPr>
        <w:tab/>
        <w:t xml:space="preserve">Greenwood BN, Foley TE, Le TV, Strong PV, Loughridge AB, Fleshner M. Long-term voluntary wheel running is rewarding and produces plasticity in the mesolimbic reward pathway. </w:t>
      </w:r>
      <w:r w:rsidRPr="000A769A">
        <w:rPr>
          <w:rFonts w:ascii="Arial" w:hAnsi="Arial" w:cs="Arial"/>
          <w:i/>
          <w:iCs/>
          <w:sz w:val="22"/>
        </w:rPr>
        <w:t>Behav Brain Res</w:t>
      </w:r>
      <w:r w:rsidRPr="000A769A">
        <w:rPr>
          <w:rFonts w:ascii="Arial" w:hAnsi="Arial" w:cs="Arial"/>
          <w:sz w:val="22"/>
        </w:rPr>
        <w:t>. 2011;217(2):354-362.</w:t>
      </w:r>
    </w:p>
    <w:p w14:paraId="239C3CF2"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16. </w:t>
      </w:r>
      <w:r w:rsidRPr="000A769A">
        <w:rPr>
          <w:rFonts w:ascii="Arial" w:hAnsi="Arial" w:cs="Arial"/>
          <w:sz w:val="22"/>
        </w:rPr>
        <w:tab/>
        <w:t xml:space="preserve">Heyman E, Gamelin FX, Goekint M, et al. Intense exercise increases circulating endocannabinoid and BDNF levels in humans—possible implications for reward and depression. </w:t>
      </w:r>
      <w:r w:rsidRPr="000A769A">
        <w:rPr>
          <w:rFonts w:ascii="Arial" w:hAnsi="Arial" w:cs="Arial"/>
          <w:i/>
          <w:iCs/>
          <w:sz w:val="22"/>
        </w:rPr>
        <w:t>Psychoneuroendicrinology</w:t>
      </w:r>
      <w:r w:rsidRPr="000A769A">
        <w:rPr>
          <w:rFonts w:ascii="Arial" w:hAnsi="Arial" w:cs="Arial"/>
          <w:sz w:val="22"/>
        </w:rPr>
        <w:t>. 2012;37(6):844-851.</w:t>
      </w:r>
    </w:p>
    <w:p w14:paraId="3BDACF74"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17. </w:t>
      </w:r>
      <w:r w:rsidRPr="000A769A">
        <w:rPr>
          <w:rFonts w:ascii="Arial" w:hAnsi="Arial" w:cs="Arial"/>
          <w:sz w:val="22"/>
        </w:rPr>
        <w:tab/>
        <w:t xml:space="preserve">Herring MP, O’Connor PJ, Dishman RK. The effect of exercise training on anxiety symptoms among patients: A systematic review. </w:t>
      </w:r>
      <w:r w:rsidRPr="000A769A">
        <w:rPr>
          <w:rFonts w:ascii="Arial" w:hAnsi="Arial" w:cs="Arial"/>
          <w:i/>
          <w:iCs/>
          <w:sz w:val="22"/>
        </w:rPr>
        <w:t>Arch Intern Med</w:t>
      </w:r>
      <w:r w:rsidRPr="000A769A">
        <w:rPr>
          <w:rFonts w:ascii="Arial" w:hAnsi="Arial" w:cs="Arial"/>
          <w:sz w:val="22"/>
        </w:rPr>
        <w:t>. 2010;170(4):321-331.</w:t>
      </w:r>
    </w:p>
    <w:p w14:paraId="5455702D"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18. </w:t>
      </w:r>
      <w:r w:rsidRPr="000A769A">
        <w:rPr>
          <w:rFonts w:ascii="Arial" w:hAnsi="Arial" w:cs="Arial"/>
          <w:sz w:val="22"/>
        </w:rPr>
        <w:tab/>
        <w:t xml:space="preserve">Greenwood BN, Strong PV, Loughridge AB, et al. 5-HT2C receptors in the basolateral amygdala and dorsal striatum are a novel target for the anxiolytic and antidepressant effects of exercise. </w:t>
      </w:r>
      <w:r w:rsidRPr="000A769A">
        <w:rPr>
          <w:rFonts w:ascii="Arial" w:hAnsi="Arial" w:cs="Arial"/>
          <w:i/>
          <w:iCs/>
          <w:sz w:val="22"/>
        </w:rPr>
        <w:t>PLoS One</w:t>
      </w:r>
      <w:r w:rsidRPr="000A769A">
        <w:rPr>
          <w:rFonts w:ascii="Arial" w:hAnsi="Arial" w:cs="Arial"/>
          <w:sz w:val="22"/>
        </w:rPr>
        <w:t>. 2012;7(9):e46118. doi:10.1371/journal.pone.0046118</w:t>
      </w:r>
    </w:p>
    <w:p w14:paraId="6CBD62C9"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19. </w:t>
      </w:r>
      <w:r w:rsidRPr="000A769A">
        <w:rPr>
          <w:rFonts w:ascii="Arial" w:hAnsi="Arial" w:cs="Arial"/>
          <w:sz w:val="22"/>
        </w:rPr>
        <w:tab/>
        <w:t xml:space="preserve">Anderson E, Shivakumar G. Effects of exercise and physical activity on anxiety. </w:t>
      </w:r>
      <w:r w:rsidRPr="000A769A">
        <w:rPr>
          <w:rFonts w:ascii="Arial" w:hAnsi="Arial" w:cs="Arial"/>
          <w:i/>
          <w:iCs/>
          <w:sz w:val="22"/>
        </w:rPr>
        <w:t>Front Psychiatry</w:t>
      </w:r>
      <w:r w:rsidRPr="000A769A">
        <w:rPr>
          <w:rFonts w:ascii="Arial" w:hAnsi="Arial" w:cs="Arial"/>
          <w:sz w:val="22"/>
        </w:rPr>
        <w:t>. 2013;4:27.</w:t>
      </w:r>
    </w:p>
    <w:p w14:paraId="38839D33"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20. </w:t>
      </w:r>
      <w:r w:rsidRPr="000A769A">
        <w:rPr>
          <w:rFonts w:ascii="Arial" w:hAnsi="Arial" w:cs="Arial"/>
          <w:sz w:val="22"/>
        </w:rPr>
        <w:tab/>
        <w:t xml:space="preserve">Asmundson GJG, Fetzner MG, DeBoer LB, Otto MW, Smits JAJ. Let’s get physical: a contemporary review of the anxiolytic effects of exercise for anxiety and its disorders. </w:t>
      </w:r>
      <w:r w:rsidRPr="000A769A">
        <w:rPr>
          <w:rFonts w:ascii="Arial" w:hAnsi="Arial" w:cs="Arial"/>
          <w:i/>
          <w:iCs/>
          <w:sz w:val="22"/>
        </w:rPr>
        <w:t>Depress Anxiety</w:t>
      </w:r>
      <w:r w:rsidRPr="000A769A">
        <w:rPr>
          <w:rFonts w:ascii="Arial" w:hAnsi="Arial" w:cs="Arial"/>
          <w:sz w:val="22"/>
        </w:rPr>
        <w:t>. 2013;30(4):362-373. doi:10.1002/da.22043</w:t>
      </w:r>
    </w:p>
    <w:p w14:paraId="2C3281D3"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21. </w:t>
      </w:r>
      <w:r w:rsidRPr="000A769A">
        <w:rPr>
          <w:rFonts w:ascii="Arial" w:hAnsi="Arial" w:cs="Arial"/>
          <w:sz w:val="22"/>
        </w:rPr>
        <w:tab/>
        <w:t xml:space="preserve">Davis C, Kaptein S. Anorexia nervosa with excessive exercise: a phenotype with close links to obsessive-compulsive disorder. </w:t>
      </w:r>
      <w:r w:rsidRPr="000A769A">
        <w:rPr>
          <w:rFonts w:ascii="Arial" w:hAnsi="Arial" w:cs="Arial"/>
          <w:i/>
          <w:iCs/>
          <w:sz w:val="22"/>
        </w:rPr>
        <w:t>Psychiatry Res</w:t>
      </w:r>
      <w:r w:rsidRPr="000A769A">
        <w:rPr>
          <w:rFonts w:ascii="Arial" w:hAnsi="Arial" w:cs="Arial"/>
          <w:sz w:val="22"/>
        </w:rPr>
        <w:t>. 2006;142(2-3):209-217. doi:10.1016/j.psychres.2005.11.006</w:t>
      </w:r>
    </w:p>
    <w:p w14:paraId="28AB3C64"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22. </w:t>
      </w:r>
      <w:r w:rsidRPr="000A769A">
        <w:rPr>
          <w:rFonts w:ascii="Arial" w:hAnsi="Arial" w:cs="Arial"/>
          <w:sz w:val="22"/>
        </w:rPr>
        <w:tab/>
        <w:t xml:space="preserve">Cook B, Hausenblas H, Freimuth M. Exercise addiction and compulsive exercising: Relationship to eating disorders, substance use disorders, and addictive disorders. In: </w:t>
      </w:r>
      <w:r w:rsidRPr="000A769A">
        <w:rPr>
          <w:rFonts w:ascii="Arial" w:hAnsi="Arial" w:cs="Arial"/>
          <w:i/>
          <w:iCs/>
          <w:sz w:val="22"/>
        </w:rPr>
        <w:t>Eating Disorders, Addictions, and Substance Use Disorders</w:t>
      </w:r>
      <w:r w:rsidRPr="000A769A">
        <w:rPr>
          <w:rFonts w:ascii="Arial" w:hAnsi="Arial" w:cs="Arial"/>
          <w:sz w:val="22"/>
        </w:rPr>
        <w:t>. Eating Disorders. ; 2014:127-144.</w:t>
      </w:r>
    </w:p>
    <w:p w14:paraId="4C389FC5"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23. </w:t>
      </w:r>
      <w:r w:rsidRPr="000A769A">
        <w:rPr>
          <w:rFonts w:ascii="Arial" w:hAnsi="Arial" w:cs="Arial"/>
          <w:sz w:val="22"/>
        </w:rPr>
        <w:tab/>
        <w:t xml:space="preserve">Guarda AS, Schreyer CC, Boersma GJ, Tamashiro KL, Moran TH. Anorexia nervosa as a motivated behavior: Relevance of anxiety, stress, fear and learning. </w:t>
      </w:r>
      <w:r w:rsidRPr="000A769A">
        <w:rPr>
          <w:rFonts w:ascii="Arial" w:hAnsi="Arial" w:cs="Arial"/>
          <w:i/>
          <w:iCs/>
          <w:sz w:val="22"/>
        </w:rPr>
        <w:t>Physiol Behav</w:t>
      </w:r>
      <w:r w:rsidRPr="000A769A">
        <w:rPr>
          <w:rFonts w:ascii="Arial" w:hAnsi="Arial" w:cs="Arial"/>
          <w:sz w:val="22"/>
        </w:rPr>
        <w:t>. 2015;152 (B):466-472. doi:10.1016/j.physbeh.2015.04.007</w:t>
      </w:r>
    </w:p>
    <w:p w14:paraId="3356216F"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24. </w:t>
      </w:r>
      <w:r w:rsidRPr="000A769A">
        <w:rPr>
          <w:rFonts w:ascii="Arial" w:hAnsi="Arial" w:cs="Arial"/>
          <w:sz w:val="22"/>
        </w:rPr>
        <w:tab/>
        <w:t xml:space="preserve">Adams J. Understanding exercise dependence. </w:t>
      </w:r>
      <w:r w:rsidRPr="000A769A">
        <w:rPr>
          <w:rFonts w:ascii="Arial" w:hAnsi="Arial" w:cs="Arial"/>
          <w:i/>
          <w:iCs/>
          <w:sz w:val="22"/>
        </w:rPr>
        <w:t>Journal of Contemporary Psychotherapy</w:t>
      </w:r>
      <w:r w:rsidRPr="000A769A">
        <w:rPr>
          <w:rFonts w:ascii="Arial" w:hAnsi="Arial" w:cs="Arial"/>
          <w:sz w:val="22"/>
        </w:rPr>
        <w:t>. 2009;39:231-240.</w:t>
      </w:r>
    </w:p>
    <w:p w14:paraId="0A4D6323"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25. </w:t>
      </w:r>
      <w:r w:rsidRPr="000A769A">
        <w:rPr>
          <w:rFonts w:ascii="Arial" w:hAnsi="Arial" w:cs="Arial"/>
          <w:sz w:val="22"/>
        </w:rPr>
        <w:tab/>
        <w:t xml:space="preserve">Adams J, Kirkby RJ. Excessive exercise as an addiction: A review. </w:t>
      </w:r>
      <w:r w:rsidRPr="000A769A">
        <w:rPr>
          <w:rFonts w:ascii="Arial" w:hAnsi="Arial" w:cs="Arial"/>
          <w:i/>
          <w:iCs/>
          <w:sz w:val="22"/>
        </w:rPr>
        <w:t>Addiction Research &amp; Theory</w:t>
      </w:r>
      <w:r w:rsidRPr="000A769A">
        <w:rPr>
          <w:rFonts w:ascii="Arial" w:hAnsi="Arial" w:cs="Arial"/>
          <w:sz w:val="22"/>
        </w:rPr>
        <w:t>. Published online 2002.</w:t>
      </w:r>
    </w:p>
    <w:p w14:paraId="55E0F7F3"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26. </w:t>
      </w:r>
      <w:r w:rsidRPr="000A769A">
        <w:rPr>
          <w:rFonts w:ascii="Arial" w:hAnsi="Arial" w:cs="Arial"/>
          <w:sz w:val="22"/>
        </w:rPr>
        <w:tab/>
        <w:t xml:space="preserve">Bamber DJ, Cockerill IM, Rodgers S, Carroll D. Diagnostic criteria for exercise dependence in women. </w:t>
      </w:r>
      <w:r w:rsidRPr="000A769A">
        <w:rPr>
          <w:rFonts w:ascii="Arial" w:hAnsi="Arial" w:cs="Arial"/>
          <w:i/>
          <w:iCs/>
          <w:sz w:val="22"/>
        </w:rPr>
        <w:t>British Journal of Sports Medicine</w:t>
      </w:r>
      <w:r w:rsidRPr="000A769A">
        <w:rPr>
          <w:rFonts w:ascii="Arial" w:hAnsi="Arial" w:cs="Arial"/>
          <w:sz w:val="22"/>
        </w:rPr>
        <w:t>. 2003;37:393-400.</w:t>
      </w:r>
    </w:p>
    <w:p w14:paraId="329514FF"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27. </w:t>
      </w:r>
      <w:r w:rsidRPr="000A769A">
        <w:rPr>
          <w:rFonts w:ascii="Arial" w:hAnsi="Arial" w:cs="Arial"/>
          <w:sz w:val="22"/>
        </w:rPr>
        <w:tab/>
        <w:t xml:space="preserve">Bratland Sanda S, Martinsen EW, Rosenvinge JH, Rø Ø, Hoffart A, Sundgot Borgen J. Exercise dependence score in patients with longstanding eating disorders and controls: the </w:t>
      </w:r>
      <w:r w:rsidRPr="000A769A">
        <w:rPr>
          <w:rFonts w:ascii="Arial" w:hAnsi="Arial" w:cs="Arial"/>
          <w:sz w:val="22"/>
        </w:rPr>
        <w:lastRenderedPageBreak/>
        <w:t xml:space="preserve">importance of affect regulation and physical activity intensity. </w:t>
      </w:r>
      <w:r w:rsidRPr="000A769A">
        <w:rPr>
          <w:rFonts w:ascii="Arial" w:hAnsi="Arial" w:cs="Arial"/>
          <w:i/>
          <w:iCs/>
          <w:sz w:val="22"/>
        </w:rPr>
        <w:t>European Eating Disorders Review</w:t>
      </w:r>
      <w:r w:rsidRPr="000A769A">
        <w:rPr>
          <w:rFonts w:ascii="Arial" w:hAnsi="Arial" w:cs="Arial"/>
          <w:sz w:val="22"/>
        </w:rPr>
        <w:t>. 2011;19:249-255. doi:10.1002/erv.971/pdf</w:t>
      </w:r>
    </w:p>
    <w:p w14:paraId="1C534DCF"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28. </w:t>
      </w:r>
      <w:r w:rsidRPr="000A769A">
        <w:rPr>
          <w:rFonts w:ascii="Arial" w:hAnsi="Arial" w:cs="Arial"/>
          <w:sz w:val="22"/>
        </w:rPr>
        <w:tab/>
        <w:t xml:space="preserve">Davis C, Claridge G. The eating disorders as addiction: A psychobiological perspective. </w:t>
      </w:r>
      <w:r w:rsidRPr="000A769A">
        <w:rPr>
          <w:rFonts w:ascii="Arial" w:hAnsi="Arial" w:cs="Arial"/>
          <w:i/>
          <w:iCs/>
          <w:sz w:val="22"/>
        </w:rPr>
        <w:t>Addict Behav</w:t>
      </w:r>
      <w:r w:rsidRPr="000A769A">
        <w:rPr>
          <w:rFonts w:ascii="Arial" w:hAnsi="Arial" w:cs="Arial"/>
          <w:sz w:val="22"/>
        </w:rPr>
        <w:t>. 1998;23(4):463-475.</w:t>
      </w:r>
    </w:p>
    <w:p w14:paraId="42DCC981"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29. </w:t>
      </w:r>
      <w:r w:rsidRPr="000A769A">
        <w:rPr>
          <w:rFonts w:ascii="Arial" w:hAnsi="Arial" w:cs="Arial"/>
          <w:sz w:val="22"/>
        </w:rPr>
        <w:tab/>
        <w:t xml:space="preserve">Herring M, Sailors M, Bray M. Genetic factors in exercise adoption, adherence and obesity. </w:t>
      </w:r>
      <w:r w:rsidRPr="000A769A">
        <w:rPr>
          <w:rFonts w:ascii="Arial" w:hAnsi="Arial" w:cs="Arial"/>
          <w:i/>
          <w:iCs/>
          <w:sz w:val="22"/>
        </w:rPr>
        <w:t>Obes Rev</w:t>
      </w:r>
      <w:r w:rsidRPr="000A769A">
        <w:rPr>
          <w:rFonts w:ascii="Arial" w:hAnsi="Arial" w:cs="Arial"/>
          <w:sz w:val="22"/>
        </w:rPr>
        <w:t>. 2014;15(1):29-39. doi:10.1111/obr.12089</w:t>
      </w:r>
    </w:p>
    <w:p w14:paraId="2B2B2265"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30. </w:t>
      </w:r>
      <w:r w:rsidRPr="000A769A">
        <w:rPr>
          <w:rFonts w:ascii="Arial" w:hAnsi="Arial" w:cs="Arial"/>
          <w:sz w:val="22"/>
        </w:rPr>
        <w:tab/>
        <w:t xml:space="preserve">Lichtenstein MB, Hinze CJ, Emborg B, Thomsen F, Hemmingsen SD. Compulsive exercise: links, risks and challenges facedent. </w:t>
      </w:r>
      <w:r w:rsidRPr="000A769A">
        <w:rPr>
          <w:rFonts w:ascii="Arial" w:hAnsi="Arial" w:cs="Arial"/>
          <w:i/>
          <w:iCs/>
          <w:sz w:val="22"/>
        </w:rPr>
        <w:t>Psychol Res Behav Manag</w:t>
      </w:r>
      <w:r w:rsidRPr="000A769A">
        <w:rPr>
          <w:rFonts w:ascii="Arial" w:hAnsi="Arial" w:cs="Arial"/>
          <w:sz w:val="22"/>
        </w:rPr>
        <w:t>. 2017;10:85-95. doi:10.2147/PRBM.S113093</w:t>
      </w:r>
    </w:p>
    <w:p w14:paraId="30D34FF0"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31. </w:t>
      </w:r>
      <w:r w:rsidRPr="000A769A">
        <w:rPr>
          <w:rFonts w:ascii="Arial" w:hAnsi="Arial" w:cs="Arial"/>
          <w:sz w:val="22"/>
        </w:rPr>
        <w:tab/>
        <w:t xml:space="preserve">Boyd A, Golding J, Macleod J, et al. Cohort Profile: the ’children of the 90s’--the index offspring of the Avon Longitudinal Study of Parents and Children. </w:t>
      </w:r>
      <w:r w:rsidRPr="000A769A">
        <w:rPr>
          <w:rFonts w:ascii="Arial" w:hAnsi="Arial" w:cs="Arial"/>
          <w:i/>
          <w:iCs/>
          <w:sz w:val="22"/>
        </w:rPr>
        <w:t>Int J Epidemiol</w:t>
      </w:r>
      <w:r w:rsidRPr="000A769A">
        <w:rPr>
          <w:rFonts w:ascii="Arial" w:hAnsi="Arial" w:cs="Arial"/>
          <w:sz w:val="22"/>
        </w:rPr>
        <w:t>. 2013;42(1):111-127. doi:10.1093/ije/dys064</w:t>
      </w:r>
    </w:p>
    <w:p w14:paraId="35AE7C76"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32. </w:t>
      </w:r>
      <w:r w:rsidRPr="000A769A">
        <w:rPr>
          <w:rFonts w:ascii="Arial" w:hAnsi="Arial" w:cs="Arial"/>
          <w:sz w:val="22"/>
        </w:rPr>
        <w:tab/>
        <w:t xml:space="preserve">Fraser A, Macdonald-Wallis C, Tilling K, et al. Cohort Profile: The Avon Longitudinal Study of Parents and Children: ALSPAC mothers cohort. </w:t>
      </w:r>
      <w:r w:rsidRPr="000A769A">
        <w:rPr>
          <w:rFonts w:ascii="Arial" w:hAnsi="Arial" w:cs="Arial"/>
          <w:i/>
          <w:iCs/>
          <w:sz w:val="22"/>
        </w:rPr>
        <w:t>Int J Epidemiol</w:t>
      </w:r>
      <w:r w:rsidRPr="000A769A">
        <w:rPr>
          <w:rFonts w:ascii="Arial" w:hAnsi="Arial" w:cs="Arial"/>
          <w:sz w:val="22"/>
        </w:rPr>
        <w:t>. 2013;42(1):97-110. doi:10.1093/ije/dys066</w:t>
      </w:r>
    </w:p>
    <w:p w14:paraId="01E97F48"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33. </w:t>
      </w:r>
      <w:r w:rsidRPr="000A769A">
        <w:rPr>
          <w:rFonts w:ascii="Arial" w:hAnsi="Arial" w:cs="Arial"/>
          <w:sz w:val="22"/>
        </w:rPr>
        <w:tab/>
        <w:t xml:space="preserve">Golding J, Pembrey M, Jones R, ALSPAC ST. ALSPAC--the Avon Longitudinal Study of Parents and Children. I. Study methodology. </w:t>
      </w:r>
      <w:r w:rsidRPr="000A769A">
        <w:rPr>
          <w:rFonts w:ascii="Arial" w:hAnsi="Arial" w:cs="Arial"/>
          <w:i/>
          <w:iCs/>
          <w:sz w:val="22"/>
        </w:rPr>
        <w:t>Paediatr Perinat Epidemiol</w:t>
      </w:r>
      <w:r w:rsidRPr="000A769A">
        <w:rPr>
          <w:rFonts w:ascii="Arial" w:hAnsi="Arial" w:cs="Arial"/>
          <w:sz w:val="22"/>
        </w:rPr>
        <w:t>. 2001;15(1):74-87.</w:t>
      </w:r>
    </w:p>
    <w:p w14:paraId="75C49A69"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34. </w:t>
      </w:r>
      <w:r w:rsidRPr="000A769A">
        <w:rPr>
          <w:rFonts w:ascii="Arial" w:hAnsi="Arial" w:cs="Arial"/>
          <w:sz w:val="22"/>
        </w:rPr>
        <w:tab/>
        <w:t xml:space="preserve">Kann L, Warren CW, Harris WA, et al. Youth risk behavior surveillance--United States, 1995. </w:t>
      </w:r>
      <w:r w:rsidRPr="000A769A">
        <w:rPr>
          <w:rFonts w:ascii="Arial" w:hAnsi="Arial" w:cs="Arial"/>
          <w:i/>
          <w:iCs/>
          <w:sz w:val="22"/>
        </w:rPr>
        <w:t>J Sch Health</w:t>
      </w:r>
      <w:r w:rsidRPr="000A769A">
        <w:rPr>
          <w:rFonts w:ascii="Arial" w:hAnsi="Arial" w:cs="Arial"/>
          <w:sz w:val="22"/>
        </w:rPr>
        <w:t>. 1996;66(10):365-377.</w:t>
      </w:r>
    </w:p>
    <w:p w14:paraId="1264A343"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35. </w:t>
      </w:r>
      <w:r w:rsidRPr="000A769A">
        <w:rPr>
          <w:rFonts w:ascii="Arial" w:hAnsi="Arial" w:cs="Arial"/>
          <w:sz w:val="22"/>
        </w:rPr>
        <w:tab/>
        <w:t xml:space="preserve">Field AE, Taylor CB, Celio A, Colditz GA. Comparison of self-report to interview assessment of bulimic behaviors among preadolescent and adolescent girls and boys. </w:t>
      </w:r>
      <w:r w:rsidRPr="000A769A">
        <w:rPr>
          <w:rFonts w:ascii="Arial" w:hAnsi="Arial" w:cs="Arial"/>
          <w:i/>
          <w:iCs/>
          <w:sz w:val="22"/>
        </w:rPr>
        <w:t>Int J Eat Disord</w:t>
      </w:r>
      <w:r w:rsidRPr="000A769A">
        <w:rPr>
          <w:rFonts w:ascii="Arial" w:hAnsi="Arial" w:cs="Arial"/>
          <w:sz w:val="22"/>
        </w:rPr>
        <w:t>. 2004;35(1):86-92. doi:10.1002/eat.10220</w:t>
      </w:r>
    </w:p>
    <w:p w14:paraId="39D80826"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36. </w:t>
      </w:r>
      <w:r w:rsidRPr="000A769A">
        <w:rPr>
          <w:rFonts w:ascii="Arial" w:hAnsi="Arial" w:cs="Arial"/>
          <w:sz w:val="22"/>
        </w:rPr>
        <w:tab/>
        <w:t xml:space="preserve">Herle M, De Stavola B, Hübel C, et al. Eating behaviours in childhood and later eating disorder behaviours and diagnoses: a longitudinal study. </w:t>
      </w:r>
      <w:r w:rsidRPr="000A769A">
        <w:rPr>
          <w:rFonts w:ascii="Arial" w:hAnsi="Arial" w:cs="Arial"/>
          <w:i/>
          <w:iCs/>
          <w:sz w:val="22"/>
        </w:rPr>
        <w:t>British Journal of Psychiatry</w:t>
      </w:r>
      <w:r w:rsidRPr="000A769A">
        <w:rPr>
          <w:rFonts w:ascii="Arial" w:hAnsi="Arial" w:cs="Arial"/>
          <w:sz w:val="22"/>
        </w:rPr>
        <w:t>. Published online 2019. Accessed August 25, 2019. https://www.cambridge.org/core/journals/the-british-journal-of-psychiatry/all-issues</w:t>
      </w:r>
    </w:p>
    <w:p w14:paraId="2FBD663C"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37. </w:t>
      </w:r>
      <w:r w:rsidRPr="000A769A">
        <w:rPr>
          <w:rFonts w:ascii="Arial" w:hAnsi="Arial" w:cs="Arial"/>
          <w:sz w:val="22"/>
        </w:rPr>
        <w:tab/>
        <w:t xml:space="preserve">Micali N, Solmi F, Horton NJ, et al. Adolescent Eating Disorders Predict Psychiatric, High-Risk Behaviors and Weight Outcomes in Young Adulthood. </w:t>
      </w:r>
      <w:r w:rsidRPr="000A769A">
        <w:rPr>
          <w:rFonts w:ascii="Arial" w:hAnsi="Arial" w:cs="Arial"/>
          <w:i/>
          <w:iCs/>
          <w:sz w:val="22"/>
        </w:rPr>
        <w:t>J Am Acad Child Adolesc Psychiatry</w:t>
      </w:r>
      <w:r w:rsidRPr="000A769A">
        <w:rPr>
          <w:rFonts w:ascii="Arial" w:hAnsi="Arial" w:cs="Arial"/>
          <w:sz w:val="22"/>
        </w:rPr>
        <w:t>. 2015;54(8):652-659.e1. doi:10.1016/j.jaac.2015.05.009</w:t>
      </w:r>
    </w:p>
    <w:p w14:paraId="1007C9C4"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38. </w:t>
      </w:r>
      <w:r w:rsidRPr="000A769A">
        <w:rPr>
          <w:rFonts w:ascii="Arial" w:hAnsi="Arial" w:cs="Arial"/>
          <w:sz w:val="22"/>
        </w:rPr>
        <w:tab/>
        <w:t xml:space="preserve">Schaumberg K, Brosof LC, Lloyd EC, et al. Prospective associations between childhood neuropsychological profiles and adolescent eating disorders. </w:t>
      </w:r>
      <w:r w:rsidRPr="000A769A">
        <w:rPr>
          <w:rFonts w:ascii="Arial" w:hAnsi="Arial" w:cs="Arial"/>
          <w:i/>
          <w:iCs/>
          <w:sz w:val="22"/>
        </w:rPr>
        <w:t>European Eating Disorders Review</w:t>
      </w:r>
      <w:r w:rsidRPr="000A769A">
        <w:rPr>
          <w:rFonts w:ascii="Arial" w:hAnsi="Arial" w:cs="Arial"/>
          <w:sz w:val="22"/>
        </w:rPr>
        <w:t>. 2020;28(2):156-169. doi:10.1002/erv.2721</w:t>
      </w:r>
    </w:p>
    <w:p w14:paraId="15D42000"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39. </w:t>
      </w:r>
      <w:r w:rsidRPr="000A769A">
        <w:rPr>
          <w:rFonts w:ascii="Arial" w:hAnsi="Arial" w:cs="Arial"/>
          <w:sz w:val="22"/>
        </w:rPr>
        <w:tab/>
        <w:t>American Psychiatric Association. Diagnostic and Statistical Manual of Mental Disorders. Published online 2013.</w:t>
      </w:r>
    </w:p>
    <w:p w14:paraId="05DC5188"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40. </w:t>
      </w:r>
      <w:r w:rsidRPr="000A769A">
        <w:rPr>
          <w:rFonts w:ascii="Arial" w:hAnsi="Arial" w:cs="Arial"/>
          <w:sz w:val="22"/>
        </w:rPr>
        <w:tab/>
        <w:t xml:space="preserve">Cole TJ, Flegal KM, Nicholls D, Jackson AA. Body mass index cut offs to define thinness in children and adolescents: international survey. </w:t>
      </w:r>
      <w:r w:rsidRPr="000A769A">
        <w:rPr>
          <w:rFonts w:ascii="Arial" w:hAnsi="Arial" w:cs="Arial"/>
          <w:i/>
          <w:iCs/>
          <w:sz w:val="22"/>
        </w:rPr>
        <w:t>BMJ</w:t>
      </w:r>
      <w:r w:rsidRPr="000A769A">
        <w:rPr>
          <w:rFonts w:ascii="Arial" w:hAnsi="Arial" w:cs="Arial"/>
          <w:sz w:val="22"/>
        </w:rPr>
        <w:t>. 2007;335(7612):194. doi:10.1136/bmj.39238.399444.55</w:t>
      </w:r>
    </w:p>
    <w:p w14:paraId="7030845A" w14:textId="77777777" w:rsidR="000A769A" w:rsidRPr="000A769A" w:rsidRDefault="000A769A" w:rsidP="000A769A">
      <w:pPr>
        <w:pStyle w:val="Bibliography"/>
        <w:rPr>
          <w:rFonts w:ascii="Arial" w:hAnsi="Arial" w:cs="Arial"/>
          <w:sz w:val="22"/>
        </w:rPr>
      </w:pPr>
      <w:r w:rsidRPr="000A769A">
        <w:rPr>
          <w:rFonts w:ascii="Arial" w:hAnsi="Arial" w:cs="Arial"/>
          <w:sz w:val="22"/>
        </w:rPr>
        <w:lastRenderedPageBreak/>
        <w:t xml:space="preserve">41. </w:t>
      </w:r>
      <w:r w:rsidRPr="000A769A">
        <w:rPr>
          <w:rFonts w:ascii="Arial" w:hAnsi="Arial" w:cs="Arial"/>
          <w:sz w:val="22"/>
        </w:rPr>
        <w:tab/>
        <w:t xml:space="preserve">House J, Eisler I, Simic M, Micali N. Diagnosing eating disorders in adolescents: a comparison of the eating disorder examination and the development and well-being assessment. </w:t>
      </w:r>
      <w:r w:rsidRPr="000A769A">
        <w:rPr>
          <w:rFonts w:ascii="Arial" w:hAnsi="Arial" w:cs="Arial"/>
          <w:i/>
          <w:iCs/>
          <w:sz w:val="22"/>
        </w:rPr>
        <w:t>Int J Eat Disord</w:t>
      </w:r>
      <w:r w:rsidRPr="000A769A">
        <w:rPr>
          <w:rFonts w:ascii="Arial" w:hAnsi="Arial" w:cs="Arial"/>
          <w:sz w:val="22"/>
        </w:rPr>
        <w:t>. 2008;41(6):535-541. doi:10.1002/eat.20528</w:t>
      </w:r>
    </w:p>
    <w:p w14:paraId="10526882" w14:textId="77777777" w:rsidR="000A769A" w:rsidRPr="000A769A" w:rsidRDefault="000A769A" w:rsidP="000A769A">
      <w:pPr>
        <w:pStyle w:val="Bibliography"/>
        <w:rPr>
          <w:rFonts w:ascii="Arial" w:hAnsi="Arial" w:cs="Arial"/>
          <w:sz w:val="22"/>
        </w:rPr>
      </w:pPr>
      <w:r w:rsidRPr="000A769A">
        <w:rPr>
          <w:rFonts w:ascii="Arial" w:hAnsi="Arial" w:cs="Arial"/>
          <w:sz w:val="22"/>
        </w:rPr>
        <w:t xml:space="preserve">42. </w:t>
      </w:r>
      <w:r w:rsidRPr="000A769A">
        <w:rPr>
          <w:rFonts w:ascii="Arial" w:hAnsi="Arial" w:cs="Arial"/>
          <w:sz w:val="22"/>
        </w:rPr>
        <w:tab/>
        <w:t xml:space="preserve">Nagin DS, Odgers CL. Group-based trajectory modeling in clinical research. </w:t>
      </w:r>
      <w:r w:rsidRPr="000A769A">
        <w:rPr>
          <w:rFonts w:ascii="Arial" w:hAnsi="Arial" w:cs="Arial"/>
          <w:i/>
          <w:iCs/>
          <w:sz w:val="22"/>
        </w:rPr>
        <w:t>Annu Rev Clin Psychol</w:t>
      </w:r>
      <w:r w:rsidRPr="000A769A">
        <w:rPr>
          <w:rFonts w:ascii="Arial" w:hAnsi="Arial" w:cs="Arial"/>
          <w:sz w:val="22"/>
        </w:rPr>
        <w:t>. 2010;6:109-138. doi:10.1146/annurev.clinpsy.121208.131413</w:t>
      </w:r>
    </w:p>
    <w:p w14:paraId="609F9734" w14:textId="448007C9" w:rsidR="004B4D15" w:rsidRPr="004B4D15" w:rsidRDefault="00827F44" w:rsidP="00BD2CE1">
      <w:pPr>
        <w:rPr>
          <w:rFonts w:ascii="Arial" w:hAnsi="Arial" w:cs="Arial"/>
          <w:b/>
          <w:sz w:val="22"/>
          <w:szCs w:val="22"/>
        </w:rPr>
      </w:pPr>
      <w:r w:rsidRPr="004B4D15">
        <w:rPr>
          <w:rFonts w:ascii="Arial" w:hAnsi="Arial" w:cs="Arial"/>
          <w:b/>
          <w:sz w:val="22"/>
          <w:szCs w:val="22"/>
        </w:rPr>
        <w:fldChar w:fldCharType="end"/>
      </w:r>
    </w:p>
    <w:p w14:paraId="7BE8038B" w14:textId="4C633776" w:rsidR="00827F44" w:rsidRPr="004B4D15" w:rsidRDefault="00827F44" w:rsidP="00BD2CE1">
      <w:pPr>
        <w:rPr>
          <w:rFonts w:ascii="Arial" w:hAnsi="Arial" w:cs="Arial"/>
          <w:b/>
          <w:sz w:val="22"/>
          <w:szCs w:val="22"/>
        </w:rPr>
      </w:pPr>
    </w:p>
    <w:sectPr w:rsidR="00827F44" w:rsidRPr="004B4D15" w:rsidSect="00737F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HERINE SCHAUMBERG" w:date="2020-11-23T13:58:00Z" w:initials="KS">
    <w:p w14:paraId="38F6765B" w14:textId="62275DE5" w:rsidR="00AB48B8" w:rsidRDefault="00AB48B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676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6765B" w16cid:durableId="23663E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0C1085"/>
    <w:multiLevelType w:val="hybridMultilevel"/>
    <w:tmpl w:val="74920A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8950D2"/>
    <w:multiLevelType w:val="hybridMultilevel"/>
    <w:tmpl w:val="972844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SCHAUMBERG">
    <w15:presenceInfo w15:providerId="AD" w15:userId="S::kschaumberg@wisc.edu::b884e127-4120-4701-b50a-25e2417635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84730"/>
    <w:rsid w:val="000179CA"/>
    <w:rsid w:val="0002423F"/>
    <w:rsid w:val="00026720"/>
    <w:rsid w:val="000477FE"/>
    <w:rsid w:val="0007385C"/>
    <w:rsid w:val="00077B88"/>
    <w:rsid w:val="000A769A"/>
    <w:rsid w:val="000B4BAB"/>
    <w:rsid w:val="000B69A3"/>
    <w:rsid w:val="000E6AAE"/>
    <w:rsid w:val="00103CED"/>
    <w:rsid w:val="00111429"/>
    <w:rsid w:val="00111F07"/>
    <w:rsid w:val="001171D3"/>
    <w:rsid w:val="00121025"/>
    <w:rsid w:val="001243D3"/>
    <w:rsid w:val="001324DB"/>
    <w:rsid w:val="0013470F"/>
    <w:rsid w:val="00155798"/>
    <w:rsid w:val="001A0FC7"/>
    <w:rsid w:val="001B3D77"/>
    <w:rsid w:val="001D3DE3"/>
    <w:rsid w:val="001D5055"/>
    <w:rsid w:val="001D53C7"/>
    <w:rsid w:val="001F1BF3"/>
    <w:rsid w:val="001F5661"/>
    <w:rsid w:val="001F5BC0"/>
    <w:rsid w:val="002210C4"/>
    <w:rsid w:val="00231942"/>
    <w:rsid w:val="0024068E"/>
    <w:rsid w:val="002406DE"/>
    <w:rsid w:val="00285012"/>
    <w:rsid w:val="00292B60"/>
    <w:rsid w:val="002932E4"/>
    <w:rsid w:val="002A385A"/>
    <w:rsid w:val="002E5522"/>
    <w:rsid w:val="0039108C"/>
    <w:rsid w:val="003936A4"/>
    <w:rsid w:val="003A1BE5"/>
    <w:rsid w:val="003A46F8"/>
    <w:rsid w:val="003A5A47"/>
    <w:rsid w:val="003B0C71"/>
    <w:rsid w:val="003C7278"/>
    <w:rsid w:val="003E47C5"/>
    <w:rsid w:val="003E656B"/>
    <w:rsid w:val="003E7DD4"/>
    <w:rsid w:val="0041367A"/>
    <w:rsid w:val="004316FF"/>
    <w:rsid w:val="004479A0"/>
    <w:rsid w:val="004540E9"/>
    <w:rsid w:val="00457565"/>
    <w:rsid w:val="00466FDA"/>
    <w:rsid w:val="00472DBA"/>
    <w:rsid w:val="00494C9C"/>
    <w:rsid w:val="00495B98"/>
    <w:rsid w:val="004B1FD0"/>
    <w:rsid w:val="004B4D15"/>
    <w:rsid w:val="004B5E33"/>
    <w:rsid w:val="004C1F28"/>
    <w:rsid w:val="004C7004"/>
    <w:rsid w:val="004E7B91"/>
    <w:rsid w:val="004F0E64"/>
    <w:rsid w:val="00502EB5"/>
    <w:rsid w:val="0051093D"/>
    <w:rsid w:val="00510D5A"/>
    <w:rsid w:val="00520A21"/>
    <w:rsid w:val="00523435"/>
    <w:rsid w:val="0055230E"/>
    <w:rsid w:val="0055640A"/>
    <w:rsid w:val="00572F00"/>
    <w:rsid w:val="0058217A"/>
    <w:rsid w:val="005B3268"/>
    <w:rsid w:val="005B4F64"/>
    <w:rsid w:val="005F7B78"/>
    <w:rsid w:val="006043FD"/>
    <w:rsid w:val="006106E0"/>
    <w:rsid w:val="006133EB"/>
    <w:rsid w:val="00641E85"/>
    <w:rsid w:val="00650961"/>
    <w:rsid w:val="006624C4"/>
    <w:rsid w:val="00673607"/>
    <w:rsid w:val="006737A1"/>
    <w:rsid w:val="006B5FF5"/>
    <w:rsid w:val="006D011D"/>
    <w:rsid w:val="006D4571"/>
    <w:rsid w:val="006D7443"/>
    <w:rsid w:val="006E27BB"/>
    <w:rsid w:val="006F0483"/>
    <w:rsid w:val="006F553E"/>
    <w:rsid w:val="00721048"/>
    <w:rsid w:val="0072210C"/>
    <w:rsid w:val="00737F59"/>
    <w:rsid w:val="00750AFC"/>
    <w:rsid w:val="00764CEF"/>
    <w:rsid w:val="00774403"/>
    <w:rsid w:val="00774E41"/>
    <w:rsid w:val="00797568"/>
    <w:rsid w:val="007A71EA"/>
    <w:rsid w:val="007C700C"/>
    <w:rsid w:val="007E475E"/>
    <w:rsid w:val="00800314"/>
    <w:rsid w:val="008038EB"/>
    <w:rsid w:val="00827175"/>
    <w:rsid w:val="00827F44"/>
    <w:rsid w:val="00842826"/>
    <w:rsid w:val="00860F72"/>
    <w:rsid w:val="008B2970"/>
    <w:rsid w:val="008B6276"/>
    <w:rsid w:val="008C697C"/>
    <w:rsid w:val="008D63CE"/>
    <w:rsid w:val="008D6EB3"/>
    <w:rsid w:val="008D7822"/>
    <w:rsid w:val="008E443C"/>
    <w:rsid w:val="008F29CF"/>
    <w:rsid w:val="00900A49"/>
    <w:rsid w:val="0091203B"/>
    <w:rsid w:val="00914DC5"/>
    <w:rsid w:val="009302E7"/>
    <w:rsid w:val="009340AD"/>
    <w:rsid w:val="009462AA"/>
    <w:rsid w:val="009545D4"/>
    <w:rsid w:val="00960AD8"/>
    <w:rsid w:val="00981ACF"/>
    <w:rsid w:val="009B158F"/>
    <w:rsid w:val="009B5F1D"/>
    <w:rsid w:val="009C3472"/>
    <w:rsid w:val="009D6FFD"/>
    <w:rsid w:val="009E6988"/>
    <w:rsid w:val="00A012C5"/>
    <w:rsid w:val="00A01884"/>
    <w:rsid w:val="00A410AA"/>
    <w:rsid w:val="00A7385A"/>
    <w:rsid w:val="00A74930"/>
    <w:rsid w:val="00A84730"/>
    <w:rsid w:val="00A86D91"/>
    <w:rsid w:val="00AA496D"/>
    <w:rsid w:val="00AB48B8"/>
    <w:rsid w:val="00AC7F42"/>
    <w:rsid w:val="00AE23A3"/>
    <w:rsid w:val="00AE59CD"/>
    <w:rsid w:val="00AF1905"/>
    <w:rsid w:val="00AF51C7"/>
    <w:rsid w:val="00B34598"/>
    <w:rsid w:val="00B409EA"/>
    <w:rsid w:val="00B44B32"/>
    <w:rsid w:val="00B46188"/>
    <w:rsid w:val="00B47637"/>
    <w:rsid w:val="00B71484"/>
    <w:rsid w:val="00B815F6"/>
    <w:rsid w:val="00B9146C"/>
    <w:rsid w:val="00B91ED1"/>
    <w:rsid w:val="00BB17FA"/>
    <w:rsid w:val="00BB5959"/>
    <w:rsid w:val="00BC153F"/>
    <w:rsid w:val="00BD2CE1"/>
    <w:rsid w:val="00C2223F"/>
    <w:rsid w:val="00C22418"/>
    <w:rsid w:val="00C22E08"/>
    <w:rsid w:val="00C27B68"/>
    <w:rsid w:val="00C32811"/>
    <w:rsid w:val="00C32D46"/>
    <w:rsid w:val="00C359A8"/>
    <w:rsid w:val="00C416D8"/>
    <w:rsid w:val="00C54533"/>
    <w:rsid w:val="00C617FD"/>
    <w:rsid w:val="00C6375E"/>
    <w:rsid w:val="00C95FC0"/>
    <w:rsid w:val="00CB0881"/>
    <w:rsid w:val="00CB7933"/>
    <w:rsid w:val="00CC12E2"/>
    <w:rsid w:val="00CC5623"/>
    <w:rsid w:val="00CD7500"/>
    <w:rsid w:val="00CE6D3A"/>
    <w:rsid w:val="00D17A63"/>
    <w:rsid w:val="00D24452"/>
    <w:rsid w:val="00D32626"/>
    <w:rsid w:val="00D70C07"/>
    <w:rsid w:val="00D84672"/>
    <w:rsid w:val="00D86187"/>
    <w:rsid w:val="00D86F58"/>
    <w:rsid w:val="00D933E4"/>
    <w:rsid w:val="00DB037E"/>
    <w:rsid w:val="00DC0A73"/>
    <w:rsid w:val="00DD59BC"/>
    <w:rsid w:val="00DF0713"/>
    <w:rsid w:val="00E04211"/>
    <w:rsid w:val="00E053ED"/>
    <w:rsid w:val="00E13583"/>
    <w:rsid w:val="00E14111"/>
    <w:rsid w:val="00E27985"/>
    <w:rsid w:val="00E46EFC"/>
    <w:rsid w:val="00E61B2E"/>
    <w:rsid w:val="00E74B25"/>
    <w:rsid w:val="00E869AF"/>
    <w:rsid w:val="00EB50F6"/>
    <w:rsid w:val="00F03FC5"/>
    <w:rsid w:val="00F108F2"/>
    <w:rsid w:val="00F454A1"/>
    <w:rsid w:val="00F60920"/>
    <w:rsid w:val="00F85D0D"/>
    <w:rsid w:val="00FB1DD5"/>
    <w:rsid w:val="00FB4FAB"/>
    <w:rsid w:val="00FB586C"/>
    <w:rsid w:val="00FD07EA"/>
    <w:rsid w:val="00FD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4BE7"/>
  <w15:chartTrackingRefBased/>
  <w15:docId w15:val="{4705EEAF-1818-F54E-B252-DB758024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84730"/>
    <w:rPr>
      <w:rFonts w:ascii="Arial" w:eastAsia="Times New Roman" w:hAnsi="Arial" w:cs="Arial"/>
      <w:sz w:val="17"/>
      <w:szCs w:val="17"/>
    </w:rPr>
  </w:style>
  <w:style w:type="table" w:styleId="TableGrid">
    <w:name w:val="Table Grid"/>
    <w:basedOn w:val="TableNormal"/>
    <w:uiPriority w:val="39"/>
    <w:rsid w:val="00A84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FC0"/>
    <w:pPr>
      <w:ind w:left="720"/>
      <w:contextualSpacing/>
    </w:pPr>
  </w:style>
  <w:style w:type="character" w:customStyle="1" w:styleId="s1">
    <w:name w:val="s1"/>
    <w:basedOn w:val="DefaultParagraphFont"/>
    <w:rsid w:val="002932E4"/>
    <w:rPr>
      <w:rFonts w:ascii="Calibri" w:hAnsi="Calibri" w:cs="Times New Roman"/>
      <w:sz w:val="18"/>
      <w:szCs w:val="18"/>
    </w:rPr>
  </w:style>
  <w:style w:type="paragraph" w:customStyle="1" w:styleId="p2">
    <w:name w:val="p2"/>
    <w:basedOn w:val="Normal"/>
    <w:link w:val="p2Char"/>
    <w:rsid w:val="002932E4"/>
    <w:pPr>
      <w:spacing w:after="90"/>
    </w:pPr>
    <w:rPr>
      <w:rFonts w:ascii="Arial" w:eastAsia="Times New Roman" w:hAnsi="Arial" w:cs="Arial"/>
      <w:sz w:val="17"/>
      <w:szCs w:val="17"/>
    </w:rPr>
  </w:style>
  <w:style w:type="character" w:customStyle="1" w:styleId="p2Char">
    <w:name w:val="p2 Char"/>
    <w:basedOn w:val="DefaultParagraphFont"/>
    <w:link w:val="p2"/>
    <w:rsid w:val="002932E4"/>
    <w:rPr>
      <w:rFonts w:ascii="Arial" w:eastAsia="Times New Roman" w:hAnsi="Arial" w:cs="Arial"/>
      <w:sz w:val="17"/>
      <w:szCs w:val="17"/>
    </w:rPr>
  </w:style>
  <w:style w:type="paragraph" w:styleId="BalloonText">
    <w:name w:val="Balloon Text"/>
    <w:basedOn w:val="Normal"/>
    <w:link w:val="BalloonTextChar"/>
    <w:uiPriority w:val="99"/>
    <w:semiHidden/>
    <w:unhideWhenUsed/>
    <w:rsid w:val="00F03F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FC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22E08"/>
    <w:rPr>
      <w:sz w:val="16"/>
      <w:szCs w:val="16"/>
    </w:rPr>
  </w:style>
  <w:style w:type="paragraph" w:styleId="CommentText">
    <w:name w:val="annotation text"/>
    <w:basedOn w:val="Normal"/>
    <w:link w:val="CommentTextChar"/>
    <w:uiPriority w:val="99"/>
    <w:semiHidden/>
    <w:unhideWhenUsed/>
    <w:rsid w:val="00C22E08"/>
    <w:rPr>
      <w:sz w:val="20"/>
      <w:szCs w:val="20"/>
    </w:rPr>
  </w:style>
  <w:style w:type="character" w:customStyle="1" w:styleId="CommentTextChar">
    <w:name w:val="Comment Text Char"/>
    <w:basedOn w:val="DefaultParagraphFont"/>
    <w:link w:val="CommentText"/>
    <w:uiPriority w:val="99"/>
    <w:semiHidden/>
    <w:rsid w:val="00C22E08"/>
    <w:rPr>
      <w:sz w:val="20"/>
      <w:szCs w:val="20"/>
    </w:rPr>
  </w:style>
  <w:style w:type="paragraph" w:styleId="CommentSubject">
    <w:name w:val="annotation subject"/>
    <w:basedOn w:val="CommentText"/>
    <w:next w:val="CommentText"/>
    <w:link w:val="CommentSubjectChar"/>
    <w:uiPriority w:val="99"/>
    <w:semiHidden/>
    <w:unhideWhenUsed/>
    <w:rsid w:val="00C22E08"/>
    <w:rPr>
      <w:b/>
      <w:bCs/>
    </w:rPr>
  </w:style>
  <w:style w:type="character" w:customStyle="1" w:styleId="CommentSubjectChar">
    <w:name w:val="Comment Subject Char"/>
    <w:basedOn w:val="CommentTextChar"/>
    <w:link w:val="CommentSubject"/>
    <w:uiPriority w:val="99"/>
    <w:semiHidden/>
    <w:rsid w:val="00C22E08"/>
    <w:rPr>
      <w:b/>
      <w:bCs/>
      <w:sz w:val="20"/>
      <w:szCs w:val="20"/>
    </w:rPr>
  </w:style>
  <w:style w:type="paragraph" w:styleId="Bibliography">
    <w:name w:val="Bibliography"/>
    <w:basedOn w:val="Normal"/>
    <w:next w:val="Normal"/>
    <w:uiPriority w:val="37"/>
    <w:unhideWhenUsed/>
    <w:rsid w:val="00827F44"/>
    <w:pPr>
      <w:tabs>
        <w:tab w:val="left" w:pos="500"/>
      </w:tabs>
      <w:spacing w:after="240"/>
      <w:ind w:left="504" w:hanging="504"/>
    </w:pPr>
  </w:style>
  <w:style w:type="paragraph" w:customStyle="1" w:styleId="EndNoteBibliographyTitle">
    <w:name w:val="EndNote Bibliography Title"/>
    <w:basedOn w:val="Normal"/>
    <w:link w:val="EndNoteBibliographyTitleChar"/>
    <w:rsid w:val="004B4D15"/>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B4D15"/>
    <w:rPr>
      <w:rFonts w:ascii="Calibri" w:hAnsi="Calibri" w:cs="Calibri"/>
    </w:rPr>
  </w:style>
  <w:style w:type="paragraph" w:customStyle="1" w:styleId="EndNoteBibliography">
    <w:name w:val="EndNote Bibliography"/>
    <w:basedOn w:val="Normal"/>
    <w:link w:val="EndNoteBibliographyChar"/>
    <w:rsid w:val="004B4D15"/>
    <w:rPr>
      <w:rFonts w:ascii="Calibri" w:hAnsi="Calibri" w:cs="Calibri"/>
    </w:rPr>
  </w:style>
  <w:style w:type="character" w:customStyle="1" w:styleId="EndNoteBibliographyChar">
    <w:name w:val="EndNote Bibliography Char"/>
    <w:basedOn w:val="DefaultParagraphFont"/>
    <w:link w:val="EndNoteBibliography"/>
    <w:rsid w:val="004B4D15"/>
    <w:rPr>
      <w:rFonts w:ascii="Calibri" w:hAnsi="Calibri" w:cs="Calibri"/>
    </w:rPr>
  </w:style>
  <w:style w:type="character" w:styleId="Hyperlink">
    <w:name w:val="Hyperlink"/>
    <w:basedOn w:val="DefaultParagraphFont"/>
    <w:uiPriority w:val="99"/>
    <w:unhideWhenUsed/>
    <w:rsid w:val="004B4D15"/>
    <w:rPr>
      <w:color w:val="0563C1" w:themeColor="hyperlink"/>
      <w:u w:val="single"/>
    </w:rPr>
  </w:style>
  <w:style w:type="character" w:styleId="UnresolvedMention">
    <w:name w:val="Unresolved Mention"/>
    <w:basedOn w:val="DefaultParagraphFont"/>
    <w:uiPriority w:val="99"/>
    <w:semiHidden/>
    <w:unhideWhenUsed/>
    <w:rsid w:val="004B4D15"/>
    <w:rPr>
      <w:color w:val="605E5C"/>
      <w:shd w:val="clear" w:color="auto" w:fill="E1DFDD"/>
    </w:rPr>
  </w:style>
  <w:style w:type="paragraph" w:customStyle="1" w:styleId="Default">
    <w:name w:val="Default"/>
    <w:rsid w:val="00E869AF"/>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19851</Words>
  <Characters>113154</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SCHAUMBERG</dc:creator>
  <cp:keywords/>
  <dc:description/>
  <cp:lastModifiedBy>KATHERINE SCHAUMBERG</cp:lastModifiedBy>
  <cp:revision>20</cp:revision>
  <dcterms:created xsi:type="dcterms:W3CDTF">2020-11-12T15:11:00Z</dcterms:created>
  <dcterms:modified xsi:type="dcterms:W3CDTF">2022-08-15T16:54:00Z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id="MZblMYvn"/&gt;&lt;style id="http://www.zotero.org/styles/american-medical-association" hasBibliography="1" bibliographyStyleHasBeenSet="1"/&gt;&lt;prefs&gt;&lt;pref name="fieldType" value="Field"/&gt;&lt;/prefs&gt;&lt;/data&gt;</vt:lpwstr>
  </property>
</Properties>
</file>