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8.png" ContentType="image/png"/>
  <Override PartName="/word/media/rId41.png" ContentType="image/pn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MAXED</w:t>
      </w:r>
      <w:r>
        <w:t xml:space="preserve"> </w:t>
      </w:r>
      <w:r>
        <w:t xml:space="preserve">Registered</w:t>
      </w:r>
      <w:r>
        <w:t xml:space="preserve"> </w:t>
      </w:r>
      <w:r>
        <w:t xml:space="preserve">Report</w:t>
      </w:r>
      <w:r>
        <w:t xml:space="preserve"> </w:t>
      </w:r>
      <w:r>
        <w:t xml:space="preserve">Doc</w:t>
      </w:r>
    </w:p>
    <w:bookmarkStart w:id="57" w:name="results"/>
    <w:p>
      <w:pPr>
        <w:pStyle w:val="Heading1"/>
      </w:pPr>
      <w:r>
        <w:t xml:space="preserve">Results</w:t>
      </w:r>
    </w:p>
    <w:bookmarkStart w:id="21" w:name="preliminary-analysis"/>
    <w:p>
      <w:pPr>
        <w:pStyle w:val="Heading2"/>
      </w:pPr>
      <w:r>
        <w:t xml:space="preserve">Preliminary Analysis</w:t>
      </w:r>
    </w:p>
    <w:p>
      <w:pPr>
        <w:pStyle w:val="FirstParagraph"/>
      </w:pPr>
      <w:r>
        <w:rPr>
          <w:i/>
          <w:iCs/>
        </w:rPr>
        <w:t xml:space="preserve">We will provide sample descriptive statistics for both ED and HC groups on variables of interest (e.g., age, ED diagnosis, BMI, compulsive exercise, Eating Disorder Examination subscales).</w:t>
      </w:r>
    </w:p>
    <w:p>
      <w:pPr>
        <w:pStyle w:val="BodyText"/>
      </w:pPr>
      <w:r>
        <w:t xml:space="preserve">Descriptive statistics for the sample are presented in</w:t>
      </w:r>
      <w:r>
        <w:t xml:space="preserve"> </w:t>
      </w:r>
      <w:hyperlink w:anchor="tbl-descriptives">
        <w:r>
          <w:rPr>
            <w:rStyle w:val="Hyperlink"/>
          </w:rPr>
          <w:t xml:space="preserve">Table 1</w:t>
        </w:r>
      </w:hyperlink>
      <w:r>
        <w:t xml:space="preserve">. Overall, the ED and HC group were well matched on key demographic variables as well as free-living activity levels. The ED group had higher levels of disordered eating symptoms and higher CET Total, CET Weight Control, and CET Avoidance scores compared to the HC group.</w:t>
      </w:r>
    </w:p>
    <w:tbl>
      <w:tblPr>
        <w:tblStyle w:val="Table"/>
        <w:tblW w:type="pct" w:w="5000"/>
        <w:tblLayout w:type="fixed"/>
        <w:tblLook w:firstRow="0" w:lastRow="0" w:firstColumn="0" w:lastColumn="0" w:noHBand="0" w:noVBand="0" w:val="0000"/>
      </w:tblPr>
      <w:tblGrid>
        <w:gridCol w:w="7920"/>
      </w:tblGrid>
      <w:tr>
        <w:tc>
          <w:tcPr/>
          <w:bookmarkStart w:id="20" w:name="tbl-descriptives"/>
          <w:p>
            <w:pPr>
              <w:jc w:val="center"/>
            </w:pPr>
            <w:pPr>
              <w:jc w:val="start"/>
              <w:spacing w:before="200"/>
              <w:pStyle w:val="ImageCaption"/>
            </w:pPr>
            <w:r>
              <w:t xml:space="preserve">Table 1: Descriptive Statistics Across Eating Disorder (ED) and Healthy Control (HC) Groups</w:t>
            </w:r>
          </w:p>
          <w:p>
            <w:pPr>
              <w:pStyle w:val="Compact"/>
              <w:jc w:val="center"/>
            </w:pPr>
            <w:r>
              <w:t xml:space="preserve">Descriptive Statistics Across Eating Disorder (ED) and Healthy Control (HC) Groups</w:t>
            </w:r>
          </w:p>
          <w:tbl>
            <w:tblPr>
              <w:tblStyle w:val="Table"/>
              <w:tblW w:type="pct" w:w="5000"/>
              <w:tblLayout w:type="fixed"/>
              <w:tblLook w:firstRow="1" w:lastRow="0" w:firstColumn="0" w:lastColumn="0" w:noHBand="0" w:noVBand="0" w:val="0020"/>
              <w:tblCaption w:val="Descriptive Statistics Across Eating Disorder (ED) and Healthy Control (HC) Groups"/>
            </w:tblPr>
            <w:tblGrid>
              <w:gridCol w:w="2734"/>
              <w:gridCol w:w="1320"/>
              <w:gridCol w:w="1320"/>
              <w:gridCol w:w="754"/>
              <w:gridCol w:w="848"/>
              <w:gridCol w:w="942"/>
            </w:tblGrid>
            <w:tr>
              <w:trPr>
                <w:tblHeader w:val="on"/>
              </w:trPr>
              <w:tc>
                <w:tcPr/>
                <w:p>
                  <w:pPr>
                    <w:pStyle w:val="Compact"/>
                    <w:jc w:val="left"/>
                    <w:jc w:val="center"/>
                  </w:pPr>
                  <w:r>
                    <w:t xml:space="preserve">Variable</w:t>
                  </w:r>
                </w:p>
              </w:tc>
              <w:tc>
                <w:tcPr/>
                <w:p>
                  <w:pPr>
                    <w:pStyle w:val="Compact"/>
                    <w:jc w:val="left"/>
                    <w:jc w:val="center"/>
                  </w:pPr>
                  <w:r>
                    <w:t xml:space="preserve">ED</w:t>
                  </w:r>
                </w:p>
              </w:tc>
              <w:tc>
                <w:tcPr/>
                <w:p>
                  <w:pPr>
                    <w:pStyle w:val="Compact"/>
                    <w:jc w:val="left"/>
                    <w:jc w:val="center"/>
                  </w:pPr>
                  <w:r>
                    <w:t xml:space="preserve">HC</w:t>
                  </w:r>
                </w:p>
              </w:tc>
              <w:tc>
                <w:tcPr/>
                <w:p>
                  <w:pPr>
                    <w:pStyle w:val="Compact"/>
                    <w:jc w:val="left"/>
                    <w:jc w:val="center"/>
                  </w:pPr>
                  <w:r>
                    <w:t xml:space="preserve">t value</w:t>
                  </w:r>
                </w:p>
              </w:tc>
              <w:tc>
                <w:tcPr/>
                <w:p>
                  <w:pPr>
                    <w:pStyle w:val="Compact"/>
                    <w:jc w:val="left"/>
                    <w:jc w:val="center"/>
                  </w:pPr>
                  <w:r>
                    <w:t xml:space="preserve">p</w:t>
                  </w:r>
                </w:p>
              </w:tc>
              <w:tc>
                <w:tcPr/>
                <w:p>
                  <w:pPr>
                    <w:pStyle w:val="Compact"/>
                    <w:jc w:val="right"/>
                    <w:jc w:val="center"/>
                  </w:pPr>
                  <w:r>
                    <w:t xml:space="preserve">Cohen’s d</w:t>
                  </w:r>
                </w:p>
              </w:tc>
            </w:tr>
            <w:tr>
              <w:tc>
                <w:tcPr/>
                <w:p>
                  <w:pPr>
                    <w:pStyle w:val="Compact"/>
                    <w:jc w:val="left"/>
                    <w:jc w:val="center"/>
                  </w:pPr>
                  <w:r>
                    <w:t xml:space="preserve">Asexual</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NA</w:t>
                  </w:r>
                </w:p>
              </w:tc>
              <w:tc>
                <w:tcPr/>
                <w:p>
                  <w:pPr>
                    <w:pStyle w:val="Compact"/>
                    <w:jc w:val="left"/>
                    <w:jc w:val="center"/>
                  </w:pPr>
                  <w:r>
                    <w:t xml:space="preserve">NA</w:t>
                  </w:r>
                </w:p>
              </w:tc>
              <w:tc>
                <w:tcPr/>
                <w:p>
                  <w:pPr>
                    <w:pStyle w:val="Compact"/>
                    <w:jc w:val="right"/>
                    <w:jc w:val="center"/>
                  </w:pPr>
                  <w:r>
                    <w:t xml:space="preserve">NA</w:t>
                  </w:r>
                </w:p>
              </w:tc>
            </w:tr>
            <w:tr>
              <w:tc>
                <w:tcPr/>
                <w:p>
                  <w:pPr>
                    <w:pStyle w:val="Compact"/>
                    <w:jc w:val="left"/>
                    <w:jc w:val="center"/>
                  </w:pPr>
                  <w:r>
                    <w:t xml:space="preserve">Bisexual/Pansexual</w:t>
                  </w:r>
                </w:p>
              </w:tc>
              <w:tc>
                <w:tcPr/>
                <w:p>
                  <w:pPr>
                    <w:pStyle w:val="Compact"/>
                    <w:jc w:val="left"/>
                    <w:jc w:val="center"/>
                  </w:pPr>
                  <w:r>
                    <w:t xml:space="preserve">6</w:t>
                  </w:r>
                </w:p>
              </w:tc>
              <w:tc>
                <w:tcPr/>
                <w:p>
                  <w:pPr>
                    <w:pStyle w:val="Compact"/>
                    <w:jc w:val="left"/>
                    <w:jc w:val="center"/>
                  </w:pPr>
                  <w:r>
                    <w:t xml:space="preserve">6</w:t>
                  </w:r>
                </w:p>
              </w:tc>
              <w:tc>
                <w:tcPr/>
                <w:p>
                  <w:pPr>
                    <w:pStyle w:val="Compact"/>
                    <w:jc w:val="left"/>
                    <w:jc w:val="center"/>
                  </w:pPr>
                  <w:r>
                    <w:t xml:space="preserve">NA</w:t>
                  </w:r>
                </w:p>
              </w:tc>
              <w:tc>
                <w:tcPr/>
                <w:p>
                  <w:pPr>
                    <w:pStyle w:val="Compact"/>
                    <w:jc w:val="left"/>
                    <w:jc w:val="center"/>
                  </w:pPr>
                  <w:r>
                    <w:t xml:space="preserve">NA</w:t>
                  </w:r>
                </w:p>
              </w:tc>
              <w:tc>
                <w:tcPr/>
                <w:p>
                  <w:pPr>
                    <w:pStyle w:val="Compact"/>
                    <w:jc w:val="right"/>
                    <w:jc w:val="center"/>
                  </w:pPr>
                  <w:r>
                    <w:t xml:space="preserve">NA</w:t>
                  </w:r>
                </w:p>
              </w:tc>
            </w:tr>
            <w:tr>
              <w:tc>
                <w:tcPr/>
                <w:p>
                  <w:pPr>
                    <w:pStyle w:val="Compact"/>
                    <w:jc w:val="left"/>
                    <w:jc w:val="center"/>
                  </w:pPr>
                  <w:r>
                    <w:t xml:space="preserve">Lesbian/Gay</w:t>
                  </w:r>
                </w:p>
              </w:tc>
              <w:tc>
                <w:tcPr/>
                <w:p>
                  <w:pPr>
                    <w:pStyle w:val="Compact"/>
                    <w:jc w:val="left"/>
                    <w:jc w:val="center"/>
                  </w:pPr>
                  <w:r>
                    <w:t xml:space="preserve">2</w:t>
                  </w:r>
                </w:p>
              </w:tc>
              <w:tc>
                <w:tcPr/>
                <w:p>
                  <w:pPr>
                    <w:pStyle w:val="Compact"/>
                    <w:jc w:val="left"/>
                    <w:jc w:val="center"/>
                  </w:pPr>
                  <w:r>
                    <w:t xml:space="preserve">2</w:t>
                  </w:r>
                </w:p>
              </w:tc>
              <w:tc>
                <w:tcPr/>
                <w:p>
                  <w:pPr>
                    <w:pStyle w:val="Compact"/>
                    <w:jc w:val="left"/>
                    <w:jc w:val="center"/>
                  </w:pPr>
                  <w:r>
                    <w:t xml:space="preserve">NA</w:t>
                  </w:r>
                </w:p>
              </w:tc>
              <w:tc>
                <w:tcPr/>
                <w:p>
                  <w:pPr>
                    <w:pStyle w:val="Compact"/>
                    <w:jc w:val="left"/>
                    <w:jc w:val="center"/>
                  </w:pPr>
                  <w:r>
                    <w:t xml:space="preserve">NA</w:t>
                  </w:r>
                </w:p>
              </w:tc>
              <w:tc>
                <w:tcPr/>
                <w:p>
                  <w:pPr>
                    <w:pStyle w:val="Compact"/>
                    <w:jc w:val="right"/>
                    <w:jc w:val="center"/>
                  </w:pPr>
                  <w:r>
                    <w:t xml:space="preserve">NA</w:t>
                  </w:r>
                </w:p>
              </w:tc>
            </w:tr>
            <w:tr>
              <w:tc>
                <w:tcPr/>
                <w:p>
                  <w:pPr>
                    <w:pStyle w:val="Compact"/>
                    <w:jc w:val="left"/>
                    <w:jc w:val="center"/>
                  </w:pPr>
                  <w:r>
                    <w:t xml:space="preserve">Heterosexual</w:t>
                  </w:r>
                </w:p>
              </w:tc>
              <w:tc>
                <w:tcPr/>
                <w:p>
                  <w:pPr>
                    <w:pStyle w:val="Compact"/>
                    <w:jc w:val="left"/>
                    <w:jc w:val="center"/>
                  </w:pPr>
                  <w:r>
                    <w:t xml:space="preserve">11</w:t>
                  </w:r>
                </w:p>
              </w:tc>
              <w:tc>
                <w:tcPr/>
                <w:p>
                  <w:pPr>
                    <w:pStyle w:val="Compact"/>
                    <w:jc w:val="left"/>
                    <w:jc w:val="center"/>
                  </w:pPr>
                  <w:r>
                    <w:t xml:space="preserve">10</w:t>
                  </w:r>
                </w:p>
              </w:tc>
              <w:tc>
                <w:tcPr/>
                <w:p>
                  <w:pPr>
                    <w:pStyle w:val="Compact"/>
                    <w:jc w:val="left"/>
                    <w:jc w:val="center"/>
                  </w:pPr>
                  <w:r>
                    <w:t xml:space="preserve">NA</w:t>
                  </w:r>
                </w:p>
              </w:tc>
              <w:tc>
                <w:tcPr/>
                <w:p>
                  <w:pPr>
                    <w:pStyle w:val="Compact"/>
                    <w:jc w:val="left"/>
                    <w:jc w:val="center"/>
                  </w:pPr>
                  <w:r>
                    <w:t xml:space="preserve">NA</w:t>
                  </w:r>
                </w:p>
              </w:tc>
              <w:tc>
                <w:tcPr/>
                <w:p>
                  <w:pPr>
                    <w:pStyle w:val="Compact"/>
                    <w:jc w:val="right"/>
                    <w:jc w:val="center"/>
                  </w:pPr>
                  <w:r>
                    <w:t xml:space="preserve">NA</w:t>
                  </w:r>
                </w:p>
              </w:tc>
            </w:tr>
            <w:tr>
              <w:tc>
                <w:tcPr/>
                <w:p>
                  <w:pPr>
                    <w:pStyle w:val="Compact"/>
                    <w:jc w:val="left"/>
                    <w:jc w:val="center"/>
                  </w:pPr>
                  <w:r>
                    <w:t xml:space="preserve">Sex Orientation Not Reported</w:t>
                  </w:r>
                </w:p>
              </w:tc>
              <w:tc>
                <w:tcPr/>
                <w:p>
                  <w:pPr>
                    <w:pStyle w:val="Compact"/>
                    <w:jc w:val="left"/>
                    <w:jc w:val="center"/>
                  </w:pPr>
                  <w:r>
                    <w:t xml:space="preserve">0</w:t>
                  </w:r>
                </w:p>
              </w:tc>
              <w:tc>
                <w:tcPr/>
                <w:p>
                  <w:pPr>
                    <w:pStyle w:val="Compact"/>
                    <w:jc w:val="left"/>
                    <w:jc w:val="center"/>
                  </w:pPr>
                  <w:r>
                    <w:t xml:space="preserve">2</w:t>
                  </w:r>
                </w:p>
              </w:tc>
              <w:tc>
                <w:tcPr/>
                <w:p>
                  <w:pPr>
                    <w:pStyle w:val="Compact"/>
                    <w:jc w:val="left"/>
                    <w:jc w:val="center"/>
                  </w:pPr>
                  <w:r>
                    <w:t xml:space="preserve">NA</w:t>
                  </w:r>
                </w:p>
              </w:tc>
              <w:tc>
                <w:tcPr/>
                <w:p>
                  <w:pPr>
                    <w:pStyle w:val="Compact"/>
                    <w:jc w:val="left"/>
                    <w:jc w:val="center"/>
                  </w:pPr>
                  <w:r>
                    <w:t xml:space="preserve">NA</w:t>
                  </w:r>
                </w:p>
              </w:tc>
              <w:tc>
                <w:tcPr/>
                <w:p>
                  <w:pPr>
                    <w:pStyle w:val="Compact"/>
                    <w:jc w:val="right"/>
                    <w:jc w:val="center"/>
                  </w:pPr>
                  <w:r>
                    <w:t xml:space="preserve">NA</w:t>
                  </w:r>
                </w:p>
              </w:tc>
            </w:tr>
            <w:tr>
              <w:tc>
                <w:tcPr/>
                <w:p>
                  <w:pPr>
                    <w:pStyle w:val="Compact"/>
                    <w:jc w:val="left"/>
                    <w:jc w:val="center"/>
                  </w:pPr>
                  <w:r>
                    <w:t xml:space="preserve">Woman</w:t>
                  </w:r>
                </w:p>
              </w:tc>
              <w:tc>
                <w:tcPr/>
                <w:p>
                  <w:pPr>
                    <w:pStyle w:val="Compact"/>
                    <w:jc w:val="left"/>
                    <w:jc w:val="center"/>
                  </w:pPr>
                  <w:r>
                    <w:t xml:space="preserve">20</w:t>
                  </w:r>
                </w:p>
              </w:tc>
              <w:tc>
                <w:tcPr/>
                <w:p>
                  <w:pPr>
                    <w:pStyle w:val="Compact"/>
                    <w:jc w:val="left"/>
                    <w:jc w:val="center"/>
                  </w:pPr>
                  <w:r>
                    <w:t xml:space="preserve">17</w:t>
                  </w:r>
                </w:p>
              </w:tc>
              <w:tc>
                <w:tcPr/>
                <w:p>
                  <w:pPr>
                    <w:pStyle w:val="Compact"/>
                    <w:jc w:val="left"/>
                    <w:jc w:val="center"/>
                  </w:pPr>
                  <w:r>
                    <w:t xml:space="preserve">NA</w:t>
                  </w:r>
                </w:p>
              </w:tc>
              <w:tc>
                <w:tcPr/>
                <w:p>
                  <w:pPr>
                    <w:pStyle w:val="Compact"/>
                    <w:jc w:val="left"/>
                    <w:jc w:val="center"/>
                  </w:pPr>
                  <w:r>
                    <w:t xml:space="preserve">NA</w:t>
                  </w:r>
                </w:p>
              </w:tc>
              <w:tc>
                <w:tcPr/>
                <w:p>
                  <w:pPr>
                    <w:pStyle w:val="Compact"/>
                    <w:jc w:val="right"/>
                    <w:jc w:val="center"/>
                  </w:pPr>
                  <w:r>
                    <w:t xml:space="preserve">NA</w:t>
                  </w:r>
                </w:p>
              </w:tc>
            </w:tr>
            <w:tr>
              <w:tc>
                <w:tcPr/>
                <w:p>
                  <w:pPr>
                    <w:pStyle w:val="Compact"/>
                    <w:jc w:val="left"/>
                    <w:jc w:val="center"/>
                  </w:pPr>
                  <w:r>
                    <w:t xml:space="preserve">Nonbinary</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NA</w:t>
                  </w:r>
                </w:p>
              </w:tc>
              <w:tc>
                <w:tcPr/>
                <w:p>
                  <w:pPr>
                    <w:pStyle w:val="Compact"/>
                    <w:jc w:val="left"/>
                    <w:jc w:val="center"/>
                  </w:pPr>
                  <w:r>
                    <w:t xml:space="preserve">NA</w:t>
                  </w:r>
                </w:p>
              </w:tc>
              <w:tc>
                <w:tcPr/>
                <w:p>
                  <w:pPr>
                    <w:pStyle w:val="Compact"/>
                    <w:jc w:val="right"/>
                    <w:jc w:val="center"/>
                  </w:pPr>
                  <w:r>
                    <w:t xml:space="preserve">NA</w:t>
                  </w:r>
                </w:p>
              </w:tc>
            </w:tr>
            <w:tr>
              <w:tc>
                <w:tcPr/>
                <w:p>
                  <w:pPr>
                    <w:pStyle w:val="Compact"/>
                    <w:jc w:val="left"/>
                    <w:jc w:val="center"/>
                  </w:pPr>
                  <w:r>
                    <w:t xml:space="preserve">Unsure</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NA</w:t>
                  </w:r>
                </w:p>
              </w:tc>
              <w:tc>
                <w:tcPr/>
                <w:p>
                  <w:pPr>
                    <w:pStyle w:val="Compact"/>
                    <w:jc w:val="left"/>
                    <w:jc w:val="center"/>
                  </w:pPr>
                  <w:r>
                    <w:t xml:space="preserve">NA</w:t>
                  </w:r>
                </w:p>
              </w:tc>
              <w:tc>
                <w:tcPr/>
                <w:p>
                  <w:pPr>
                    <w:pStyle w:val="Compact"/>
                    <w:jc w:val="right"/>
                    <w:jc w:val="center"/>
                  </w:pPr>
                  <w:r>
                    <w:t xml:space="preserve">NA</w:t>
                  </w:r>
                </w:p>
              </w:tc>
            </w:tr>
            <w:tr>
              <w:tc>
                <w:tcPr/>
                <w:p>
                  <w:pPr>
                    <w:pStyle w:val="Compact"/>
                    <w:jc w:val="left"/>
                    <w:jc w:val="center"/>
                  </w:pPr>
                  <w:r>
                    <w:t xml:space="preserve">Gender Not Reported</w:t>
                  </w:r>
                </w:p>
              </w:tc>
              <w:tc>
                <w:tcPr/>
                <w:p>
                  <w:pPr>
                    <w:pStyle w:val="Compact"/>
                    <w:jc w:val="left"/>
                    <w:jc w:val="center"/>
                  </w:pPr>
                  <w:r>
                    <w:t xml:space="preserve">0</w:t>
                  </w:r>
                </w:p>
              </w:tc>
              <w:tc>
                <w:tcPr/>
                <w:p>
                  <w:pPr>
                    <w:pStyle w:val="Compact"/>
                    <w:jc w:val="left"/>
                    <w:jc w:val="center"/>
                  </w:pPr>
                  <w:r>
                    <w:t xml:space="preserve">2</w:t>
                  </w:r>
                </w:p>
              </w:tc>
              <w:tc>
                <w:tcPr/>
                <w:p>
                  <w:pPr>
                    <w:pStyle w:val="Compact"/>
                    <w:jc w:val="left"/>
                    <w:jc w:val="center"/>
                  </w:pPr>
                  <w:r>
                    <w:t xml:space="preserve">NA</w:t>
                  </w:r>
                </w:p>
              </w:tc>
              <w:tc>
                <w:tcPr/>
                <w:p>
                  <w:pPr>
                    <w:pStyle w:val="Compact"/>
                    <w:jc w:val="left"/>
                    <w:jc w:val="center"/>
                  </w:pPr>
                  <w:r>
                    <w:t xml:space="preserve">NA</w:t>
                  </w:r>
                </w:p>
              </w:tc>
              <w:tc>
                <w:tcPr/>
                <w:p>
                  <w:pPr>
                    <w:pStyle w:val="Compact"/>
                    <w:jc w:val="right"/>
                    <w:jc w:val="center"/>
                  </w:pPr>
                  <w:r>
                    <w:t xml:space="preserve">NA</w:t>
                  </w:r>
                </w:p>
              </w:tc>
            </w:tr>
            <w:tr>
              <w:tc>
                <w:tcPr/>
                <w:p>
                  <w:pPr>
                    <w:pStyle w:val="Compact"/>
                    <w:jc w:val="left"/>
                    <w:jc w:val="center"/>
                  </w:pPr>
                  <w:r>
                    <w:t xml:space="preserve">White</w:t>
                  </w:r>
                </w:p>
              </w:tc>
              <w:tc>
                <w:tcPr/>
                <w:p>
                  <w:pPr>
                    <w:pStyle w:val="Compact"/>
                    <w:jc w:val="left"/>
                    <w:jc w:val="center"/>
                  </w:pPr>
                  <w:r>
                    <w:t xml:space="preserve">16</w:t>
                  </w:r>
                </w:p>
              </w:tc>
              <w:tc>
                <w:tcPr/>
                <w:p>
                  <w:pPr>
                    <w:pStyle w:val="Compact"/>
                    <w:jc w:val="left"/>
                    <w:jc w:val="center"/>
                  </w:pPr>
                  <w:r>
                    <w:t xml:space="preserve">16</w:t>
                  </w:r>
                </w:p>
              </w:tc>
              <w:tc>
                <w:tcPr/>
                <w:p>
                  <w:pPr>
                    <w:pStyle w:val="Compact"/>
                    <w:jc w:val="left"/>
                    <w:jc w:val="center"/>
                  </w:pPr>
                  <w:r>
                    <w:t xml:space="preserve">NA</w:t>
                  </w:r>
                </w:p>
              </w:tc>
              <w:tc>
                <w:tcPr/>
                <w:p>
                  <w:pPr>
                    <w:pStyle w:val="Compact"/>
                    <w:jc w:val="left"/>
                    <w:jc w:val="center"/>
                  </w:pPr>
                  <w:r>
                    <w:t xml:space="preserve">NA</w:t>
                  </w:r>
                </w:p>
              </w:tc>
              <w:tc>
                <w:tcPr/>
                <w:p>
                  <w:pPr>
                    <w:pStyle w:val="Compact"/>
                    <w:jc w:val="right"/>
                    <w:jc w:val="center"/>
                  </w:pPr>
                  <w:r>
                    <w:t xml:space="preserve">NA</w:t>
                  </w:r>
                </w:p>
              </w:tc>
            </w:tr>
            <w:tr>
              <w:tc>
                <w:tcPr/>
                <w:p>
                  <w:pPr>
                    <w:pStyle w:val="Compact"/>
                    <w:jc w:val="left"/>
                    <w:jc w:val="center"/>
                  </w:pPr>
                  <w:r>
                    <w:t xml:space="preserve">Black/African American</w:t>
                  </w:r>
                </w:p>
              </w:tc>
              <w:tc>
                <w:tcPr/>
                <w:p>
                  <w:pPr>
                    <w:pStyle w:val="Compact"/>
                    <w:jc w:val="left"/>
                    <w:jc w:val="center"/>
                  </w:pPr>
                  <w:r>
                    <w:t xml:space="preserve">0</w:t>
                  </w:r>
                </w:p>
              </w:tc>
              <w:tc>
                <w:tcPr/>
                <w:p>
                  <w:pPr>
                    <w:pStyle w:val="Compact"/>
                    <w:jc w:val="left"/>
                    <w:jc w:val="center"/>
                  </w:pPr>
                  <w:r>
                    <w:t xml:space="preserve">2</w:t>
                  </w:r>
                </w:p>
              </w:tc>
              <w:tc>
                <w:tcPr/>
                <w:p>
                  <w:pPr>
                    <w:pStyle w:val="Compact"/>
                    <w:jc w:val="left"/>
                    <w:jc w:val="center"/>
                  </w:pPr>
                  <w:r>
                    <w:t xml:space="preserve">NA</w:t>
                  </w:r>
                </w:p>
              </w:tc>
              <w:tc>
                <w:tcPr/>
                <w:p>
                  <w:pPr>
                    <w:pStyle w:val="Compact"/>
                    <w:jc w:val="left"/>
                    <w:jc w:val="center"/>
                  </w:pPr>
                  <w:r>
                    <w:t xml:space="preserve">NA</w:t>
                  </w:r>
                </w:p>
              </w:tc>
              <w:tc>
                <w:tcPr/>
                <w:p>
                  <w:pPr>
                    <w:pStyle w:val="Compact"/>
                    <w:jc w:val="right"/>
                    <w:jc w:val="center"/>
                  </w:pPr>
                  <w:r>
                    <w:t xml:space="preserve">NA</w:t>
                  </w:r>
                </w:p>
              </w:tc>
            </w:tr>
            <w:tr>
              <w:tc>
                <w:tcPr/>
                <w:p>
                  <w:pPr>
                    <w:pStyle w:val="Compact"/>
                    <w:jc w:val="left"/>
                    <w:jc w:val="center"/>
                  </w:pPr>
                  <w:r>
                    <w:t xml:space="preserve">Asian</w:t>
                  </w:r>
                </w:p>
              </w:tc>
              <w:tc>
                <w:tcPr/>
                <w:p>
                  <w:pPr>
                    <w:pStyle w:val="Compact"/>
                    <w:jc w:val="left"/>
                    <w:jc w:val="center"/>
                  </w:pPr>
                  <w:r>
                    <w:t xml:space="preserve">3</w:t>
                  </w:r>
                </w:p>
              </w:tc>
              <w:tc>
                <w:tcPr/>
                <w:p>
                  <w:pPr>
                    <w:pStyle w:val="Compact"/>
                    <w:jc w:val="left"/>
                    <w:jc w:val="center"/>
                  </w:pPr>
                  <w:r>
                    <w:t xml:space="preserve">1</w:t>
                  </w:r>
                </w:p>
              </w:tc>
              <w:tc>
                <w:tcPr/>
                <w:p>
                  <w:pPr>
                    <w:pStyle w:val="Compact"/>
                    <w:jc w:val="left"/>
                    <w:jc w:val="center"/>
                  </w:pPr>
                  <w:r>
                    <w:t xml:space="preserve">NA</w:t>
                  </w:r>
                </w:p>
              </w:tc>
              <w:tc>
                <w:tcPr/>
                <w:p>
                  <w:pPr>
                    <w:pStyle w:val="Compact"/>
                    <w:jc w:val="left"/>
                    <w:jc w:val="center"/>
                  </w:pPr>
                  <w:r>
                    <w:t xml:space="preserve">NA</w:t>
                  </w:r>
                </w:p>
              </w:tc>
              <w:tc>
                <w:tcPr/>
                <w:p>
                  <w:pPr>
                    <w:pStyle w:val="Compact"/>
                    <w:jc w:val="right"/>
                    <w:jc w:val="center"/>
                  </w:pPr>
                  <w:r>
                    <w:t xml:space="preserve">NA</w:t>
                  </w:r>
                </w:p>
              </w:tc>
            </w:tr>
            <w:tr>
              <w:tc>
                <w:tcPr/>
                <w:p>
                  <w:pPr>
                    <w:pStyle w:val="Compact"/>
                    <w:jc w:val="left"/>
                    <w:jc w:val="center"/>
                  </w:pPr>
                  <w:r>
                    <w:t xml:space="preserve">Hispanic</w:t>
                  </w:r>
                </w:p>
              </w:tc>
              <w:tc>
                <w:tcPr/>
                <w:p>
                  <w:pPr>
                    <w:pStyle w:val="Compact"/>
                    <w:jc w:val="left"/>
                    <w:jc w:val="center"/>
                  </w:pPr>
                  <w:r>
                    <w:t xml:space="preserve">2</w:t>
                  </w:r>
                </w:p>
              </w:tc>
              <w:tc>
                <w:tcPr/>
                <w:p>
                  <w:pPr>
                    <w:pStyle w:val="Compact"/>
                    <w:jc w:val="left"/>
                    <w:jc w:val="center"/>
                  </w:pPr>
                  <w:r>
                    <w:t xml:space="preserve">0</w:t>
                  </w:r>
                </w:p>
              </w:tc>
              <w:tc>
                <w:tcPr/>
                <w:p>
                  <w:pPr>
                    <w:pStyle w:val="Compact"/>
                    <w:jc w:val="left"/>
                    <w:jc w:val="center"/>
                  </w:pPr>
                  <w:r>
                    <w:t xml:space="preserve">NA</w:t>
                  </w:r>
                </w:p>
              </w:tc>
              <w:tc>
                <w:tcPr/>
                <w:p>
                  <w:pPr>
                    <w:pStyle w:val="Compact"/>
                    <w:jc w:val="left"/>
                    <w:jc w:val="center"/>
                  </w:pPr>
                  <w:r>
                    <w:t xml:space="preserve">NA</w:t>
                  </w:r>
                </w:p>
              </w:tc>
              <w:tc>
                <w:tcPr/>
                <w:p>
                  <w:pPr>
                    <w:pStyle w:val="Compact"/>
                    <w:jc w:val="right"/>
                    <w:jc w:val="center"/>
                  </w:pPr>
                  <w:r>
                    <w:t xml:space="preserve">NA</w:t>
                  </w:r>
                </w:p>
              </w:tc>
            </w:tr>
            <w:tr>
              <w:tc>
                <w:tcPr/>
                <w:p>
                  <w:pPr>
                    <w:pStyle w:val="Compact"/>
                    <w:jc w:val="left"/>
                    <w:jc w:val="center"/>
                  </w:pPr>
                  <w:r>
                    <w:t xml:space="preserve">Middle Eastern</w:t>
                  </w:r>
                </w:p>
              </w:tc>
              <w:tc>
                <w:tcPr/>
                <w:p>
                  <w:pPr>
                    <w:pStyle w:val="Compact"/>
                    <w:jc w:val="left"/>
                    <w:jc w:val="center"/>
                  </w:pPr>
                  <w:r>
                    <w:t xml:space="preserve">0</w:t>
                  </w:r>
                </w:p>
              </w:tc>
              <w:tc>
                <w:tcPr/>
                <w:p>
                  <w:pPr>
                    <w:pStyle w:val="Compact"/>
                    <w:jc w:val="left"/>
                    <w:jc w:val="center"/>
                  </w:pPr>
                  <w:r>
                    <w:t xml:space="preserve">1</w:t>
                  </w:r>
                </w:p>
              </w:tc>
              <w:tc>
                <w:tcPr/>
                <w:p>
                  <w:pPr>
                    <w:pStyle w:val="Compact"/>
                    <w:jc w:val="left"/>
                    <w:jc w:val="center"/>
                  </w:pPr>
                  <w:r>
                    <w:t xml:space="preserve">NA</w:t>
                  </w:r>
                </w:p>
              </w:tc>
              <w:tc>
                <w:tcPr/>
                <w:p>
                  <w:pPr>
                    <w:pStyle w:val="Compact"/>
                    <w:jc w:val="left"/>
                    <w:jc w:val="center"/>
                  </w:pPr>
                  <w:r>
                    <w:t xml:space="preserve">NA</w:t>
                  </w:r>
                </w:p>
              </w:tc>
              <w:tc>
                <w:tcPr/>
                <w:p>
                  <w:pPr>
                    <w:pStyle w:val="Compact"/>
                    <w:jc w:val="right"/>
                    <w:jc w:val="center"/>
                  </w:pPr>
                  <w:r>
                    <w:t xml:space="preserve">NA</w:t>
                  </w:r>
                </w:p>
              </w:tc>
            </w:tr>
            <w:tr>
              <w:tc>
                <w:tcPr/>
                <w:p>
                  <w:pPr>
                    <w:pStyle w:val="Compact"/>
                    <w:jc w:val="left"/>
                    <w:jc w:val="center"/>
                  </w:pPr>
                  <w:r>
                    <w:t xml:space="preserve">South Asian</w:t>
                  </w:r>
                </w:p>
              </w:tc>
              <w:tc>
                <w:tcPr/>
                <w:p>
                  <w:pPr>
                    <w:pStyle w:val="Compact"/>
                    <w:jc w:val="left"/>
                    <w:jc w:val="center"/>
                  </w:pPr>
                  <w:r>
                    <w:t xml:space="preserve">1</w:t>
                  </w:r>
                </w:p>
              </w:tc>
              <w:tc>
                <w:tcPr/>
                <w:p>
                  <w:pPr>
                    <w:pStyle w:val="Compact"/>
                    <w:jc w:val="left"/>
                    <w:jc w:val="center"/>
                  </w:pPr>
                  <w:r>
                    <w:t xml:space="preserve">0</w:t>
                  </w:r>
                </w:p>
              </w:tc>
              <w:tc>
                <w:tcPr/>
                <w:p>
                  <w:pPr>
                    <w:pStyle w:val="Compact"/>
                    <w:jc w:val="left"/>
                    <w:jc w:val="center"/>
                  </w:pPr>
                  <w:r>
                    <w:t xml:space="preserve">NA</w:t>
                  </w:r>
                </w:p>
              </w:tc>
              <w:tc>
                <w:tcPr/>
                <w:p>
                  <w:pPr>
                    <w:pStyle w:val="Compact"/>
                    <w:jc w:val="left"/>
                    <w:jc w:val="center"/>
                  </w:pPr>
                  <w:r>
                    <w:t xml:space="preserve">NA</w:t>
                  </w:r>
                </w:p>
              </w:tc>
              <w:tc>
                <w:tcPr/>
                <w:p>
                  <w:pPr>
                    <w:pStyle w:val="Compact"/>
                    <w:jc w:val="right"/>
                    <w:jc w:val="center"/>
                  </w:pPr>
                  <w:r>
                    <w:t xml:space="preserve">NA</w:t>
                  </w:r>
                </w:p>
              </w:tc>
            </w:tr>
            <w:tr>
              <w:tc>
                <w:tcPr/>
                <w:p>
                  <w:pPr>
                    <w:pStyle w:val="Compact"/>
                    <w:jc w:val="left"/>
                    <w:jc w:val="center"/>
                  </w:pPr>
                  <w:r>
                    <w:t xml:space="preserve">Southeast Asian</w:t>
                  </w:r>
                </w:p>
              </w:tc>
              <w:tc>
                <w:tcPr/>
                <w:p>
                  <w:pPr>
                    <w:pStyle w:val="Compact"/>
                    <w:jc w:val="left"/>
                    <w:jc w:val="center"/>
                  </w:pPr>
                  <w:r>
                    <w:t xml:space="preserve">0</w:t>
                  </w:r>
                </w:p>
              </w:tc>
              <w:tc>
                <w:tcPr/>
                <w:p>
                  <w:pPr>
                    <w:pStyle w:val="Compact"/>
                    <w:jc w:val="left"/>
                    <w:jc w:val="center"/>
                  </w:pPr>
                  <w:r>
                    <w:t xml:space="preserve">0</w:t>
                  </w:r>
                </w:p>
              </w:tc>
              <w:tc>
                <w:tcPr/>
                <w:p>
                  <w:pPr>
                    <w:pStyle w:val="Compact"/>
                    <w:jc w:val="left"/>
                    <w:jc w:val="center"/>
                  </w:pPr>
                  <w:r>
                    <w:t xml:space="preserve">NA</w:t>
                  </w:r>
                </w:p>
              </w:tc>
              <w:tc>
                <w:tcPr/>
                <w:p>
                  <w:pPr>
                    <w:pStyle w:val="Compact"/>
                    <w:jc w:val="left"/>
                    <w:jc w:val="center"/>
                  </w:pPr>
                  <w:r>
                    <w:t xml:space="preserve">NA</w:t>
                  </w:r>
                </w:p>
              </w:tc>
              <w:tc>
                <w:tcPr/>
                <w:p>
                  <w:pPr>
                    <w:pStyle w:val="Compact"/>
                    <w:jc w:val="right"/>
                    <w:jc w:val="center"/>
                  </w:pPr>
                  <w:r>
                    <w:t xml:space="preserve">NA</w:t>
                  </w:r>
                </w:p>
              </w:tc>
            </w:tr>
            <w:tr>
              <w:tc>
                <w:tcPr/>
                <w:p>
                  <w:pPr>
                    <w:pStyle w:val="Compact"/>
                    <w:jc w:val="left"/>
                    <w:jc w:val="center"/>
                  </w:pPr>
                  <w:r>
                    <w:t xml:space="preserve">Age</w:t>
                  </w:r>
                </w:p>
              </w:tc>
              <w:tc>
                <w:tcPr/>
                <w:p>
                  <w:pPr>
                    <w:pStyle w:val="Compact"/>
                    <w:jc w:val="left"/>
                    <w:jc w:val="center"/>
                  </w:pPr>
                  <w:r>
                    <w:t xml:space="preserve">19.05 (2.56)</w:t>
                  </w:r>
                </w:p>
              </w:tc>
              <w:tc>
                <w:tcPr/>
                <w:p>
                  <w:pPr>
                    <w:pStyle w:val="Compact"/>
                    <w:jc w:val="left"/>
                    <w:jc w:val="center"/>
                  </w:pPr>
                  <w:r>
                    <w:t xml:space="preserve">19.91 (2.04)</w:t>
                  </w:r>
                </w:p>
              </w:tc>
              <w:tc>
                <w:tcPr/>
                <w:p>
                  <w:pPr>
                    <w:pStyle w:val="Compact"/>
                    <w:jc w:val="left"/>
                    <w:jc w:val="center"/>
                  </w:pPr>
                  <w:r>
                    <w:t xml:space="preserve">-1.21</w:t>
                  </w:r>
                </w:p>
              </w:tc>
              <w:tc>
                <w:tcPr/>
                <w:p>
                  <w:pPr>
                    <w:pStyle w:val="Compact"/>
                    <w:jc w:val="left"/>
                    <w:jc w:val="center"/>
                  </w:pPr>
                  <w:r>
                    <w:t xml:space="preserve">2.35e-01</w:t>
                  </w:r>
                </w:p>
              </w:tc>
              <w:tc>
                <w:tcPr/>
                <w:p>
                  <w:pPr>
                    <w:pStyle w:val="Compact"/>
                    <w:jc w:val="right"/>
                    <w:jc w:val="center"/>
                  </w:pPr>
                  <w:r>
                    <w:t xml:space="preserve">-0.38</w:t>
                  </w:r>
                </w:p>
              </w:tc>
            </w:tr>
            <w:tr>
              <w:tc>
                <w:tcPr/>
                <w:p>
                  <w:pPr>
                    <w:pStyle w:val="Compact"/>
                    <w:jc w:val="left"/>
                    <w:jc w:val="center"/>
                  </w:pPr>
                  <w:r>
                    <w:t xml:space="preserve">BMI</w:t>
                  </w:r>
                </w:p>
              </w:tc>
              <w:tc>
                <w:tcPr/>
                <w:p>
                  <w:pPr>
                    <w:pStyle w:val="Compact"/>
                    <w:jc w:val="left"/>
                    <w:jc w:val="center"/>
                  </w:pPr>
                  <w:r>
                    <w:t xml:space="preserve">22.43 (3.11)</w:t>
                  </w:r>
                </w:p>
              </w:tc>
              <w:tc>
                <w:tcPr/>
                <w:p>
                  <w:pPr>
                    <w:pStyle w:val="Compact"/>
                    <w:jc w:val="left"/>
                    <w:jc w:val="center"/>
                  </w:pPr>
                  <w:r>
                    <w:t xml:space="preserve">22.32 (2.16)</w:t>
                  </w:r>
                </w:p>
              </w:tc>
              <w:tc>
                <w:tcPr/>
                <w:p>
                  <w:pPr>
                    <w:pStyle w:val="Compact"/>
                    <w:jc w:val="left"/>
                    <w:jc w:val="center"/>
                  </w:pPr>
                  <w:r>
                    <w:t xml:space="preserve">-0.83</w:t>
                  </w:r>
                </w:p>
              </w:tc>
              <w:tc>
                <w:tcPr/>
                <w:p>
                  <w:pPr>
                    <w:pStyle w:val="Compact"/>
                    <w:jc w:val="left"/>
                    <w:jc w:val="center"/>
                  </w:pPr>
                  <w:r>
                    <w:t xml:space="preserve">4.10e-01</w:t>
                  </w:r>
                </w:p>
              </w:tc>
              <w:tc>
                <w:tcPr/>
                <w:p>
                  <w:pPr>
                    <w:pStyle w:val="Compact"/>
                    <w:jc w:val="right"/>
                    <w:jc w:val="center"/>
                  </w:pPr>
                  <w:r>
                    <w:t xml:space="preserve">-0.26</w:t>
                  </w:r>
                </w:p>
              </w:tc>
            </w:tr>
            <w:tr>
              <w:tc>
                <w:tcPr/>
                <w:p>
                  <w:pPr>
                    <w:pStyle w:val="Compact"/>
                    <w:jc w:val="left"/>
                    <w:jc w:val="center"/>
                  </w:pPr>
                  <w:r>
                    <w:t xml:space="preserve">Weight Suppression</w:t>
                  </w:r>
                </w:p>
              </w:tc>
              <w:tc>
                <w:tcPr/>
                <w:p>
                  <w:pPr>
                    <w:pStyle w:val="Compact"/>
                    <w:jc w:val="left"/>
                    <w:jc w:val="center"/>
                  </w:pPr>
                  <w:r>
                    <w:t xml:space="preserve">8.34 (12.27)</w:t>
                  </w:r>
                </w:p>
              </w:tc>
              <w:tc>
                <w:tcPr/>
                <w:p>
                  <w:pPr>
                    <w:pStyle w:val="Compact"/>
                    <w:jc w:val="left"/>
                    <w:jc w:val="center"/>
                  </w:pPr>
                  <w:r>
                    <w:t xml:space="preserve">3.79 (5.09)</w:t>
                  </w:r>
                </w:p>
              </w:tc>
              <w:tc>
                <w:tcPr/>
                <w:p>
                  <w:pPr>
                    <w:pStyle w:val="Compact"/>
                    <w:jc w:val="left"/>
                    <w:jc w:val="center"/>
                  </w:pPr>
                  <w:r>
                    <w:t xml:space="preserve">1.63</w:t>
                  </w:r>
                </w:p>
              </w:tc>
              <w:tc>
                <w:tcPr/>
                <w:p>
                  <w:pPr>
                    <w:pStyle w:val="Compact"/>
                    <w:jc w:val="left"/>
                    <w:jc w:val="center"/>
                  </w:pPr>
                  <w:r>
                    <w:t xml:space="preserve">1.17e-01</w:t>
                  </w:r>
                </w:p>
              </w:tc>
              <w:tc>
                <w:tcPr/>
                <w:p>
                  <w:pPr>
                    <w:pStyle w:val="Compact"/>
                    <w:jc w:val="right"/>
                    <w:jc w:val="center"/>
                  </w:pPr>
                  <w:r>
                    <w:t xml:space="preserve">0.53</w:t>
                  </w:r>
                </w:p>
              </w:tc>
            </w:tr>
            <w:tr>
              <w:tc>
                <w:tcPr/>
                <w:p>
                  <w:pPr>
                    <w:pStyle w:val="Compact"/>
                    <w:jc w:val="left"/>
                    <w:jc w:val="center"/>
                  </w:pPr>
                  <w:r>
                    <w:t xml:space="preserve">EDE Global</w:t>
                  </w:r>
                </w:p>
              </w:tc>
              <w:tc>
                <w:tcPr/>
                <w:p>
                  <w:pPr>
                    <w:pStyle w:val="Compact"/>
                    <w:jc w:val="left"/>
                    <w:jc w:val="center"/>
                  </w:pPr>
                  <w:r>
                    <w:t xml:space="preserve">2.06 (0.68)</w:t>
                  </w:r>
                </w:p>
              </w:tc>
              <w:tc>
                <w:tcPr/>
                <w:p>
                  <w:pPr>
                    <w:pStyle w:val="Compact"/>
                    <w:jc w:val="left"/>
                    <w:jc w:val="center"/>
                  </w:pPr>
                  <w:r>
                    <w:t xml:space="preserve">0.24 (0.24)</w:t>
                  </w:r>
                </w:p>
              </w:tc>
              <w:tc>
                <w:tcPr/>
                <w:p>
                  <w:pPr>
                    <w:pStyle w:val="Compact"/>
                    <w:jc w:val="left"/>
                    <w:jc w:val="center"/>
                  </w:pPr>
                  <w:r>
                    <w:t xml:space="preserve">6.61</w:t>
                  </w:r>
                </w:p>
              </w:tc>
              <w:tc>
                <w:tcPr/>
                <w:p>
                  <w:pPr>
                    <w:pStyle w:val="Compact"/>
                    <w:jc w:val="left"/>
                    <w:jc w:val="center"/>
                  </w:pPr>
                  <w:r>
                    <w:t xml:space="preserve">4.65e-07</w:t>
                  </w:r>
                </w:p>
              </w:tc>
              <w:tc>
                <w:tcPr/>
                <w:p>
                  <w:pPr>
                    <w:pStyle w:val="Compact"/>
                    <w:jc w:val="right"/>
                    <w:jc w:val="center"/>
                  </w:pPr>
                  <w:r>
                    <w:t xml:space="preserve">2.09</w:t>
                  </w:r>
                </w:p>
              </w:tc>
            </w:tr>
            <w:tr>
              <w:tc>
                <w:tcPr/>
                <w:p>
                  <w:pPr>
                    <w:pStyle w:val="Compact"/>
                    <w:jc w:val="left"/>
                    <w:jc w:val="center"/>
                  </w:pPr>
                  <w:r>
                    <w:t xml:space="preserve">EDE Restraint</w:t>
                  </w:r>
                </w:p>
              </w:tc>
              <w:tc>
                <w:tcPr/>
                <w:p>
                  <w:pPr>
                    <w:pStyle w:val="Compact"/>
                    <w:jc w:val="left"/>
                    <w:jc w:val="center"/>
                  </w:pPr>
                  <w:r>
                    <w:t xml:space="preserve">1.77 (1.12)</w:t>
                  </w:r>
                </w:p>
              </w:tc>
              <w:tc>
                <w:tcPr/>
                <w:p>
                  <w:pPr>
                    <w:pStyle w:val="Compact"/>
                    <w:jc w:val="left"/>
                    <w:jc w:val="center"/>
                  </w:pPr>
                  <w:r>
                    <w:t xml:space="preserve">0.02 (0.06)</w:t>
                  </w:r>
                </w:p>
              </w:tc>
              <w:tc>
                <w:tcPr/>
                <w:p>
                  <w:pPr>
                    <w:pStyle w:val="Compact"/>
                    <w:jc w:val="left"/>
                    <w:jc w:val="center"/>
                  </w:pPr>
                  <w:r>
                    <w:t xml:space="preserve">6.51</w:t>
                  </w:r>
                </w:p>
              </w:tc>
              <w:tc>
                <w:tcPr/>
                <w:p>
                  <w:pPr>
                    <w:pStyle w:val="Compact"/>
                    <w:jc w:val="left"/>
                    <w:jc w:val="center"/>
                  </w:pPr>
                  <w:r>
                    <w:t xml:space="preserve">1.68e-06</w:t>
                  </w:r>
                </w:p>
              </w:tc>
              <w:tc>
                <w:tcPr/>
                <w:p>
                  <w:pPr>
                    <w:pStyle w:val="Compact"/>
                    <w:jc w:val="right"/>
                    <w:jc w:val="center"/>
                  </w:pPr>
                  <w:r>
                    <w:t xml:space="preserve">2.20</w:t>
                  </w:r>
                </w:p>
              </w:tc>
            </w:tr>
            <w:tr>
              <w:tc>
                <w:tcPr/>
                <w:p>
                  <w:pPr>
                    <w:pStyle w:val="Compact"/>
                    <w:jc w:val="left"/>
                    <w:jc w:val="center"/>
                  </w:pPr>
                  <w:r>
                    <w:t xml:space="preserve">EDE Eating Concern</w:t>
                  </w:r>
                </w:p>
              </w:tc>
              <w:tc>
                <w:tcPr/>
                <w:p>
                  <w:pPr>
                    <w:pStyle w:val="Compact"/>
                    <w:jc w:val="left"/>
                    <w:jc w:val="center"/>
                  </w:pPr>
                  <w:r>
                    <w:t xml:space="preserve">1.20 (0.83)</w:t>
                  </w:r>
                </w:p>
              </w:tc>
              <w:tc>
                <w:tcPr/>
                <w:p>
                  <w:pPr>
                    <w:pStyle w:val="Compact"/>
                    <w:jc w:val="left"/>
                    <w:jc w:val="center"/>
                  </w:pPr>
                  <w:r>
                    <w:t xml:space="preserve">0.05 (0.09)</w:t>
                  </w:r>
                </w:p>
              </w:tc>
              <w:tc>
                <w:tcPr/>
                <w:p>
                  <w:pPr>
                    <w:pStyle w:val="Compact"/>
                    <w:jc w:val="left"/>
                    <w:jc w:val="center"/>
                  </w:pPr>
                  <w:r>
                    <w:t xml:space="preserve">3.95</w:t>
                  </w:r>
                </w:p>
              </w:tc>
              <w:tc>
                <w:tcPr/>
                <w:p>
                  <w:pPr>
                    <w:pStyle w:val="Compact"/>
                    <w:jc w:val="left"/>
                    <w:jc w:val="center"/>
                  </w:pPr>
                  <w:r>
                    <w:t xml:space="preserve">3.93e-04</w:t>
                  </w:r>
                </w:p>
              </w:tc>
              <w:tc>
                <w:tcPr/>
                <w:p>
                  <w:pPr>
                    <w:pStyle w:val="Compact"/>
                    <w:jc w:val="right"/>
                    <w:jc w:val="center"/>
                  </w:pPr>
                  <w:r>
                    <w:t xml:space="preserve">1.30</w:t>
                  </w:r>
                </w:p>
              </w:tc>
            </w:tr>
            <w:tr>
              <w:tc>
                <w:tcPr/>
                <w:p>
                  <w:pPr>
                    <w:pStyle w:val="Compact"/>
                    <w:jc w:val="left"/>
                    <w:jc w:val="center"/>
                  </w:pPr>
                  <w:r>
                    <w:t xml:space="preserve">EDE Shape Concern</w:t>
                  </w:r>
                </w:p>
              </w:tc>
              <w:tc>
                <w:tcPr/>
                <w:p>
                  <w:pPr>
                    <w:pStyle w:val="Compact"/>
                    <w:jc w:val="left"/>
                    <w:jc w:val="center"/>
                  </w:pPr>
                  <w:r>
                    <w:t xml:space="preserve">2.39 (1.47)</w:t>
                  </w:r>
                </w:p>
              </w:tc>
              <w:tc>
                <w:tcPr/>
                <w:p>
                  <w:pPr>
                    <w:pStyle w:val="Compact"/>
                    <w:jc w:val="left"/>
                    <w:jc w:val="center"/>
                  </w:pPr>
                  <w:r>
                    <w:t xml:space="preserve">0.55 (0.58)</w:t>
                  </w:r>
                </w:p>
              </w:tc>
              <w:tc>
                <w:tcPr/>
                <w:p>
                  <w:pPr>
                    <w:pStyle w:val="Compact"/>
                    <w:jc w:val="left"/>
                    <w:jc w:val="center"/>
                  </w:pPr>
                  <w:r>
                    <w:t xml:space="preserve">5.32</w:t>
                  </w:r>
                </w:p>
              </w:tc>
              <w:tc>
                <w:tcPr/>
                <w:p>
                  <w:pPr>
                    <w:pStyle w:val="Compact"/>
                    <w:jc w:val="left"/>
                    <w:jc w:val="center"/>
                  </w:pPr>
                  <w:r>
                    <w:t xml:space="preserve">1.02e-05</w:t>
                  </w:r>
                </w:p>
              </w:tc>
              <w:tc>
                <w:tcPr/>
                <w:p>
                  <w:pPr>
                    <w:pStyle w:val="Compact"/>
                    <w:jc w:val="right"/>
                    <w:jc w:val="center"/>
                  </w:pPr>
                  <w:r>
                    <w:t xml:space="preserve">1.68</w:t>
                  </w:r>
                </w:p>
              </w:tc>
            </w:tr>
            <w:tr>
              <w:tc>
                <w:tcPr/>
                <w:p>
                  <w:pPr>
                    <w:pStyle w:val="Compact"/>
                    <w:jc w:val="left"/>
                    <w:jc w:val="center"/>
                  </w:pPr>
                  <w:r>
                    <w:t xml:space="preserve">EDE Weight Concern</w:t>
                  </w:r>
                </w:p>
              </w:tc>
              <w:tc>
                <w:tcPr/>
                <w:p>
                  <w:pPr>
                    <w:pStyle w:val="Compact"/>
                    <w:jc w:val="left"/>
                    <w:jc w:val="center"/>
                  </w:pPr>
                  <w:r>
                    <w:t xml:space="preserve">2.86 (1.08)</w:t>
                  </w:r>
                </w:p>
              </w:tc>
              <w:tc>
                <w:tcPr/>
                <w:p>
                  <w:pPr>
                    <w:pStyle w:val="Compact"/>
                    <w:jc w:val="left"/>
                    <w:jc w:val="center"/>
                  </w:pPr>
                  <w:r>
                    <w:t xml:space="preserve">0.35 (0.50)</w:t>
                  </w:r>
                </w:p>
              </w:tc>
              <w:tc>
                <w:tcPr/>
                <w:p>
                  <w:pPr>
                    <w:pStyle w:val="Compact"/>
                    <w:jc w:val="left"/>
                    <w:jc w:val="center"/>
                  </w:pPr>
                  <w:r>
                    <w:t xml:space="preserve">6.12</w:t>
                  </w:r>
                </w:p>
              </w:tc>
              <w:tc>
                <w:tcPr/>
                <w:p>
                  <w:pPr>
                    <w:pStyle w:val="Compact"/>
                    <w:jc w:val="left"/>
                    <w:jc w:val="center"/>
                  </w:pPr>
                  <w:r>
                    <w:t xml:space="preserve">1.47e-06</w:t>
                  </w:r>
                </w:p>
              </w:tc>
              <w:tc>
                <w:tcPr/>
                <w:p>
                  <w:pPr>
                    <w:pStyle w:val="Compact"/>
                    <w:jc w:val="right"/>
                    <w:jc w:val="center"/>
                  </w:pPr>
                  <w:r>
                    <w:t xml:space="preserve">1.99</w:t>
                  </w:r>
                </w:p>
              </w:tc>
            </w:tr>
            <w:tr>
              <w:tc>
                <w:tcPr/>
                <w:p>
                  <w:pPr>
                    <w:pStyle w:val="Compact"/>
                    <w:jc w:val="left"/>
                    <w:jc w:val="center"/>
                  </w:pPr>
                  <w:r>
                    <w:t xml:space="preserve">LPA</w:t>
                  </w:r>
                </w:p>
              </w:tc>
              <w:tc>
                <w:tcPr/>
                <w:p>
                  <w:pPr>
                    <w:pStyle w:val="Compact"/>
                    <w:jc w:val="left"/>
                    <w:jc w:val="center"/>
                  </w:pPr>
                  <w:r>
                    <w:t xml:space="preserve">30.96 (23.41)</w:t>
                  </w:r>
                </w:p>
              </w:tc>
              <w:tc>
                <w:tcPr/>
                <w:p>
                  <w:pPr>
                    <w:pStyle w:val="Compact"/>
                    <w:jc w:val="left"/>
                    <w:jc w:val="center"/>
                  </w:pPr>
                  <w:r>
                    <w:t xml:space="preserve">51.53 (31.63)</w:t>
                  </w:r>
                </w:p>
              </w:tc>
              <w:tc>
                <w:tcPr/>
                <w:p>
                  <w:pPr>
                    <w:pStyle w:val="Compact"/>
                    <w:jc w:val="left"/>
                    <w:jc w:val="center"/>
                  </w:pPr>
                  <w:r>
                    <w:t xml:space="preserve">-1.28</w:t>
                  </w:r>
                </w:p>
              </w:tc>
              <w:tc>
                <w:tcPr/>
                <w:p>
                  <w:pPr>
                    <w:pStyle w:val="Compact"/>
                    <w:jc w:val="left"/>
                    <w:jc w:val="center"/>
                  </w:pPr>
                  <w:r>
                    <w:t xml:space="preserve">2.12e-01</w:t>
                  </w:r>
                </w:p>
              </w:tc>
              <w:tc>
                <w:tcPr/>
                <w:p>
                  <w:pPr>
                    <w:pStyle w:val="Compact"/>
                    <w:jc w:val="right"/>
                    <w:jc w:val="center"/>
                  </w:pPr>
                  <w:r>
                    <w:t xml:space="preserve">-0.45</w:t>
                  </w:r>
                </w:p>
              </w:tc>
            </w:tr>
            <w:tr>
              <w:tc>
                <w:tcPr/>
                <w:p>
                  <w:pPr>
                    <w:pStyle w:val="Compact"/>
                    <w:jc w:val="left"/>
                    <w:jc w:val="center"/>
                  </w:pPr>
                  <w:r>
                    <w:t xml:space="preserve">MVPA</w:t>
                  </w:r>
                </w:p>
              </w:tc>
              <w:tc>
                <w:tcPr/>
                <w:p>
                  <w:pPr>
                    <w:pStyle w:val="Compact"/>
                    <w:jc w:val="left"/>
                    <w:jc w:val="center"/>
                  </w:pPr>
                  <w:r>
                    <w:t xml:space="preserve">27.80 (16.19)</w:t>
                  </w:r>
                </w:p>
              </w:tc>
              <w:tc>
                <w:tcPr/>
                <w:p>
                  <w:pPr>
                    <w:pStyle w:val="Compact"/>
                    <w:jc w:val="left"/>
                    <w:jc w:val="center"/>
                  </w:pPr>
                  <w:r>
                    <w:t xml:space="preserve">46.16 (23.51)</w:t>
                  </w:r>
                </w:p>
              </w:tc>
              <w:tc>
                <w:tcPr/>
                <w:p>
                  <w:pPr>
                    <w:pStyle w:val="Compact"/>
                    <w:jc w:val="left"/>
                    <w:jc w:val="center"/>
                  </w:pPr>
                  <w:r>
                    <w:t xml:space="preserve">-0.07</w:t>
                  </w:r>
                </w:p>
              </w:tc>
              <w:tc>
                <w:tcPr/>
                <w:p>
                  <w:pPr>
                    <w:pStyle w:val="Compact"/>
                    <w:jc w:val="left"/>
                    <w:jc w:val="center"/>
                  </w:pPr>
                  <w:r>
                    <w:t xml:space="preserve">9.44e-01</w:t>
                  </w:r>
                </w:p>
              </w:tc>
              <w:tc>
                <w:tcPr/>
                <w:p>
                  <w:pPr>
                    <w:pStyle w:val="Compact"/>
                    <w:jc w:val="right"/>
                    <w:jc w:val="center"/>
                  </w:pPr>
                  <w:r>
                    <w:t xml:space="preserve">-0.03</w:t>
                  </w:r>
                </w:p>
              </w:tc>
            </w:tr>
            <w:tr>
              <w:tc>
                <w:tcPr/>
                <w:p>
                  <w:pPr>
                    <w:pStyle w:val="Compact"/>
                    <w:jc w:val="left"/>
                    <w:jc w:val="center"/>
                  </w:pPr>
                  <w:r>
                    <w:t xml:space="preserve">Distance</w:t>
                  </w:r>
                </w:p>
              </w:tc>
              <w:tc>
                <w:tcPr/>
                <w:p>
                  <w:pPr>
                    <w:pStyle w:val="Compact"/>
                    <w:jc w:val="left"/>
                    <w:jc w:val="center"/>
                  </w:pPr>
                  <w:r>
                    <w:t xml:space="preserve">5.03 (1.42)</w:t>
                  </w:r>
                </w:p>
              </w:tc>
              <w:tc>
                <w:tcPr/>
                <w:p>
                  <w:pPr>
                    <w:pStyle w:val="Compact"/>
                    <w:jc w:val="left"/>
                    <w:jc w:val="center"/>
                  </w:pPr>
                  <w:r>
                    <w:t xml:space="preserve">4.96 (1.79)</w:t>
                  </w:r>
                </w:p>
              </w:tc>
              <w:tc>
                <w:tcPr/>
                <w:p>
                  <w:pPr>
                    <w:pStyle w:val="Compact"/>
                    <w:jc w:val="left"/>
                    <w:jc w:val="center"/>
                  </w:pPr>
                  <w:r>
                    <w:t xml:space="preserve">-0.38</w:t>
                  </w:r>
                </w:p>
              </w:tc>
              <w:tc>
                <w:tcPr/>
                <w:p>
                  <w:pPr>
                    <w:pStyle w:val="Compact"/>
                    <w:jc w:val="left"/>
                    <w:jc w:val="center"/>
                  </w:pPr>
                  <w:r>
                    <w:t xml:space="preserve">7.05e-01</w:t>
                  </w:r>
                </w:p>
              </w:tc>
              <w:tc>
                <w:tcPr/>
                <w:p>
                  <w:pPr>
                    <w:pStyle w:val="Compact"/>
                    <w:jc w:val="right"/>
                    <w:jc w:val="center"/>
                  </w:pPr>
                  <w:r>
                    <w:t xml:space="preserve">-0.15</w:t>
                  </w:r>
                </w:p>
              </w:tc>
            </w:tr>
            <w:tr>
              <w:tc>
                <w:tcPr/>
                <w:p>
                  <w:pPr>
                    <w:pStyle w:val="Compact"/>
                    <w:jc w:val="left"/>
                    <w:jc w:val="center"/>
                  </w:pPr>
                  <w:r>
                    <w:t xml:space="preserve">Karvonen Max Intensity</w:t>
                  </w:r>
                </w:p>
              </w:tc>
              <w:tc>
                <w:tcPr/>
                <w:p>
                  <w:pPr>
                    <w:pStyle w:val="Compact"/>
                    <w:jc w:val="left"/>
                    <w:jc w:val="center"/>
                  </w:pPr>
                  <w:r>
                    <w:t xml:space="preserve">49.19 (13.55)</w:t>
                  </w:r>
                </w:p>
              </w:tc>
              <w:tc>
                <w:tcPr/>
                <w:p>
                  <w:pPr>
                    <w:pStyle w:val="Compact"/>
                    <w:jc w:val="left"/>
                    <w:jc w:val="center"/>
                  </w:pPr>
                  <w:r>
                    <w:t xml:space="preserve">39.34 (20.97)</w:t>
                  </w:r>
                </w:p>
              </w:tc>
              <w:tc>
                <w:tcPr/>
                <w:p>
                  <w:pPr>
                    <w:pStyle w:val="Compact"/>
                    <w:jc w:val="left"/>
                    <w:jc w:val="center"/>
                  </w:pPr>
                  <w:r>
                    <w:t xml:space="preserve">1.08</w:t>
                  </w:r>
                </w:p>
              </w:tc>
              <w:tc>
                <w:tcPr/>
                <w:p>
                  <w:pPr>
                    <w:pStyle w:val="Compact"/>
                    <w:jc w:val="left"/>
                    <w:jc w:val="center"/>
                  </w:pPr>
                  <w:r>
                    <w:t xml:space="preserve">2.89e-01</w:t>
                  </w:r>
                </w:p>
              </w:tc>
              <w:tc>
                <w:tcPr/>
                <w:p>
                  <w:pPr>
                    <w:pStyle w:val="Compact"/>
                    <w:jc w:val="right"/>
                    <w:jc w:val="center"/>
                  </w:pPr>
                  <w:r>
                    <w:t xml:space="preserve">0.35</w:t>
                  </w:r>
                </w:p>
              </w:tc>
            </w:tr>
            <w:tr>
              <w:tc>
                <w:tcPr/>
                <w:p>
                  <w:pPr>
                    <w:pStyle w:val="Compact"/>
                    <w:jc w:val="left"/>
                    <w:jc w:val="center"/>
                  </w:pPr>
                  <w:r>
                    <w:t xml:space="preserve">Max % HR</w:t>
                  </w:r>
                </w:p>
              </w:tc>
              <w:tc>
                <w:tcPr/>
                <w:p>
                  <w:pPr>
                    <w:pStyle w:val="Compact"/>
                    <w:jc w:val="left"/>
                    <w:jc w:val="center"/>
                  </w:pPr>
                  <w:r>
                    <w:t xml:space="preserve">68.00 (11.20)</w:t>
                  </w:r>
                </w:p>
              </w:tc>
              <w:tc>
                <w:tcPr/>
                <w:p>
                  <w:pPr>
                    <w:pStyle w:val="Compact"/>
                    <w:jc w:val="left"/>
                    <w:jc w:val="center"/>
                  </w:pPr>
                  <w:r>
                    <w:t xml:space="preserve">62.73 (12.93)</w:t>
                  </w:r>
                </w:p>
              </w:tc>
              <w:tc>
                <w:tcPr/>
                <w:p>
                  <w:pPr>
                    <w:pStyle w:val="Compact"/>
                    <w:jc w:val="left"/>
                    <w:jc w:val="center"/>
                  </w:pPr>
                  <w:r>
                    <w:t xml:space="preserve">0.81</w:t>
                  </w:r>
                </w:p>
              </w:tc>
              <w:tc>
                <w:tcPr/>
                <w:p>
                  <w:pPr>
                    <w:pStyle w:val="Compact"/>
                    <w:jc w:val="left"/>
                    <w:jc w:val="center"/>
                  </w:pPr>
                  <w:r>
                    <w:t xml:space="preserve">4.22e-01</w:t>
                  </w:r>
                </w:p>
              </w:tc>
              <w:tc>
                <w:tcPr/>
                <w:p>
                  <w:pPr>
                    <w:pStyle w:val="Compact"/>
                    <w:jc w:val="right"/>
                    <w:jc w:val="center"/>
                  </w:pPr>
                  <w:r>
                    <w:t xml:space="preserve">0.26</w:t>
                  </w:r>
                </w:p>
              </w:tc>
            </w:tr>
            <w:tr>
              <w:tc>
                <w:tcPr/>
                <w:p>
                  <w:pPr>
                    <w:pStyle w:val="Compact"/>
                    <w:jc w:val="left"/>
                    <w:jc w:val="center"/>
                  </w:pPr>
                  <w:r>
                    <w:t xml:space="preserve">Average % HR</w:t>
                  </w:r>
                </w:p>
              </w:tc>
              <w:tc>
                <w:tcPr/>
                <w:p>
                  <w:pPr>
                    <w:pStyle w:val="Compact"/>
                    <w:jc w:val="left"/>
                    <w:jc w:val="center"/>
                  </w:pPr>
                  <w:r>
                    <w:t xml:space="preserve">63.95 (11.67)</w:t>
                  </w:r>
                </w:p>
              </w:tc>
              <w:tc>
                <w:tcPr/>
                <w:p>
                  <w:pPr>
                    <w:pStyle w:val="Compact"/>
                    <w:jc w:val="left"/>
                    <w:jc w:val="center"/>
                  </w:pPr>
                  <w:r>
                    <w:t xml:space="preserve">57.05 (10.83)</w:t>
                  </w:r>
                </w:p>
              </w:tc>
              <w:tc>
                <w:tcPr/>
                <w:p>
                  <w:pPr>
                    <w:pStyle w:val="Compact"/>
                    <w:jc w:val="left"/>
                    <w:jc w:val="center"/>
                  </w:pPr>
                  <w:r>
                    <w:t xml:space="preserve">1.04</w:t>
                  </w:r>
                </w:p>
              </w:tc>
              <w:tc>
                <w:tcPr/>
                <w:p>
                  <w:pPr>
                    <w:pStyle w:val="Compact"/>
                    <w:jc w:val="left"/>
                    <w:jc w:val="center"/>
                  </w:pPr>
                  <w:r>
                    <w:t xml:space="preserve">3.06e-01</w:t>
                  </w:r>
                </w:p>
              </w:tc>
              <w:tc>
                <w:tcPr/>
                <w:p>
                  <w:pPr>
                    <w:pStyle w:val="Compact"/>
                    <w:jc w:val="right"/>
                    <w:jc w:val="center"/>
                  </w:pPr>
                  <w:r>
                    <w:t xml:space="preserve">0.33</w:t>
                  </w:r>
                </w:p>
              </w:tc>
            </w:tr>
            <w:tr>
              <w:tc>
                <w:tcPr/>
                <w:p>
                  <w:pPr>
                    <w:pStyle w:val="Compact"/>
                    <w:jc w:val="left"/>
                    <w:jc w:val="center"/>
                  </w:pPr>
                  <w:r>
                    <w:t xml:space="preserve">DFM</w:t>
                  </w:r>
                </w:p>
              </w:tc>
              <w:tc>
                <w:tcPr/>
                <w:p>
                  <w:pPr>
                    <w:pStyle w:val="Compact"/>
                    <w:jc w:val="left"/>
                    <w:jc w:val="center"/>
                  </w:pPr>
                  <w:r>
                    <w:t xml:space="preserve">2.04 (0.88)</w:t>
                  </w:r>
                </w:p>
              </w:tc>
              <w:tc>
                <w:tcPr/>
                <w:p>
                  <w:pPr>
                    <w:pStyle w:val="Compact"/>
                    <w:jc w:val="left"/>
                    <w:jc w:val="center"/>
                  </w:pPr>
                  <w:r>
                    <w:t xml:space="preserve">2.36 (0.83)</w:t>
                  </w:r>
                </w:p>
              </w:tc>
              <w:tc>
                <w:tcPr/>
                <w:p>
                  <w:pPr>
                    <w:pStyle w:val="Compact"/>
                    <w:jc w:val="left"/>
                    <w:jc w:val="center"/>
                  </w:pPr>
                  <w:r>
                    <w:t xml:space="preserve">-0.81</w:t>
                  </w:r>
                </w:p>
              </w:tc>
              <w:tc>
                <w:tcPr/>
                <w:p>
                  <w:pPr>
                    <w:pStyle w:val="Compact"/>
                    <w:jc w:val="left"/>
                    <w:jc w:val="center"/>
                  </w:pPr>
                  <w:r>
                    <w:t xml:space="preserve">4.24e-01</w:t>
                  </w:r>
                </w:p>
              </w:tc>
              <w:tc>
                <w:tcPr/>
                <w:p>
                  <w:pPr>
                    <w:pStyle w:val="Compact"/>
                    <w:jc w:val="right"/>
                    <w:jc w:val="center"/>
                  </w:pPr>
                  <w:r>
                    <w:t xml:space="preserve">-0.26</w:t>
                  </w:r>
                </w:p>
              </w:tc>
            </w:tr>
            <w:tr>
              <w:tc>
                <w:tcPr/>
                <w:p>
                  <w:pPr>
                    <w:pStyle w:val="Compact"/>
                    <w:jc w:val="left"/>
                    <w:jc w:val="center"/>
                  </w:pPr>
                  <w:r>
                    <w:t xml:space="preserve">FAMB ANR</w:t>
                  </w:r>
                </w:p>
              </w:tc>
              <w:tc>
                <w:tcPr/>
                <w:p>
                  <w:pPr>
                    <w:pStyle w:val="Compact"/>
                    <w:jc w:val="left"/>
                    <w:jc w:val="center"/>
                  </w:pPr>
                  <w:r>
                    <w:t xml:space="preserve">2.86 (1.21)</w:t>
                  </w:r>
                </w:p>
              </w:tc>
              <w:tc>
                <w:tcPr/>
                <w:p>
                  <w:pPr>
                    <w:pStyle w:val="Compact"/>
                    <w:jc w:val="left"/>
                    <w:jc w:val="center"/>
                  </w:pPr>
                  <w:r>
                    <w:t xml:space="preserve">3.02 (1.21)</w:t>
                  </w:r>
                </w:p>
              </w:tc>
              <w:tc>
                <w:tcPr/>
                <w:p>
                  <w:pPr>
                    <w:pStyle w:val="Compact"/>
                    <w:jc w:val="left"/>
                    <w:jc w:val="center"/>
                  </w:pPr>
                  <w:r>
                    <w:t xml:space="preserve">0.90</w:t>
                  </w:r>
                </w:p>
              </w:tc>
              <w:tc>
                <w:tcPr/>
                <w:p>
                  <w:pPr>
                    <w:pStyle w:val="Compact"/>
                    <w:jc w:val="left"/>
                    <w:jc w:val="center"/>
                  </w:pPr>
                  <w:r>
                    <w:t xml:space="preserve">3.73e-01</w:t>
                  </w:r>
                </w:p>
              </w:tc>
              <w:tc>
                <w:tcPr/>
                <w:p>
                  <w:pPr>
                    <w:pStyle w:val="Compact"/>
                    <w:jc w:val="right"/>
                    <w:jc w:val="center"/>
                  </w:pPr>
                  <w:r>
                    <w:t xml:space="preserve">0.29</w:t>
                  </w:r>
                </w:p>
              </w:tc>
            </w:tr>
            <w:tr>
              <w:tc>
                <w:tcPr/>
                <w:p>
                  <w:pPr>
                    <w:pStyle w:val="Compact"/>
                    <w:jc w:val="left"/>
                    <w:jc w:val="center"/>
                  </w:pPr>
                  <w:r>
                    <w:t xml:space="preserve">FAMB APR</w:t>
                  </w:r>
                </w:p>
              </w:tc>
              <w:tc>
                <w:tcPr/>
                <w:p>
                  <w:pPr>
                    <w:pStyle w:val="Compact"/>
                    <w:jc w:val="left"/>
                    <w:jc w:val="center"/>
                  </w:pPr>
                  <w:r>
                    <w:t xml:space="preserve">2.31 (0.94)</w:t>
                  </w:r>
                </w:p>
              </w:tc>
              <w:tc>
                <w:tcPr/>
                <w:p>
                  <w:pPr>
                    <w:pStyle w:val="Compact"/>
                    <w:jc w:val="left"/>
                    <w:jc w:val="center"/>
                  </w:pPr>
                  <w:r>
                    <w:t xml:space="preserve">2.35 (0.80)</w:t>
                  </w:r>
                </w:p>
              </w:tc>
              <w:tc>
                <w:tcPr/>
                <w:p>
                  <w:pPr>
                    <w:pStyle w:val="Compact"/>
                    <w:jc w:val="left"/>
                    <w:jc w:val="center"/>
                  </w:pPr>
                  <w:r>
                    <w:t xml:space="preserve">1.14</w:t>
                  </w:r>
                </w:p>
              </w:tc>
              <w:tc>
                <w:tcPr/>
                <w:p>
                  <w:pPr>
                    <w:pStyle w:val="Compact"/>
                    <w:jc w:val="left"/>
                    <w:jc w:val="center"/>
                  </w:pPr>
                  <w:r>
                    <w:t xml:space="preserve">2.61e-01</w:t>
                  </w:r>
                </w:p>
              </w:tc>
              <w:tc>
                <w:tcPr/>
                <w:p>
                  <w:pPr>
                    <w:pStyle w:val="Compact"/>
                    <w:jc w:val="right"/>
                    <w:jc w:val="center"/>
                  </w:pPr>
                  <w:r>
                    <w:t xml:space="preserve">0.37</w:t>
                  </w:r>
                </w:p>
              </w:tc>
            </w:tr>
            <w:tr>
              <w:tc>
                <w:tcPr/>
                <w:p>
                  <w:pPr>
                    <w:pStyle w:val="Compact"/>
                    <w:jc w:val="left"/>
                    <w:jc w:val="center"/>
                  </w:pPr>
                  <w:r>
                    <w:t xml:space="preserve">FAMB SPR</w:t>
                  </w:r>
                </w:p>
              </w:tc>
              <w:tc>
                <w:tcPr/>
                <w:p>
                  <w:pPr>
                    <w:pStyle w:val="Compact"/>
                    <w:jc w:val="left"/>
                    <w:jc w:val="center"/>
                  </w:pPr>
                  <w:r>
                    <w:t xml:space="preserve">1.34 (0.61)</w:t>
                  </w:r>
                </w:p>
              </w:tc>
              <w:tc>
                <w:tcPr/>
                <w:p>
                  <w:pPr>
                    <w:pStyle w:val="Compact"/>
                    <w:jc w:val="left"/>
                    <w:jc w:val="center"/>
                  </w:pPr>
                  <w:r>
                    <w:t xml:space="preserve">1.24 (0.20)</w:t>
                  </w:r>
                </w:p>
              </w:tc>
              <w:tc>
                <w:tcPr/>
                <w:p>
                  <w:pPr>
                    <w:pStyle w:val="Compact"/>
                    <w:jc w:val="left"/>
                    <w:jc w:val="center"/>
                  </w:pPr>
                  <w:r>
                    <w:t xml:space="preserve">0.75</w:t>
                  </w:r>
                </w:p>
              </w:tc>
              <w:tc>
                <w:tcPr/>
                <w:p>
                  <w:pPr>
                    <w:pStyle w:val="Compact"/>
                    <w:jc w:val="left"/>
                    <w:jc w:val="center"/>
                  </w:pPr>
                  <w:r>
                    <w:t xml:space="preserve">4.60e-01</w:t>
                  </w:r>
                </w:p>
              </w:tc>
              <w:tc>
                <w:tcPr/>
                <w:p>
                  <w:pPr>
                    <w:pStyle w:val="Compact"/>
                    <w:jc w:val="right"/>
                    <w:jc w:val="center"/>
                  </w:pPr>
                  <w:r>
                    <w:t xml:space="preserve">0.24</w:t>
                  </w:r>
                </w:p>
              </w:tc>
            </w:tr>
            <w:tr>
              <w:tc>
                <w:tcPr/>
                <w:p>
                  <w:pPr>
                    <w:pStyle w:val="Compact"/>
                    <w:jc w:val="left"/>
                    <w:jc w:val="center"/>
                  </w:pPr>
                  <w:r>
                    <w:t xml:space="preserve">FAMB SNR</w:t>
                  </w:r>
                </w:p>
              </w:tc>
              <w:tc>
                <w:tcPr/>
                <w:p>
                  <w:pPr>
                    <w:pStyle w:val="Compact"/>
                    <w:jc w:val="left"/>
                    <w:jc w:val="center"/>
                  </w:pPr>
                  <w:r>
                    <w:t xml:space="preserve">1.95 (1.25)</w:t>
                  </w:r>
                </w:p>
              </w:tc>
              <w:tc>
                <w:tcPr/>
                <w:p>
                  <w:pPr>
                    <w:pStyle w:val="Compact"/>
                    <w:jc w:val="left"/>
                    <w:jc w:val="center"/>
                  </w:pPr>
                  <w:r>
                    <w:t xml:space="preserve">1.82 (0.90)</w:t>
                  </w:r>
                </w:p>
              </w:tc>
              <w:tc>
                <w:tcPr/>
                <w:p>
                  <w:pPr>
                    <w:pStyle w:val="Compact"/>
                    <w:jc w:val="left"/>
                    <w:jc w:val="center"/>
                  </w:pPr>
                  <w:r>
                    <w:t xml:space="preserve">1.07</w:t>
                  </w:r>
                </w:p>
              </w:tc>
              <w:tc>
                <w:tcPr/>
                <w:p>
                  <w:pPr>
                    <w:pStyle w:val="Compact"/>
                    <w:jc w:val="left"/>
                    <w:jc w:val="center"/>
                  </w:pPr>
                  <w:r>
                    <w:t xml:space="preserve">2.91e-01</w:t>
                  </w:r>
                </w:p>
              </w:tc>
              <w:tc>
                <w:tcPr/>
                <w:p>
                  <w:pPr>
                    <w:pStyle w:val="Compact"/>
                    <w:jc w:val="right"/>
                    <w:jc w:val="center"/>
                  </w:pPr>
                  <w:r>
                    <w:t xml:space="preserve">0.34</w:t>
                  </w:r>
                </w:p>
              </w:tc>
            </w:tr>
            <w:tr>
              <w:tc>
                <w:tcPr/>
                <w:p>
                  <w:pPr>
                    <w:pStyle w:val="Compact"/>
                    <w:jc w:val="left"/>
                    <w:jc w:val="center"/>
                  </w:pPr>
                  <w:r>
                    <w:t xml:space="preserve">EDS</w:t>
                  </w:r>
                </w:p>
              </w:tc>
              <w:tc>
                <w:tcPr/>
                <w:p>
                  <w:pPr>
                    <w:pStyle w:val="Compact"/>
                    <w:jc w:val="left"/>
                    <w:jc w:val="center"/>
                  </w:pPr>
                  <w:r>
                    <w:t xml:space="preserve">46.43 (19.65)</w:t>
                  </w:r>
                </w:p>
              </w:tc>
              <w:tc>
                <w:tcPr/>
                <w:p>
                  <w:pPr>
                    <w:pStyle w:val="Compact"/>
                    <w:jc w:val="left"/>
                    <w:jc w:val="center"/>
                  </w:pPr>
                  <w:r>
                    <w:t xml:space="preserve">45.09 (14.33)</w:t>
                  </w:r>
                </w:p>
              </w:tc>
              <w:tc>
                <w:tcPr/>
                <w:p>
                  <w:pPr>
                    <w:pStyle w:val="Compact"/>
                    <w:jc w:val="left"/>
                    <w:jc w:val="center"/>
                  </w:pPr>
                  <w:r>
                    <w:t xml:space="preserve">2.01</w:t>
                  </w:r>
                </w:p>
              </w:tc>
              <w:tc>
                <w:tcPr/>
                <w:p>
                  <w:pPr>
                    <w:pStyle w:val="Compact"/>
                    <w:jc w:val="left"/>
                    <w:jc w:val="center"/>
                  </w:pPr>
                  <w:r>
                    <w:t xml:space="preserve">5.29e-02</w:t>
                  </w:r>
                </w:p>
              </w:tc>
              <w:tc>
                <w:tcPr/>
                <w:p>
                  <w:pPr>
                    <w:pStyle w:val="Compact"/>
                    <w:jc w:val="right"/>
                    <w:jc w:val="center"/>
                  </w:pPr>
                  <w:r>
                    <w:t xml:space="preserve">0.65</w:t>
                  </w:r>
                </w:p>
              </w:tc>
            </w:tr>
            <w:tr>
              <w:tc>
                <w:tcPr/>
                <w:p>
                  <w:pPr>
                    <w:pStyle w:val="Compact"/>
                    <w:jc w:val="left"/>
                    <w:jc w:val="center"/>
                  </w:pPr>
                  <w:r>
                    <w:t xml:space="preserve">CET</w:t>
                  </w:r>
                </w:p>
              </w:tc>
              <w:tc>
                <w:tcPr/>
                <w:p>
                  <w:pPr>
                    <w:pStyle w:val="Compact"/>
                    <w:jc w:val="left"/>
                    <w:jc w:val="center"/>
                  </w:pPr>
                  <w:r>
                    <w:t xml:space="preserve">11.59 (3.29)</w:t>
                  </w:r>
                </w:p>
              </w:tc>
              <w:tc>
                <w:tcPr/>
                <w:p>
                  <w:pPr>
                    <w:pStyle w:val="Compact"/>
                    <w:jc w:val="left"/>
                    <w:jc w:val="center"/>
                  </w:pPr>
                  <w:r>
                    <w:t xml:space="preserve">9.05 (3.72)</w:t>
                  </w:r>
                </w:p>
              </w:tc>
              <w:tc>
                <w:tcPr/>
                <w:p>
                  <w:pPr>
                    <w:pStyle w:val="Compact"/>
                    <w:jc w:val="left"/>
                    <w:jc w:val="center"/>
                  </w:pPr>
                  <w:r>
                    <w:t xml:space="preserve">3.26</w:t>
                  </w:r>
                </w:p>
              </w:tc>
              <w:tc>
                <w:tcPr/>
                <w:p>
                  <w:pPr>
                    <w:pStyle w:val="Compact"/>
                    <w:jc w:val="left"/>
                    <w:jc w:val="center"/>
                  </w:pPr>
                  <w:r>
                    <w:t xml:space="preserve">2.48e-03</w:t>
                  </w:r>
                </w:p>
              </w:tc>
              <w:tc>
                <w:tcPr/>
                <w:p>
                  <w:pPr>
                    <w:pStyle w:val="Compact"/>
                    <w:jc w:val="right"/>
                    <w:jc w:val="center"/>
                  </w:pPr>
                  <w:r>
                    <w:t xml:space="preserve">1.06</w:t>
                  </w:r>
                </w:p>
              </w:tc>
            </w:tr>
            <w:tr>
              <w:tc>
                <w:tcPr/>
                <w:p>
                  <w:pPr>
                    <w:pStyle w:val="Compact"/>
                    <w:jc w:val="left"/>
                    <w:jc w:val="center"/>
                  </w:pPr>
                  <w:r>
                    <w:t xml:space="preserve">CET Avoidance</w:t>
                  </w:r>
                </w:p>
              </w:tc>
              <w:tc>
                <w:tcPr/>
                <w:p>
                  <w:pPr>
                    <w:pStyle w:val="Compact"/>
                    <w:jc w:val="left"/>
                    <w:jc w:val="center"/>
                  </w:pPr>
                  <w:r>
                    <w:t xml:space="preserve">1.12 (0.93)</w:t>
                  </w:r>
                </w:p>
              </w:tc>
              <w:tc>
                <w:tcPr/>
                <w:p>
                  <w:pPr>
                    <w:pStyle w:val="Compact"/>
                    <w:jc w:val="left"/>
                    <w:jc w:val="center"/>
                  </w:pPr>
                  <w:r>
                    <w:t xml:space="preserve">1.05 (0.95)</w:t>
                  </w:r>
                </w:p>
              </w:tc>
              <w:tc>
                <w:tcPr/>
                <w:p>
                  <w:pPr>
                    <w:pStyle w:val="Compact"/>
                    <w:jc w:val="left"/>
                    <w:jc w:val="center"/>
                  </w:pPr>
                  <w:r>
                    <w:t xml:space="preserve">2.85</w:t>
                  </w:r>
                </w:p>
              </w:tc>
              <w:tc>
                <w:tcPr/>
                <w:p>
                  <w:pPr>
                    <w:pStyle w:val="Compact"/>
                    <w:jc w:val="left"/>
                    <w:jc w:val="center"/>
                  </w:pPr>
                  <w:r>
                    <w:t xml:space="preserve">7.26e-03</w:t>
                  </w:r>
                </w:p>
              </w:tc>
              <w:tc>
                <w:tcPr/>
                <w:p>
                  <w:pPr>
                    <w:pStyle w:val="Compact"/>
                    <w:jc w:val="right"/>
                    <w:jc w:val="center"/>
                  </w:pPr>
                  <w:r>
                    <w:t xml:space="preserve">0.93</w:t>
                  </w:r>
                </w:p>
              </w:tc>
            </w:tr>
            <w:tr>
              <w:tc>
                <w:tcPr/>
                <w:p>
                  <w:pPr>
                    <w:pStyle w:val="Compact"/>
                    <w:jc w:val="left"/>
                    <w:jc w:val="center"/>
                  </w:pPr>
                  <w:r>
                    <w:t xml:space="preserve">CET Weight Control</w:t>
                  </w:r>
                </w:p>
              </w:tc>
              <w:tc>
                <w:tcPr/>
                <w:p>
                  <w:pPr>
                    <w:pStyle w:val="Compact"/>
                    <w:jc w:val="left"/>
                    <w:jc w:val="center"/>
                  </w:pPr>
                  <w:r>
                    <w:t xml:space="preserve">2.97 (1.02)</w:t>
                  </w:r>
                </w:p>
              </w:tc>
              <w:tc>
                <w:tcPr/>
                <w:p>
                  <w:pPr>
                    <w:pStyle w:val="Compact"/>
                    <w:jc w:val="left"/>
                    <w:jc w:val="center"/>
                  </w:pPr>
                  <w:r>
                    <w:t xml:space="preserve">1.31 (1.18)</w:t>
                  </w:r>
                </w:p>
              </w:tc>
              <w:tc>
                <w:tcPr/>
                <w:p>
                  <w:pPr>
                    <w:pStyle w:val="Compact"/>
                    <w:jc w:val="left"/>
                    <w:jc w:val="center"/>
                  </w:pPr>
                  <w:r>
                    <w:t xml:space="preserve">4.59</w:t>
                  </w:r>
                </w:p>
              </w:tc>
              <w:tc>
                <w:tcPr/>
                <w:p>
                  <w:pPr>
                    <w:pStyle w:val="Compact"/>
                    <w:jc w:val="left"/>
                    <w:jc w:val="center"/>
                  </w:pPr>
                  <w:r>
                    <w:t xml:space="preserve">5.46e-05</w:t>
                  </w:r>
                </w:p>
              </w:tc>
              <w:tc>
                <w:tcPr/>
                <w:p>
                  <w:pPr>
                    <w:pStyle w:val="Compact"/>
                    <w:jc w:val="right"/>
                    <w:jc w:val="center"/>
                  </w:pPr>
                  <w:r>
                    <w:t xml:space="preserve">1.49</w:t>
                  </w:r>
                </w:p>
              </w:tc>
            </w:tr>
            <w:tr>
              <w:tc>
                <w:tcPr/>
                <w:p>
                  <w:pPr>
                    <w:pStyle w:val="Compact"/>
                    <w:jc w:val="left"/>
                    <w:jc w:val="center"/>
                  </w:pPr>
                  <w:r>
                    <w:t xml:space="preserve">CET Mood</w:t>
                  </w:r>
                </w:p>
              </w:tc>
              <w:tc>
                <w:tcPr/>
                <w:p>
                  <w:pPr>
                    <w:pStyle w:val="Compact"/>
                    <w:jc w:val="left"/>
                    <w:jc w:val="center"/>
                  </w:pPr>
                  <w:r>
                    <w:t xml:space="preserve">2.83 (1.72)</w:t>
                  </w:r>
                </w:p>
              </w:tc>
              <w:tc>
                <w:tcPr/>
                <w:p>
                  <w:pPr>
                    <w:pStyle w:val="Compact"/>
                    <w:jc w:val="left"/>
                    <w:jc w:val="center"/>
                  </w:pPr>
                  <w:r>
                    <w:t xml:space="preserve">3.33 (0.93)</w:t>
                  </w:r>
                </w:p>
              </w:tc>
              <w:tc>
                <w:tcPr/>
                <w:p>
                  <w:pPr>
                    <w:pStyle w:val="Compact"/>
                    <w:jc w:val="left"/>
                    <w:jc w:val="center"/>
                  </w:pPr>
                  <w:r>
                    <w:t xml:space="preserve">0.10</w:t>
                  </w:r>
                </w:p>
              </w:tc>
              <w:tc>
                <w:tcPr/>
                <w:p>
                  <w:pPr>
                    <w:pStyle w:val="Compact"/>
                    <w:jc w:val="left"/>
                    <w:jc w:val="center"/>
                  </w:pPr>
                  <w:r>
                    <w:t xml:space="preserve">9.21e-01</w:t>
                  </w:r>
                </w:p>
              </w:tc>
              <w:tc>
                <w:tcPr/>
                <w:p>
                  <w:pPr>
                    <w:pStyle w:val="Compact"/>
                    <w:jc w:val="right"/>
                    <w:jc w:val="center"/>
                  </w:pPr>
                  <w:r>
                    <w:t xml:space="preserve">0.03</w:t>
                  </w:r>
                </w:p>
              </w:tc>
            </w:tr>
            <w:tr>
              <w:tc>
                <w:tcPr/>
                <w:p>
                  <w:pPr>
                    <w:pStyle w:val="Compact"/>
                    <w:jc w:val="left"/>
                    <w:jc w:val="center"/>
                  </w:pPr>
                  <w:r>
                    <w:t xml:space="preserve">CET Lack of Enjoyment</w:t>
                  </w:r>
                </w:p>
              </w:tc>
              <w:tc>
                <w:tcPr/>
                <w:p>
                  <w:pPr>
                    <w:pStyle w:val="Compact"/>
                    <w:jc w:val="left"/>
                    <w:jc w:val="center"/>
                  </w:pPr>
                  <w:r>
                    <w:t xml:space="preserve">2.57 (1.78)</w:t>
                  </w:r>
                </w:p>
              </w:tc>
              <w:tc>
                <w:tcPr/>
                <w:p>
                  <w:pPr>
                    <w:pStyle w:val="Compact"/>
                    <w:jc w:val="left"/>
                    <w:jc w:val="center"/>
                  </w:pPr>
                  <w:r>
                    <w:t xml:space="preserve">1.73 (0.96)</w:t>
                  </w:r>
                </w:p>
              </w:tc>
              <w:tc>
                <w:tcPr/>
                <w:p>
                  <w:pPr>
                    <w:pStyle w:val="Compact"/>
                    <w:jc w:val="left"/>
                    <w:jc w:val="center"/>
                  </w:pPr>
                  <w:r>
                    <w:t xml:space="preserve">1.35</w:t>
                  </w:r>
                </w:p>
              </w:tc>
              <w:tc>
                <w:tcPr/>
                <w:p>
                  <w:pPr>
                    <w:pStyle w:val="Compact"/>
                    <w:jc w:val="left"/>
                    <w:jc w:val="center"/>
                  </w:pPr>
                  <w:r>
                    <w:t xml:space="preserve">1.94e-01</w:t>
                  </w:r>
                </w:p>
              </w:tc>
              <w:tc>
                <w:tcPr/>
                <w:p>
                  <w:pPr>
                    <w:pStyle w:val="Compact"/>
                    <w:jc w:val="right"/>
                    <w:jc w:val="center"/>
                  </w:pPr>
                  <w:r>
                    <w:t xml:space="preserve">0.53</w:t>
                  </w:r>
                </w:p>
              </w:tc>
            </w:tr>
            <w:tr>
              <w:tc>
                <w:tcPr/>
                <w:p>
                  <w:pPr>
                    <w:pStyle w:val="Compact"/>
                    <w:jc w:val="left"/>
                    <w:jc w:val="center"/>
                  </w:pPr>
                  <w:r>
                    <w:t xml:space="preserve">CET Rigid</w:t>
                  </w:r>
                </w:p>
              </w:tc>
              <w:tc>
                <w:tcPr/>
                <w:p>
                  <w:pPr>
                    <w:pStyle w:val="Compact"/>
                    <w:jc w:val="left"/>
                    <w:jc w:val="center"/>
                  </w:pPr>
                  <w:r>
                    <w:t xml:space="preserve">2.10 (1.65)</w:t>
                  </w:r>
                </w:p>
              </w:tc>
              <w:tc>
                <w:tcPr/>
                <w:p>
                  <w:pPr>
                    <w:pStyle w:val="Compact"/>
                    <w:jc w:val="left"/>
                    <w:jc w:val="center"/>
                  </w:pPr>
                  <w:r>
                    <w:t xml:space="preserve">1.64 (1.35)</w:t>
                  </w:r>
                </w:p>
              </w:tc>
              <w:tc>
                <w:tcPr/>
                <w:p>
                  <w:pPr>
                    <w:pStyle w:val="Compact"/>
                    <w:jc w:val="left"/>
                    <w:jc w:val="center"/>
                  </w:pPr>
                  <w:r>
                    <w:t xml:space="preserve">1.62</w:t>
                  </w:r>
                </w:p>
              </w:tc>
              <w:tc>
                <w:tcPr/>
                <w:p>
                  <w:pPr>
                    <w:pStyle w:val="Compact"/>
                    <w:jc w:val="left"/>
                    <w:jc w:val="center"/>
                  </w:pPr>
                  <w:r>
                    <w:t xml:space="preserve">1.14e-01</w:t>
                  </w:r>
                </w:p>
              </w:tc>
              <w:tc>
                <w:tcPr/>
                <w:p>
                  <w:pPr>
                    <w:pStyle w:val="Compact"/>
                    <w:jc w:val="right"/>
                    <w:jc w:val="center"/>
                  </w:pPr>
                  <w:r>
                    <w:t xml:space="preserve">0.53</w:t>
                  </w:r>
                </w:p>
              </w:tc>
            </w:tr>
          </w:tbl>
          <w:bookmarkEnd w:id="20"/>
          <w:p/>
        </w:tc>
      </w:tr>
    </w:tbl>
    <w:p>
      <w:pPr>
        <w:pStyle w:val="BodyText"/>
      </w:pPr>
      <w:r>
        <w:t xml:space="preserve">We also compared affect ratings and disordered eating urges before and after milkshake ingestion on Day A to clarify the degree to which these variables were impacted my milkshake ingestion. Results are presented in Supplemental</w:t>
      </w:r>
      <w:r>
        <w:t xml:space="preserve"> </w:t>
      </w:r>
      <w:r>
        <w:rPr>
          <w:b/>
          <w:bCs/>
        </w:rPr>
        <w:t xml:space="preserve">?@tbl-milkshake</w:t>
      </w:r>
      <w:r>
        <w:t xml:space="preserve">. Individuals with EDs reported feeling increased enthusiasm and decreases in fatigue after milkshake ingestion, along with increased urges to restrict, vomit, and exercise.</w:t>
      </w:r>
    </w:p>
    <w:bookmarkEnd w:id="21"/>
    <w:bookmarkStart w:id="22" w:name="aim-1-feasiblity"/>
    <w:p>
      <w:pPr>
        <w:pStyle w:val="Heading2"/>
      </w:pPr>
      <w:r>
        <w:rPr>
          <w:b/>
          <w:bCs/>
        </w:rPr>
        <w:t xml:space="preserve">Aim 1: Feasiblity</w:t>
      </w:r>
    </w:p>
    <w:p>
      <w:pPr>
        <w:pStyle w:val="FirstParagraph"/>
      </w:pPr>
      <w:r>
        <w:rPr>
          <w:i/>
          <w:iCs/>
        </w:rPr>
        <w:t xml:space="preserve">We will confirm feasibility of our exercise-based tasks via a) study dropout at all timepoints, b) adverse events, c) completion rates of exercise task on Day B, d) completion rates of milkshake task across ED and HC participants. Over the course of the study, we expect both ED and HC groups to meet thresholds of &lt; 20% dropout, zero adverse events, and &gt; 80% task completion.</w:t>
      </w:r>
    </w:p>
    <w:p>
      <w:pPr>
        <w:pStyle w:val="BodyText"/>
      </w:pPr>
      <w:r>
        <w:t xml:space="preserve">Full study flow is outlined in Supplemental</w:t>
      </w:r>
      <w:r>
        <w:t xml:space="preserve"> </w:t>
      </w:r>
      <w:hyperlink w:anchor="tbl-aim1">
        <w:r>
          <w:rPr>
            <w:rStyle w:val="Hyperlink"/>
          </w:rPr>
          <w:t xml:space="preserve">Table 3</w:t>
        </w:r>
      </w:hyperlink>
      <w:r>
        <w:t xml:space="preserve">. There were 321 total screenings completed. Of these, 33 were ineligible and 70 went on to complete intakes. Of those who were eligible after intake, 15 chose not to enroll, and the most common reason for not enrolling was cited as time constraints. Ultimately, 39/40 individuals who enrolled in the study completed all study visits. There were no serious adverse events during the study. One participant became lightheaded after blood draw, but this resolved quickly with rest. 100% of participants who engaged in the Day B exercise task completed the task. On Day both days A and C, 97% participants completed drinking the milkshake, with one participant not completing the shake on each day. This was a different participant on Day A vs. Day C. In once instance, the participant finished 31% of the milkshake, in the other instance, the participant finished 63% of the milkshake.</w:t>
      </w:r>
    </w:p>
    <w:bookmarkEnd w:id="22"/>
    <w:bookmarkStart w:id="49" w:name="aim-2-variability-in-exercise-response"/>
    <w:p>
      <w:pPr>
        <w:pStyle w:val="Heading2"/>
      </w:pPr>
      <w:r>
        <w:rPr>
          <w:b/>
          <w:bCs/>
        </w:rPr>
        <w:t xml:space="preserve">Aim 2: Variability in Exercise Response</w:t>
      </w:r>
    </w:p>
    <w:p>
      <w:pPr>
        <w:pStyle w:val="FirstParagraph"/>
      </w:pPr>
      <w:r>
        <w:rPr>
          <w:i/>
          <w:iCs/>
        </w:rPr>
        <w:t xml:space="preserve">We will characterize changes during exercise in state body image, mood, and biological markers in both ED and HC groups; we will specifically characterize mean levels of, and variability in, biobehavioral response to exercise across the ED and HC groups. We will evaluate exercise-induced changes in DA, 5-HT, BDNF, leptin, and eCB biomarkers for the Prescribed Exercise Task. Shifts in affect, body image, and biomarkers will be evaluated descriptively with measures of central tendency, skew, and variance. We will further characterize shifts in affect and body image through linear mixed effect models.</w:t>
      </w:r>
    </w:p>
    <w:p>
      <w:pPr>
        <w:pStyle w:val="BodyText"/>
      </w:pPr>
      <w:r>
        <w:t xml:space="preserve">Specific models tested are noted in</w:t>
      </w:r>
      <w:r>
        <w:t xml:space="preserve"> </w:t>
      </w:r>
      <w:hyperlink w:anchor="tbl-params">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3" w:name="tbl-params"/>
          <w:p>
            <w:pPr>
              <w:jc w:val="center"/>
            </w:pPr>
            <w:pPr>
              <w:jc w:val="start"/>
              <w:spacing w:before="200"/>
              <w:pStyle w:val="ImageCaption"/>
            </w:pPr>
            <w:r>
              <w:t xml:space="preserve">Table 2: General Models and Parameters</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jc w:val="left"/>
                    <w:jc w:val="center"/>
                  </w:pPr>
                  <w:r>
                    <w:t xml:space="preserve">Model Name</w:t>
                  </w:r>
                </w:p>
              </w:tc>
              <w:tc>
                <w:tcPr/>
                <w:p>
                  <w:pPr>
                    <w:pStyle w:val="Compact"/>
                    <w:jc w:val="left"/>
                    <w:jc w:val="center"/>
                  </w:pPr>
                  <w:r>
                    <w:t xml:space="preserve">Parameters</w:t>
                  </w:r>
                </w:p>
              </w:tc>
            </w:tr>
            <w:tr>
              <w:tc>
                <w:tcPr/>
                <w:p>
                  <w:pPr>
                    <w:pStyle w:val="Compact"/>
                    <w:jc w:val="left"/>
                    <w:jc w:val="center"/>
                  </w:pPr>
                  <w:r>
                    <w:rPr>
                      <w:b/>
                      <w:bCs/>
                    </w:rPr>
                    <w:t xml:space="preserve">Overall Model: Affect and Body Image Variables</w:t>
                  </w:r>
                </w:p>
              </w:tc>
              <w:tc>
                <w:tcPr/>
                <w:p>
                  <w:pPr>
                    <w:pStyle w:val="Compact"/>
                    <w:jc w:val="left"/>
                    <w:jc w:val="center"/>
                  </w:pPr>
                  <w:r>
                    <w:t xml:space="preserve">DV ~ 1 + Age + Group + Time + BMI*Condition + Time*Condition + Time*Group*Condition + (1+Time</w:t>
                  </w:r>
                </w:p>
              </w:tc>
            </w:tr>
            <w:tr>
              <w:tc>
                <w:tcPr/>
                <w:p>
                  <w:pPr>
                    <w:pStyle w:val="Compact"/>
                    <w:jc w:val="left"/>
                    <w:jc w:val="center"/>
                  </w:pPr>
                  <w:r>
                    <w:rPr>
                      <w:b/>
                      <w:bCs/>
                    </w:rPr>
                    <w:t xml:space="preserve">Within ED: Affect and Body Image Variables</w:t>
                  </w:r>
                </w:p>
              </w:tc>
              <w:tc>
                <w:tcPr/>
                <w:p>
                  <w:pPr>
                    <w:pStyle w:val="Compact"/>
                    <w:jc w:val="left"/>
                    <w:jc w:val="center"/>
                  </w:pPr>
                  <w:r>
                    <w:t xml:space="preserve">DV ~ 1 + Age + Time + BMI*Condition + Time*Condition + Time*Condition + (1+Time</w:t>
                  </w:r>
                </w:p>
              </w:tc>
            </w:tr>
            <w:tr>
              <w:tc>
                <w:tcPr/>
                <w:p>
                  <w:pPr>
                    <w:pStyle w:val="Compact"/>
                    <w:jc w:val="left"/>
                    <w:jc w:val="center"/>
                  </w:pPr>
                  <w:r>
                    <w:rPr>
                      <w:b/>
                      <w:bCs/>
                    </w:rPr>
                    <w:t xml:space="preserve">Overall Biomarker Model</w:t>
                  </w:r>
                </w:p>
              </w:tc>
              <w:tc>
                <w:tcPr/>
                <w:p>
                  <w:pPr>
                    <w:pStyle w:val="Compact"/>
                    <w:jc w:val="left"/>
                    <w:jc w:val="center"/>
                  </w:pPr>
                  <w:r>
                    <w:t xml:space="preserve">Biomarker ~ 1 + Age + Group + Time + BMI*Condition + Time*Condition + (1 + Time</w:t>
                  </w:r>
                </w:p>
              </w:tc>
            </w:tr>
            <w:tr>
              <w:tc>
                <w:tcPr/>
                <w:p>
                  <w:pPr>
                    <w:pStyle w:val="Compact"/>
                    <w:jc w:val="left"/>
                    <w:jc w:val="center"/>
                  </w:pPr>
                  <w:r>
                    <w:rPr>
                      <w:b/>
                      <w:bCs/>
                    </w:rPr>
                    <w:t xml:space="preserve">Within ED: Biomarkers</w:t>
                  </w:r>
                </w:p>
              </w:tc>
              <w:tc>
                <w:tcPr/>
                <w:p>
                  <w:pPr>
                    <w:pStyle w:val="Compact"/>
                    <w:jc w:val="left"/>
                    <w:jc w:val="center"/>
                  </w:pPr>
                  <w:r>
                    <w:t xml:space="preserve">Biomarker ~ 1 + Age + Time + BMI*Condition + Time*Condition + (1 + Time</w:t>
                  </w:r>
                </w:p>
              </w:tc>
            </w:tr>
            <w:tr>
              <w:tc>
                <w:tcPr/>
                <w:p>
                  <w:pPr>
                    <w:pStyle w:val="Compact"/>
                    <w:jc w:val="left"/>
                    <w:jc w:val="center"/>
                  </w:pPr>
                  <w:r>
                    <w:rPr>
                      <w:b/>
                      <w:bCs/>
                    </w:rPr>
                    <w:t xml:space="preserve">Heterogeneity of Variance across Groups in Exercise Response</w:t>
                  </w:r>
                </w:p>
              </w:tc>
              <w:tc>
                <w:tcPr/>
                <w:p>
                  <w:pPr>
                    <w:pStyle w:val="Compact"/>
                    <w:jc w:val="left"/>
                    <w:jc w:val="center"/>
                  </w:pPr>
                  <w:r>
                    <w:t xml:space="preserve">DV ~ 1 + Age + Group + Time + Time x Group, random = list(id = pdDiag(form = ~ Group)), weights = varIdent(form = ~ 1</w:t>
                  </w:r>
                </w:p>
              </w:tc>
            </w:tr>
          </w:tbl>
          <w:bookmarkEnd w:id="23"/>
          <w:p/>
        </w:tc>
      </w:tr>
    </w:tbl>
    <w:p>
      <w:pPr>
        <w:pStyle w:val="BodyText"/>
      </w:pPr>
      <w:r>
        <w:t xml:space="preserve">We estimated change over time using descriptives, and also ran overall and within ED models using the</w:t>
      </w:r>
      <w:r>
        <w:t xml:space="preserve"> </w:t>
      </w:r>
      <w:r>
        <w:rPr>
          <w:rStyle w:val="VerbatimChar"/>
        </w:rPr>
        <w:t xml:space="preserve">lme4</w:t>
      </w:r>
      <w:r>
        <w:t xml:space="preserve"> </w:t>
      </w:r>
      <w:r>
        <w:t xml:space="preserve">package. To evaluate heterogeneity of variance, we incorporated a random effect of group into a model with age, time, group, and group x time fixed effects. We then compared model fit of this model to the model without a random effect of group. To examine potential heterogeneity of within person, a level-1 random effect was then incorporated into the model and compared against a model with between-person (level 2) random effects only.</w:t>
      </w:r>
    </w:p>
    <w:bookmarkStart w:id="36" w:name="affect"/>
    <w:p>
      <w:pPr>
        <w:pStyle w:val="Heading3"/>
      </w:pPr>
      <w:r>
        <w:t xml:space="preserve">Affect</w:t>
      </w:r>
    </w:p>
    <w:bookmarkStart w:id="33" w:name="descriptives"/>
    <w:p>
      <w:pPr>
        <w:pStyle w:val="Heading4"/>
      </w:pPr>
      <w:r>
        <w:t xml:space="preserve">Descriptives</w:t>
      </w:r>
    </w:p>
    <w:p>
      <w:pPr>
        <w:pStyle w:val="FirstParagraph"/>
      </w:pPr>
      <w:r>
        <w:t xml:space="preserve">Affective change across group and condition are presented in</w:t>
      </w:r>
      <w:r>
        <w:t xml:space="preserve"> </w:t>
      </w:r>
      <w:hyperlink w:anchor="fig-ChangePlots-1">
        <w:r>
          <w:rPr>
            <w:rStyle w:val="Hyperlink"/>
          </w:rPr>
          <w:t xml:space="preserve">Figure 1 (a)</w:t>
        </w:r>
      </w:hyperlink>
      <w:r>
        <w:t xml:space="preserve">. Visual depiction of raw changes in affect measurements during exercise across groups is presented in Supplemental</w:t>
      </w:r>
      <w:r>
        <w:t xml:space="preserve"> </w:t>
      </w:r>
      <w:r>
        <w:rPr>
          <w:b/>
          <w:bCs/>
        </w:rPr>
        <w:t xml:space="preserve">?@fig-AffectChange</w:t>
      </w:r>
      <w:r>
        <w:t xml:space="preserve"> </w:t>
      </w:r>
      <w:r>
        <w:t xml:space="preserve">along with variance in affect across group and condition. Specific values for average levels of change across groups (30 min vs. BL), maximum increases and maximum decreases from baseline, and variance are presented in Supplemental</w:t>
      </w:r>
      <w:r>
        <w:t xml:space="preserve"> </w:t>
      </w:r>
      <w:r>
        <w:rPr>
          <w:b/>
          <w:bCs/>
        </w:rPr>
        <w:t xml:space="preserve">?@tbl-affectChange</w:t>
      </w:r>
      <w:r>
        <w:t xml:space="preserve">. Patterns of results indicate that individuals in the ED group consistently feel more positive and less negative emotion increases across the 30 mins of exercise. Fatigue increases in the ED group may be delayed, relative to HC.</w:t>
      </w:r>
    </w:p>
    <w:bookmarkStart w:id="32" w:name="fig-ChangePlots"/>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27" w:name="fig-ChangePlots-1"/>
                <w:p>
                  <w:pPr>
                    <w:pStyle w:val="Compact"/>
                    <w:jc w:val="center"/>
                    <w:jc w:val="left"/>
                  </w:pPr>
                  <w:r>
                    <w:drawing>
                      <wp:inline>
                        <wp:extent cx="5334000" cy="3556000"/>
                        <wp:effectExtent b="0" l="0" r="0" t="0"/>
                        <wp:docPr descr="" title="" id="25" name="Picture"/>
                        <a:graphic>
                          <a:graphicData uri="http://schemas.openxmlformats.org/drawingml/2006/picture">
                            <pic:pic>
                              <pic:nvPicPr>
                                <pic:cNvPr descr="figs/2.affect/affect_change_plot.png" id="26" name="Picture"/>
                                <pic:cNvPicPr>
                                  <a:picLocks noChangeArrowheads="1" noChangeAspect="1"/>
                                </pic:cNvPicPr>
                              </pic:nvPicPr>
                              <pic:blipFill>
                                <a:blip r:embed="rId24"/>
                                <a:stretch>
                                  <a:fillRect/>
                                </a:stretch>
                              </pic:blipFill>
                              <pic:spPr bwMode="auto">
                                <a:xfrm>
                                  <a:off x="0" y="0"/>
                                  <a:ext cx="5334000" cy="35560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Affective Change during Exercise (30min vs BL)</w:t>
                  </w:r>
                </w:p>
                <w:bookmarkEnd w:id="27"/>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31" w:name="fig-ChangePlots-2"/>
                <w:p>
                  <w:pPr>
                    <w:pStyle w:val="Compact"/>
                    <w:jc w:val="center"/>
                    <w:jc w:val="left"/>
                  </w:pPr>
                  <w:r>
                    <w:drawing>
                      <wp:inline>
                        <wp:extent cx="5334000" cy="3556000"/>
                        <wp:effectExtent b="0" l="0" r="0" t="0"/>
                        <wp:docPr descr="" title="" id="29" name="Picture"/>
                        <a:graphic>
                          <a:graphicData uri="http://schemas.openxmlformats.org/drawingml/2006/picture">
                            <pic:pic>
                              <pic:nvPicPr>
                                <pic:cNvPr descr="figs/3.body_image/biss_change_30_exercise.png" id="30" name="Picture"/>
                                <pic:cNvPicPr>
                                  <a:picLocks noChangeArrowheads="1" noChangeAspect="1"/>
                                </pic:cNvPicPr>
                              </pic:nvPicPr>
                              <pic:blipFill>
                                <a:blip r:embed="rId28"/>
                                <a:stretch>
                                  <a:fillRect/>
                                </a:stretch>
                              </pic:blipFill>
                              <pic:spPr bwMode="auto">
                                <a:xfrm>
                                  <a:off x="0" y="0"/>
                                  <a:ext cx="5334000" cy="35560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Body Image Change during Exercise (30min vs BL)</w:t>
                  </w:r>
                </w:p>
                <w:bookmarkEnd w:id="31"/>
              </w:tc>
            </w:tr>
          </w:tbl>
          <w:p/>
        </w:tc>
      </w:tr>
    </w:tbl>
    <w:p>
      <w:pPr>
        <w:pStyle w:val="BodyText"/>
      </w:pPr>
      <w:pPr>
        <w:spacing w:before="200"/>
        <w:pStyle w:val="ImageCaption"/>
      </w:pPr>
      <w:r>
        <w:t xml:space="preserve">Figure 1: Description of Body Image and Affect Changes During Exercise</w:t>
      </w:r>
    </w:p>
    <w:bookmarkEnd w:id="32"/>
    <w:bookmarkEnd w:id="33"/>
    <w:bookmarkStart w:id="34" w:name="overall-model"/>
    <w:p>
      <w:pPr>
        <w:pStyle w:val="Heading4"/>
      </w:pPr>
      <w:r>
        <w:t xml:space="preserve">Overall Model</w:t>
      </w:r>
    </w:p>
    <w:p>
      <w:pPr>
        <w:pStyle w:val="FirstParagraph"/>
      </w:pPr>
      <w:r>
        <w:t xml:space="preserve">Model fit indices for each variable and task are presented in Supplemental</w:t>
      </w:r>
      <w:r>
        <w:t xml:space="preserve"> </w:t>
      </w:r>
      <w:r>
        <w:rPr>
          <w:b/>
          <w:bCs/>
        </w:rPr>
        <w:t xml:space="preserve">?@tbl-AffectModFit</w:t>
      </w:r>
      <w:r>
        <w:t xml:space="preserve">.</w:t>
      </w:r>
    </w:p>
    <w:p>
      <w:pPr>
        <w:pStyle w:val="BodyText"/>
      </w:pPr>
      <w:r>
        <w:t xml:space="preserve">Marginal</w:t>
      </w:r>
      <w:r>
        <w:t xml:space="preserve"> </w:t>
      </w:r>
      <m:oMath>
        <m:sSup>
          <m:e>
            <m:r>
              <m:t>R</m:t>
            </m:r>
          </m:e>
          <m:sup>
            <m:r>
              <m:t>2</m:t>
            </m:r>
          </m:sup>
        </m:sSup>
      </m:oMath>
      <w:r>
        <w:t xml:space="preserve"> </w:t>
      </w:r>
      <w:r>
        <w:t xml:space="preserve">values indicate that fixed effects specified in the current models are, together, accounting for 4-19% of variance in affect during the course of the task, depending on task and variable. Results from each variable in the overall model (see</w:t>
      </w:r>
      <w:r>
        <w:t xml:space="preserve"> </w:t>
      </w:r>
      <w:hyperlink w:anchor="tbl-params">
        <w:r>
          <w:rPr>
            <w:rStyle w:val="Hyperlink"/>
          </w:rPr>
          <w:t xml:space="preserve">Table 2</w:t>
        </w:r>
      </w:hyperlink>
      <w:r>
        <w:t xml:space="preserve">) are presented in Supplemental</w:t>
      </w:r>
      <w:r>
        <w:t xml:space="preserve"> </w:t>
      </w:r>
      <w:r>
        <w:rPr>
          <w:b/>
          <w:bCs/>
        </w:rPr>
        <w:t xml:space="preserve">?@tbl-affect</w:t>
      </w:r>
      <w:r>
        <w:t xml:space="preserve"> </w:t>
      </w:r>
      <w:r>
        <w:t xml:space="preserve">with estimated marginal means for each timepoint presented in Supplemental</w:t>
      </w:r>
      <w:r>
        <w:t xml:space="preserve"> </w:t>
      </w:r>
      <w:r>
        <w:rPr>
          <w:b/>
          <w:bCs/>
        </w:rPr>
        <w:t xml:space="preserve">?@fig-affectemm</w:t>
      </w:r>
      <w:r>
        <w:t xml:space="preserve">. Significant Time x Condition interactions indicate that, across both ED and Control groups, participants tended to feel increased fatigue and reduced calmness during exercise, relative to rest.</w:t>
      </w:r>
    </w:p>
    <w:p>
      <w:pPr>
        <w:pStyle w:val="BodyText"/>
      </w:pPr>
      <w:r>
        <w:t xml:space="preserve">As noted, the current pilot trial was not sufficiently powered to detect small-to-moderate three-way interactions. One Group x Time x Condition emerged at nominal level of significance (</w:t>
      </w:r>
      <w:r>
        <w:rPr>
          <w:i/>
          <w:iCs/>
        </w:rPr>
        <w:t xml:space="preserve">p</w:t>
      </w:r>
      <w:r>
        <w:t xml:space="preserve"> </w:t>
      </w:r>
      <w:r>
        <w:t xml:space="preserve">&lt; 0.05) - feeling Crummy in the Self-Paced Task. The ED group exhibited higher negative affect (feeling crummy) in the Rest condition of the Self-Paced Task (i.e. when asked to ingest a milkshake and then rest), which may to be mitigated by the opportunity to exercise (see Supplemental</w:t>
      </w:r>
      <w:r>
        <w:t xml:space="preserve"> </w:t>
      </w:r>
      <w:r>
        <w:rPr>
          <w:b/>
          <w:bCs/>
        </w:rPr>
        <w:t xml:space="preserve">?@fig-affectemm</w:t>
      </w:r>
      <w:r>
        <w:t xml:space="preserve">). While not detected in this pilot sample, there is also possible trend toward increased enthusiasm in the ED group in the Prescribed Task, relative to a decrease in enthusiasm in the control group.</w:t>
      </w:r>
    </w:p>
    <w:p>
      <w:pPr>
        <w:pStyle w:val="BodyText"/>
      </w:pPr>
      <w:r>
        <w:t xml:space="preserve">Evaluations of the between and within subject variance across groups via introducing additional random effects and comparing nested models indicated potentially higher within subject variance in fatigue and calmenss during the Prescribed Task and enthusiasm and crumminess during the Self-Paced Task among the ED group, relative to the HC group (see Supplemental</w:t>
      </w:r>
      <w:r>
        <w:t xml:space="preserve"> </w:t>
      </w:r>
      <w:r>
        <w:rPr>
          <w:b/>
          <w:bCs/>
        </w:rPr>
        <w:t xml:space="preserve">?@tbl-affectHOV</w:t>
      </w:r>
      <w:r>
        <w:t xml:space="preserve">).</w:t>
      </w:r>
    </w:p>
    <w:bookmarkEnd w:id="34"/>
    <w:bookmarkStart w:id="35" w:name="within-ed-group-model"/>
    <w:p>
      <w:pPr>
        <w:pStyle w:val="Heading4"/>
      </w:pPr>
      <w:r>
        <w:t xml:space="preserve">Within ED Group Model</w:t>
      </w:r>
    </w:p>
    <w:p>
      <w:pPr>
        <w:pStyle w:val="FirstParagraph"/>
      </w:pPr>
      <w:r>
        <w:t xml:space="preserve">Model fit indices for each variable and task are presented in Supplmental</w:t>
      </w:r>
      <w:r>
        <w:t xml:space="preserve"> </w:t>
      </w:r>
      <w:r>
        <w:rPr>
          <w:b/>
          <w:bCs/>
        </w:rPr>
        <w:t xml:space="preserve">?@tbl-AffectModFit</w:t>
      </w:r>
      <w:r>
        <w:t xml:space="preserve">. Marginal</w:t>
      </w:r>
      <w:r>
        <w:t xml:space="preserve"> </w:t>
      </w:r>
      <m:oMath>
        <m:sSup>
          <m:e>
            <m:r>
              <m:t>R</m:t>
            </m:r>
          </m:e>
          <m:sup>
            <m:r>
              <m:t>2</m:t>
            </m:r>
          </m:sup>
        </m:sSup>
      </m:oMath>
      <w:r>
        <w:t xml:space="preserve"> </w:t>
      </w:r>
      <w:r>
        <w:t xml:space="preserve">values indicate that fixed effects specified in the current models are, together, accounting for 5-22% of variance in affect during the course of the task, depending on task and variable. Results within the ED group are presented in Supplemental</w:t>
      </w:r>
      <w:r>
        <w:t xml:space="preserve"> </w:t>
      </w:r>
      <w:r>
        <w:rPr>
          <w:b/>
          <w:bCs/>
        </w:rPr>
        <w:t xml:space="preserve">?@tbl-affectED</w:t>
      </w:r>
      <w:r>
        <w:t xml:space="preserve">. A Time x Condition effect emerged for calmness during the Prescribed Task and fatigue during the Self-Paced Task. Individuals with EDs reported feeling less calm and more fatigued over time during exercise vs. rest. Further, older age was associated with feeling less crummy during both tasks and less Fatigued during the Prescribed task. There were no BMI or BMI x Condition effects, indicating limited impact of BMI on affect during exercise among the ED group.</w:t>
      </w:r>
    </w:p>
    <w:bookmarkEnd w:id="35"/>
    <w:bookmarkEnd w:id="36"/>
    <w:bookmarkStart w:id="40" w:name="body-image"/>
    <w:p>
      <w:pPr>
        <w:pStyle w:val="Heading3"/>
      </w:pPr>
      <w:r>
        <w:t xml:space="preserve">Body Image</w:t>
      </w:r>
    </w:p>
    <w:bookmarkStart w:id="37" w:name="descriptives-1"/>
    <w:p>
      <w:pPr>
        <w:pStyle w:val="Heading4"/>
      </w:pPr>
      <w:r>
        <w:t xml:space="preserve">Descriptives</w:t>
      </w:r>
    </w:p>
    <w:p>
      <w:pPr>
        <w:pStyle w:val="FirstParagraph"/>
      </w:pPr>
      <w:r>
        <w:t xml:space="preserve">Average levels of change from 0 to 30 minutes is presented in</w:t>
      </w:r>
      <w:r>
        <w:t xml:space="preserve"> </w:t>
      </w:r>
      <w:hyperlink w:anchor="fig-ChangePlots-2">
        <w:r>
          <w:rPr>
            <w:rStyle w:val="Hyperlink"/>
          </w:rPr>
          <w:t xml:space="preserve">Figure 1 (b)</w:t>
        </w:r>
      </w:hyperlink>
      <w:r>
        <w:t xml:space="preserve">. Visual depiction of raw changes in body image changes during exercise across groups is presented in Supplemental</w:t>
      </w:r>
      <w:r>
        <w:t xml:space="preserve"> </w:t>
      </w:r>
      <w:r>
        <w:rPr>
          <w:b/>
          <w:bCs/>
        </w:rPr>
        <w:t xml:space="preserve">?@fig-BISSChange</w:t>
      </w:r>
      <w:r>
        <w:t xml:space="preserve">, along with variance in body image across groups are presented. All specific values for average levels of change across groups (30 min vs. BL), maximum increases and maximum decreases from baseline, and variance are presented in Supplemental</w:t>
      </w:r>
      <w:r>
        <w:t xml:space="preserve"> </w:t>
      </w:r>
      <w:r>
        <w:rPr>
          <w:b/>
          <w:bCs/>
        </w:rPr>
        <w:t xml:space="preserve">?@tbl-BISSChange</w:t>
      </w:r>
      <w:r>
        <w:t xml:space="preserve">. Patterns of results indicate that individuals in the ED group consistently feel worse about their bodies, although exercise does have some impact on body image. In all measures, the ED group had greater improvements in body image during exercise, as compared to controls. Change indicators suggest (ED vs. HC Cohen’s d &gt; .2) that individuals with EDs specifically feel better about their weight, looks, and appearance, as well as feeling better on average and feeling better than the average person after self-paced exercise and better on average after prescribed exercise. Effect sizes favored self-paced vs. prescribed exercise – particularly for feeling better about weight and average scores – in the ED group.</w:t>
      </w:r>
    </w:p>
    <w:bookmarkEnd w:id="37"/>
    <w:bookmarkStart w:id="38" w:name="overall-model-1"/>
    <w:p>
      <w:pPr>
        <w:pStyle w:val="Heading4"/>
      </w:pPr>
      <w:r>
        <w:t xml:space="preserve">Overall Model</w:t>
      </w:r>
    </w:p>
    <w:p>
      <w:pPr>
        <w:pStyle w:val="FirstParagraph"/>
      </w:pPr>
      <w:r>
        <w:t xml:space="preserve">Model fit indices for each variable and task are presented in Supplmental</w:t>
      </w:r>
      <w:r>
        <w:t xml:space="preserve"> </w:t>
      </w:r>
      <w:r>
        <w:rPr>
          <w:b/>
          <w:bCs/>
        </w:rPr>
        <w:t xml:space="preserve">?@tbl-BISSModFit</w:t>
      </w:r>
      <w:r>
        <w:t xml:space="preserve">. Marginal</w:t>
      </w:r>
      <w:r>
        <w:t xml:space="preserve"> </w:t>
      </w:r>
      <m:oMath>
        <m:sSup>
          <m:e>
            <m:r>
              <m:t>R</m:t>
            </m:r>
          </m:e>
          <m:sup>
            <m:r>
              <m:t>2</m:t>
            </m:r>
          </m:sup>
        </m:sSup>
      </m:oMath>
      <w:r>
        <w:t xml:space="preserve"> </w:t>
      </w:r>
      <w:r>
        <w:t xml:space="preserve">values indicate that fixed effects specified in the current models are, together, accounting for 6-39% of variance in body image during exercise across variable and task. Results from each variable in the overall model (see</w:t>
      </w:r>
      <w:r>
        <w:t xml:space="preserve"> </w:t>
      </w:r>
      <w:hyperlink w:anchor="tbl-params">
        <w:r>
          <w:rPr>
            <w:rStyle w:val="Hyperlink"/>
          </w:rPr>
          <w:t xml:space="preserve">Table 2</w:t>
        </w:r>
      </w:hyperlink>
      <w:r>
        <w:t xml:space="preserve">) are presented in Supplemental</w:t>
      </w:r>
      <w:r>
        <w:t xml:space="preserve"> </w:t>
      </w:r>
      <w:r>
        <w:rPr>
          <w:b/>
          <w:bCs/>
        </w:rPr>
        <w:t xml:space="preserve">?@tbl-bodyimage</w:t>
      </w:r>
      <w:r>
        <w:t xml:space="preserve"> </w:t>
      </w:r>
      <w:r>
        <w:t xml:space="preserve">with estimated marginal means for each timepoint presented in</w:t>
      </w:r>
      <w:r>
        <w:t xml:space="preserve"> </w:t>
      </w:r>
      <w:r>
        <w:rPr>
          <w:b/>
          <w:bCs/>
        </w:rPr>
        <w:t xml:space="preserve">?@fig-bissemm</w:t>
      </w:r>
      <w:r>
        <w:t xml:space="preserve">. Group was a significant predictor of all body image items – with the HC group feeling better about their body, relative to the ED group. Higher BMI was associated with feeling less attractive than the average person, but there were no significant BMI x Condition effects, indicating that exercise did not influence this effect. There was an overall time effect several items during the Self-Paced Task, with individuals generally feeling better over time. There was also a Group x Time interaction for the BISS average and Weight during the Prescribed Task, such that individuals in the ED group had greater increases in average BISS scores along with feelings about their Weight relative to controls. Two Time x Condition x Group interactions emerged. Coupled with an interpretation of marginal means (Supplemental</w:t>
      </w:r>
      <w:r>
        <w:t xml:space="preserve"> </w:t>
      </w:r>
      <w:r>
        <w:rPr>
          <w:b/>
          <w:bCs/>
        </w:rPr>
        <w:t xml:space="preserve">?@fig-bissemm</w:t>
      </w:r>
      <w:r>
        <w:t xml:space="preserve">) , these interactions indicate that the ED group had more positive increases in feelings about their weight and overall body image during self-paced exercise, relative to the HC group. Evaluations of variance across the two groups also indicates more within person variance in the ED group, as compared to the HC group, on most BISS measurements during exercise (see Supplemental</w:t>
      </w:r>
      <w:r>
        <w:t xml:space="preserve"> </w:t>
      </w:r>
      <w:r>
        <w:rPr>
          <w:b/>
          <w:bCs/>
        </w:rPr>
        <w:t xml:space="preserve">?@tbl-bissHOV</w:t>
      </w:r>
      <w:r>
        <w:t xml:space="preserve">).</w:t>
      </w:r>
    </w:p>
    <w:bookmarkEnd w:id="38"/>
    <w:bookmarkStart w:id="39" w:name="within-ed-group-model-1"/>
    <w:p>
      <w:pPr>
        <w:pStyle w:val="Heading4"/>
      </w:pPr>
      <w:r>
        <w:t xml:space="preserve">Within ED Group Model</w:t>
      </w:r>
    </w:p>
    <w:p>
      <w:pPr>
        <w:pStyle w:val="FirstParagraph"/>
      </w:pPr>
      <w:r>
        <w:t xml:space="preserve">Model fit indices for each variable and task within the ED group are presented in Supplmental</w:t>
      </w:r>
      <w:r>
        <w:t xml:space="preserve"> </w:t>
      </w:r>
      <w:r>
        <w:rPr>
          <w:b/>
          <w:bCs/>
        </w:rPr>
        <w:t xml:space="preserve">?@tbl-BISSModFit</w:t>
      </w:r>
      <w:r>
        <w:t xml:space="preserve">. Marginal</w:t>
      </w:r>
      <w:r>
        <w:t xml:space="preserve"> </w:t>
      </w:r>
      <m:oMath>
        <m:sSup>
          <m:e>
            <m:r>
              <m:t>R</m:t>
            </m:r>
          </m:e>
          <m:sup>
            <m:r>
              <m:t>2</m:t>
            </m:r>
          </m:sup>
        </m:sSup>
      </m:oMath>
      <w:r>
        <w:t xml:space="preserve"> </w:t>
      </w:r>
      <w:r>
        <w:t xml:space="preserve">values indicate that fixed effects specified in the current models are, together, accounting for 4-15% of variance in body image during exercise across variable and task. Results for each model within the ED group are presented in Supplemental</w:t>
      </w:r>
      <w:r>
        <w:t xml:space="preserve"> </w:t>
      </w:r>
      <w:r>
        <w:rPr>
          <w:b/>
          <w:bCs/>
        </w:rPr>
        <w:t xml:space="preserve">?@tbl-biss-ed</w:t>
      </w:r>
      <w:r>
        <w:t xml:space="preserve">. A Time effect emerged for Weight and Appearance in the Prescribed Task – individuals felt better about these aspects of body image as the task progressed, regardless of condition (Exercise vs. Rest).</w:t>
      </w:r>
    </w:p>
    <w:bookmarkEnd w:id="39"/>
    <w:bookmarkEnd w:id="40"/>
    <w:bookmarkStart w:id="48" w:name="biomarker-response"/>
    <w:p>
      <w:pPr>
        <w:pStyle w:val="Heading3"/>
      </w:pPr>
      <w:r>
        <w:t xml:space="preserve">Biomarker Response</w:t>
      </w:r>
    </w:p>
    <w:bookmarkStart w:id="45" w:name="descriptives-2"/>
    <w:p>
      <w:pPr>
        <w:pStyle w:val="Heading4"/>
      </w:pPr>
      <w:r>
        <w:t xml:space="preserve">Descriptives</w:t>
      </w:r>
    </w:p>
    <w:p>
      <w:pPr>
        <w:pStyle w:val="FirstParagraph"/>
      </w:pPr>
      <w:r>
        <w:t xml:space="preserve">Biomakers were obtained for only a portion of the sample as this study served as a pilot trial and included ongoing phlebotemy training for study team members. Blood was therefore obtained only when a phlebotomist was available, and precautions were taken to ensure that participants were not overly distressed by the procedure. As such, the sample size for biomarker data (N = 58 successful blood draws with assays that passed initial quality control measures across pre- and post-exercise and pre- and post-rest; with complete data from 9 ED and 7 control participants) is smaller than the overall sample size. A visual depiction of biomarker response is presented in</w:t>
      </w:r>
      <w:r>
        <w:t xml:space="preserve"> </w:t>
      </w:r>
      <w:hyperlink w:anchor="fig-biomarker">
        <w:r>
          <w:rPr>
            <w:rStyle w:val="Hyperlink"/>
          </w:rPr>
          <w:t xml:space="preserve">Figure 2</w:t>
        </w:r>
      </w:hyperlink>
      <w:r>
        <w:t xml:space="preserve">. Detailed responses are presented in</w:t>
      </w:r>
      <w:r>
        <w:t xml:space="preserve"> </w:t>
      </w:r>
      <w:r>
        <w:rPr>
          <w:b/>
          <w:bCs/>
        </w:rPr>
        <w:t xml:space="preserve">?@fig-biomarker1</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biomarker"/>
          <w:p>
            <w:pPr>
              <w:pStyle w:val="Compact"/>
              <w:jc w:val="center"/>
            </w:pPr>
            <w:r>
              <w:drawing>
                <wp:inline>
                  <wp:extent cx="5334000" cy="3200399"/>
                  <wp:effectExtent b="0" l="0" r="0" t="0"/>
                  <wp:docPr descr="" title="" id="42" name="Picture"/>
                  <a:graphic>
                    <a:graphicData uri="http://schemas.openxmlformats.org/drawingml/2006/picture">
                      <pic:pic>
                        <pic:nvPicPr>
                          <pic:cNvPr descr="figs/4.biomarkers/Assay_summary_results_exonly.png" id="43" name="Picture"/>
                          <pic:cNvPicPr>
                            <a:picLocks noChangeArrowheads="1" noChangeAspect="1"/>
                          </pic:cNvPicPr>
                        </pic:nvPicPr>
                        <pic:blipFill>
                          <a:blip r:embed="rId41"/>
                          <a:stretch>
                            <a:fillRect/>
                          </a:stretch>
                        </pic:blipFill>
                        <pic:spPr bwMode="auto">
                          <a:xfrm>
                            <a:off x="0" y="0"/>
                            <a:ext cx="5334000" cy="32003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Biomarker Measurements Before and After Exercise</w:t>
            </w:r>
          </w:p>
          <w:bookmarkEnd w:id="44"/>
        </w:tc>
      </w:tr>
    </w:tbl>
    <w:bookmarkEnd w:id="45"/>
    <w:bookmarkStart w:id="46" w:name="overall-model-2"/>
    <w:p>
      <w:pPr>
        <w:pStyle w:val="Heading4"/>
      </w:pPr>
      <w:r>
        <w:t xml:space="preserve">Overall Model</w:t>
      </w:r>
    </w:p>
    <w:p>
      <w:pPr>
        <w:pStyle w:val="FirstParagraph"/>
      </w:pPr>
      <w:r>
        <w:t xml:space="preserve">Full t-test results across both exercise and rest conditions along with tests of heterogeneity of variance in exercise condition response across the ED and Control group using each outcome approach are presented in Supplementary</w:t>
      </w:r>
      <w:r>
        <w:t xml:space="preserve"> </w:t>
      </w:r>
      <w:r>
        <w:rPr>
          <w:b/>
          <w:bCs/>
        </w:rPr>
        <w:t xml:space="preserve">?@tbl-BiomarkerChange</w:t>
      </w:r>
      <w:r>
        <w:t xml:space="preserve">.</w:t>
      </w:r>
    </w:p>
    <w:bookmarkEnd w:id="46"/>
    <w:bookmarkStart w:id="47" w:name="within-ed-group-model-2"/>
    <w:p>
      <w:pPr>
        <w:pStyle w:val="Heading4"/>
      </w:pPr>
      <w:r>
        <w:t xml:space="preserve">Within ED Group Model</w:t>
      </w:r>
    </w:p>
    <w:p>
      <w:pPr>
        <w:pStyle w:val="FirstParagraph"/>
      </w:pPr>
      <w:r>
        <w:t xml:space="preserve">Full t-test results across both exercise and rest conditions using each outcome approach are presented in Supplementary</w:t>
      </w:r>
      <w:r>
        <w:t xml:space="preserve"> </w:t>
      </w:r>
      <w:r>
        <w:rPr>
          <w:b/>
          <w:bCs/>
        </w:rPr>
        <w:t xml:space="preserve">?@tbl-BiomarkerChangeED</w:t>
      </w:r>
      <w:r>
        <w:t xml:space="preserve">. Although there were no significant differences between the ED and Control group in the overall model, effect sizes indicate that BNDF may show specific increases in the ED group post-exercise, relative to the Control group.</w:t>
      </w:r>
    </w:p>
    <w:bookmarkEnd w:id="47"/>
    <w:bookmarkEnd w:id="48"/>
    <w:bookmarkEnd w:id="49"/>
    <w:bookmarkStart w:id="56" w:name="aim-3-exercise-response-correlations"/>
    <w:p>
      <w:pPr>
        <w:pStyle w:val="Heading2"/>
      </w:pPr>
      <w:r>
        <w:rPr>
          <w:b/>
          <w:bCs/>
        </w:rPr>
        <w:t xml:space="preserve">Aim 3: Exercise Response Correlations</w:t>
      </w:r>
    </w:p>
    <w:p>
      <w:pPr>
        <w:pStyle w:val="FirstParagraph"/>
      </w:pPr>
      <w:r>
        <w:rPr>
          <w:i/>
          <w:iCs/>
        </w:rPr>
        <w:t xml:space="preserve">Within the ED group, we will calculate correlations between acute exercise parameters/response and ED-related measures. We will conduct a linear regression to obtain slope estimates for affect and body image shifts for each individual, within exercise condition. We will also conduct a linear regression estimating post-biomarker scores across all individuals with EDs in the exercise condition, saving residuals.</w:t>
      </w:r>
    </w:p>
    <w:p>
      <w:pPr>
        <w:pStyle w:val="BodyText"/>
      </w:pPr>
      <w:r>
        <w:rPr>
          <w:i/>
          <w:iCs/>
        </w:rPr>
        <w:t xml:space="preserve">We will quantify Pearson correlations with 95% confidence intervals between these slope estimates, biomarker residuals, Self-Paced Task exercise parameters (e.g., average bike speed, HR), functions of exercise subscales, self-report of compulsive exercise, and EDE global scores. We will estimate Pearson correlations and 95% confidence intervals for these correlations.</w:t>
      </w:r>
    </w:p>
    <w:bookmarkStart w:id="50" w:name="exercise-response"/>
    <w:p>
      <w:pPr>
        <w:pStyle w:val="Heading3"/>
      </w:pPr>
      <w:r>
        <w:t xml:space="preserve">Exercise Response</w:t>
      </w:r>
    </w:p>
    <w:p>
      <w:pPr>
        <w:pStyle w:val="FirstParagraph"/>
      </w:pPr>
      <w:r>
        <w:t xml:space="preserve">Correlations between acute exercise response variables are presented in Supplemental</w:t>
      </w:r>
      <w:r>
        <w:t xml:space="preserve"> </w:t>
      </w:r>
      <w:r>
        <w:rPr>
          <w:b/>
          <w:bCs/>
        </w:rPr>
        <w:t xml:space="preserve">?@fig-exresponse</w:t>
      </w:r>
      <w:r>
        <w:t xml:space="preserve">, and full correlation data with 95% CIs is presented in Supplemental</w:t>
      </w:r>
      <w:r>
        <w:t xml:space="preserve"> </w:t>
      </w:r>
      <w:r>
        <w:rPr>
          <w:b/>
          <w:bCs/>
        </w:rPr>
        <w:t xml:space="preserve">?@tbl-exresponsecorrs</w:t>
      </w:r>
      <w:r>
        <w:t xml:space="preserve">. Average zero-order</w:t>
      </w:r>
      <w:r>
        <w:t xml:space="preserve"> </w:t>
      </w:r>
      <m:oMath>
        <m:sSup>
          <m:e>
            <m:r>
              <m:t>r</m:t>
            </m:r>
          </m:e>
          <m:sup>
            <m:r>
              <m:t>2</m:t>
            </m:r>
          </m:sup>
        </m:sSup>
      </m:oMath>
      <w:r>
        <w:t xml:space="preserve"> </w:t>
      </w:r>
      <w:r>
        <w:t xml:space="preserve">between exercise response variables in the control group is 0.14 and in the ED group is 0.19, indicating slightly stronger association between exercise response variables in the ED group, relative to the control group, with little evidence of collinearity across exercise response measures – indicating an independence and potential unique utility of exercise response measures across the three domains of assessment. Of the number of correlations tested, 6% reached p &lt; 0.05 significance for controls (close to this alpha), while 14% reached p &lt; 0.05 significance for the ED group, further supporting greater coherence of exercise response measures in the ED group.</w:t>
      </w:r>
    </w:p>
    <w:bookmarkEnd w:id="50"/>
    <w:bookmarkStart w:id="55" w:name="correlations-with-additional-variables"/>
    <w:p>
      <w:pPr>
        <w:pStyle w:val="Heading3"/>
      </w:pPr>
      <w:r>
        <w:t xml:space="preserve">Correlations with Additional Variables</w:t>
      </w:r>
    </w:p>
    <w:p>
      <w:pPr>
        <w:pStyle w:val="FirstParagraph"/>
      </w:pPr>
      <w:r>
        <w:t xml:space="preserve">Correlations between body image response to exercise with key variables of interest are presented in</w:t>
      </w:r>
      <w:r>
        <w:t xml:space="preserve"> </w:t>
      </w:r>
      <w:hyperlink w:anchor="fig-exresponse2">
        <w:r>
          <w:rPr>
            <w:rStyle w:val="Hyperlink"/>
          </w:rPr>
          <w:t xml:space="preserve">Figure 3</w:t>
        </w:r>
      </w:hyperlink>
      <w:r>
        <w:t xml:space="preserve">. Full correlation data with 95% CIs is presented in</w:t>
      </w:r>
      <w:r>
        <w:t xml:space="preserve"> </w:t>
      </w:r>
      <w:r>
        <w:rPr>
          <w:b/>
          <w:bCs/>
        </w:rPr>
        <w:t xml:space="preserve">?@tbl-exresponsecorrs2</w:t>
      </w:r>
      <w:r>
        <w:t xml:space="preserve">. Average zero-order</w:t>
      </w:r>
      <w:r>
        <w:t xml:space="preserve"> </w:t>
      </w:r>
      <m:oMath>
        <m:sSup>
          <m:e>
            <m:r>
              <m:t>r</m:t>
            </m:r>
          </m:e>
          <m:sup>
            <m:r>
              <m:t>2</m:t>
            </m:r>
          </m:sup>
        </m:sSup>
      </m:oMath>
      <w:r>
        <w:t xml:space="preserve"> </w:t>
      </w:r>
      <w:r>
        <w:t xml:space="preserve">between acute exercise response and key variables of interest in the control group is 0.08 and in the ED group is 0.09. For only those in the ED group only, greater body image response to acute exercise was associated with key variables, including higher self-reported drive for muscularity, lower social positive reinforcement of exercise, and lower body mass index. More improvement in feelings about Shape during exercise were</w:t>
      </w:r>
      <w:r>
        <w:t xml:space="preserve"> </w:t>
      </w:r>
      <w:r>
        <w:rPr>
          <w:i/>
          <w:iCs/>
        </w:rPr>
        <w:t xml:space="preserve">negatively</w:t>
      </w:r>
      <w:r>
        <w:t xml:space="preserve"> </w:t>
      </w:r>
      <w:r>
        <w:t xml:space="preserve">associated with EDE global scores for controls.</w:t>
      </w:r>
    </w:p>
    <w:tbl>
      <w:tblPr>
        <w:tblStyle w:val="Table"/>
        <w:tblW w:type="pct" w:w="5000"/>
        <w:tblLayout w:type="fixed"/>
        <w:tblLook w:firstRow="0" w:lastRow="0" w:firstColumn="0" w:lastColumn="0" w:noHBand="0" w:noVBand="0" w:val="0000"/>
      </w:tblPr>
      <w:tblGrid>
        <w:gridCol w:w="7920"/>
      </w:tblGrid>
      <w:tr>
        <w:tc>
          <w:tcPr/>
          <w:bookmarkStart w:id="54" w:name="fig-exresponse2"/>
          <w:p>
            <w:pPr>
              <w:pStyle w:val="Compact"/>
              <w:jc w:val="center"/>
            </w:pPr>
            <w:r>
              <w:drawing>
                <wp:inline>
                  <wp:extent cx="5334000" cy="6667499"/>
                  <wp:effectExtent b="0" l="0" r="0" t="0"/>
                  <wp:docPr descr="" title="" id="52" name="Picture"/>
                  <a:graphic>
                    <a:graphicData uri="http://schemas.openxmlformats.org/drawingml/2006/picture">
                      <pic:pic>
                        <pic:nvPicPr>
                          <pic:cNvPr descr="figs/5.correlations/3.3.4.Corr_Plot_Mini.png" id="53" name="Picture"/>
                          <pic:cNvPicPr>
                            <a:picLocks noChangeArrowheads="1" noChangeAspect="1"/>
                          </pic:cNvPicPr>
                        </pic:nvPicPr>
                        <pic:blipFill>
                          <a:blip r:embed="rId51"/>
                          <a:stretch>
                            <a:fillRect/>
                          </a:stretch>
                        </pic:blipFill>
                        <pic:spPr bwMode="auto">
                          <a:xfrm>
                            <a:off x="0" y="0"/>
                            <a:ext cx="5334000" cy="6667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Correlations between Exercise Response and Individual Difference Variables</w:t>
            </w:r>
          </w:p>
          <w:bookmarkEnd w:id="54"/>
        </w:tc>
      </w:tr>
    </w:tbl>
    <w:bookmarkEnd w:id="55"/>
    <w:bookmarkEnd w:id="56"/>
    <w:bookmarkEnd w:id="57"/>
    <w:bookmarkStart w:id="60" w:name="supplement"/>
    <w:p>
      <w:pPr>
        <w:pStyle w:val="Heading1"/>
      </w:pPr>
      <w:r>
        <w:t xml:space="preserve">Supplement</w:t>
      </w:r>
    </w:p>
    <w:bookmarkStart w:id="59" w:name="study-flow"/>
    <w:p>
      <w:pPr>
        <w:pStyle w:val="Heading3"/>
      </w:pPr>
      <w:r>
        <w:t xml:space="preserve">Study Flow</w:t>
      </w:r>
    </w:p>
    <w:tbl>
      <w:tblPr>
        <w:tblStyle w:val="Table"/>
        <w:tblW w:type="pct" w:w="5000"/>
        <w:tblLayout w:type="fixed"/>
        <w:tblLook w:firstRow="0" w:lastRow="0" w:firstColumn="0" w:lastColumn="0" w:noHBand="0" w:noVBand="0" w:val="0000"/>
      </w:tblPr>
      <w:tblGrid>
        <w:gridCol w:w="7920"/>
      </w:tblGrid>
      <w:tr>
        <w:tc>
          <w:tcPr/>
          <w:bookmarkStart w:id="58" w:name="tbl-aim1"/>
          <w:p>
            <w:pPr>
              <w:jc w:val="center"/>
            </w:pPr>
            <w:pPr>
              <w:jc w:val="start"/>
              <w:spacing w:before="200"/>
              <w:pStyle w:val="ImageCaption"/>
            </w:pPr>
            <w:r>
              <w:t xml:space="preserve">Table 3:</w:t>
            </w:r>
            <w:r>
              <w:t xml:space="preserve"> </w:t>
            </w:r>
            <w:r>
              <w:rPr>
                <w:b/>
                <w:bCs/>
              </w:rPr>
              <w:t xml:space="preserve">Study Flow</w:t>
            </w:r>
          </w:p>
          <w:tbl>
            <w:tblPr>
              <w:tblStyle w:val="Table"/>
              <w:tblW w:type="pct" w:w="5000"/>
              <w:tblLayout w:type="fixed"/>
              <w:tblLook w:firstRow="1" w:lastRow="0" w:firstColumn="0" w:lastColumn="0" w:noHBand="0" w:noVBand="0" w:val="0020"/>
            </w:tblPr>
            <w:tblGrid>
              <w:gridCol w:w="1952"/>
              <w:gridCol w:w="1952"/>
              <w:gridCol w:w="4014"/>
            </w:tblGrid>
            <w:tr>
              <w:trPr>
                <w:tblHeader w:val="on"/>
              </w:trPr>
              <w:tc>
                <w:tcPr/>
                <w:p>
                  <w:pPr>
                    <w:pStyle w:val="Compact"/>
                    <w:jc w:val="left"/>
                    <w:jc w:val="center"/>
                  </w:pPr>
                  <w:r>
                    <w:rPr>
                      <w:b/>
                      <w:bCs/>
                    </w:rPr>
                    <w:t xml:space="preserve">Inflow/Retention</w:t>
                  </w:r>
                </w:p>
              </w:tc>
              <w:tc>
                <w:tcPr/>
                <w:p>
                  <w:pPr>
                    <w:pStyle w:val="Compact"/>
                    <w:jc w:val="left"/>
                    <w:jc w:val="center"/>
                  </w:pPr>
                  <w:r>
                    <w:t xml:space="preserve">Outflow</w:t>
                  </w:r>
                </w:p>
              </w:tc>
              <w:tc>
                <w:tcPr/>
                <w:p>
                  <w:pPr>
                    <w:pStyle w:val="Compact"/>
                    <w:jc w:val="left"/>
                    <w:jc w:val="center"/>
                  </w:pPr>
                  <w:r>
                    <w:t xml:space="preserve">Reason</w:t>
                  </w:r>
                </w:p>
              </w:tc>
            </w:tr>
            <w:tr>
              <w:tc>
                <w:tcPr/>
                <w:p>
                  <w:pPr>
                    <w:pStyle w:val="Compact"/>
                    <w:jc w:val="left"/>
                    <w:jc w:val="center"/>
                  </w:pPr>
                  <w:r>
                    <w:rPr>
                      <w:b/>
                      <w:bCs/>
                    </w:rPr>
                    <w:t xml:space="preserve">Eligibility Screenings (n = 321)</w:t>
                  </w:r>
                </w:p>
              </w:tc>
              <w:tc>
                <w:tcPr/>
                <w:p>
                  <w:pPr>
                    <w:pStyle w:val="Compact"/>
                    <w:jc w:val="left"/>
                    <w:jc w:val="center"/>
                  </w:pPr>
                  <w:r>
                    <w:t xml:space="preserve">Ineligible screenings (n = 41)</w:t>
                  </w:r>
                </w:p>
              </w:tc>
              <w:tc>
                <w:tcPr/>
                <w:p>
                  <w:pPr>
                    <w:pStyle w:val="Compact"/>
                    <w:jc w:val="left"/>
                    <w:jc w:val="center"/>
                  </w:pPr>
                  <w:r>
                    <w:t xml:space="preserve">Duplicates (n = 8)</w:t>
                  </w:r>
                  <w:r>
                    <w:t xml:space="preserve"> </w:t>
                  </w:r>
                  <w:r>
                    <w:t xml:space="preserve">Outside of age range (n = 11)</w:t>
                  </w:r>
                  <w:r>
                    <w:t xml:space="preserve"> </w:t>
                  </w:r>
                  <w:r>
                    <w:t xml:space="preserve">Binge eating reported (n = 5)</w:t>
                  </w:r>
                  <w:r>
                    <w:t xml:space="preserve"> </w:t>
                  </w:r>
                  <w:r>
                    <w:t xml:space="preserve">Unable to attend in-person visits (n = 5)</w:t>
                  </w:r>
                  <w:r>
                    <w:t xml:space="preserve"> </w:t>
                  </w:r>
                  <w:r>
                    <w:t xml:space="preserve">Medical Exclusion (n = 3)</w:t>
                  </w:r>
                  <w:r>
                    <w:t xml:space="preserve"> </w:t>
                  </w:r>
                  <w:r>
                    <w:t xml:space="preserve">Blood Draw (n = 3)</w:t>
                  </w:r>
                  <w:r>
                    <w:t xml:space="preserve"> </w:t>
                  </w:r>
                  <w:r>
                    <w:t xml:space="preserve">Other (n = 6)</w:t>
                  </w:r>
                </w:p>
              </w:tc>
            </w:tr>
            <w:tr>
              <w:tc>
                <w:tcPr/>
                <w:p>
                  <w:pPr>
                    <w:pStyle w:val="Compact"/>
                    <w:jc w:val="left"/>
                    <w:jc w:val="center"/>
                  </w:pPr>
                  <w:r>
                    <w:rPr>
                      <w:b/>
                      <w:bCs/>
                    </w:rPr>
                    <w:t xml:space="preserve">Intake (n = 70)</w:t>
                  </w:r>
                </w:p>
              </w:tc>
              <w:tc>
                <w:tcPr/>
                <w:p>
                  <w:pPr>
                    <w:pStyle w:val="Compact"/>
                    <w:jc w:val="left"/>
                    <w:jc w:val="center"/>
                  </w:pPr>
                  <w:r>
                    <w:t xml:space="preserve">Did not schedule Intake (n = 127)</w:t>
                  </w:r>
                </w:p>
              </w:tc>
              <w:tc>
                <w:tcPr/>
                <w:p>
                  <w:pPr>
                    <w:pStyle w:val="Compact"/>
                    <w:jc w:val="left"/>
                    <w:jc w:val="center"/>
                  </w:pPr>
                  <w:r>
                    <w:t xml:space="preserve"> </w:t>
                  </w:r>
                </w:p>
              </w:tc>
            </w:tr>
            <w:tr>
              <w:tc>
                <w:tcPr/>
                <w:p>
                  <w:pPr>
                    <w:pStyle w:val="Compact"/>
                    <w:jc w:val="left"/>
                    <w:jc w:val="center"/>
                  </w:pPr>
                  <w:r>
                    <w:t xml:space="preserve"> </w:t>
                  </w:r>
                </w:p>
              </w:tc>
              <w:tc>
                <w:tcPr/>
                <w:p>
                  <w:pPr>
                    <w:pStyle w:val="Compact"/>
                    <w:jc w:val="left"/>
                    <w:jc w:val="center"/>
                  </w:pPr>
                  <w:r>
                    <w:t xml:space="preserve">Ineligible intakes (n = 10)</w:t>
                  </w:r>
                </w:p>
              </w:tc>
              <w:tc>
                <w:tcPr/>
                <w:p>
                  <w:pPr>
                    <w:pStyle w:val="Compact"/>
                    <w:jc w:val="left"/>
                    <w:jc w:val="center"/>
                  </w:pPr>
                  <w:r>
                    <w:t xml:space="preserve">Binge Eating Disorder (n = 7)</w:t>
                  </w:r>
                  <w:r>
                    <w:t xml:space="preserve"> </w:t>
                  </w:r>
                  <w:r>
                    <w:t xml:space="preserve">ARFID (n = 1)</w:t>
                  </w:r>
                  <w:r>
                    <w:t xml:space="preserve"> </w:t>
                  </w:r>
                  <w:r>
                    <w:t xml:space="preserve">Bipolar 1 Disorder (n = 1)</w:t>
                  </w:r>
                  <w:r>
                    <w:t xml:space="preserve"> </w:t>
                  </w:r>
                  <w:r>
                    <w:t xml:space="preserve">Other (n = 1)</w:t>
                  </w:r>
                </w:p>
              </w:tc>
            </w:tr>
            <w:tr>
              <w:tc>
                <w:tcPr/>
                <w:p>
                  <w:pPr>
                    <w:pStyle w:val="Compact"/>
                    <w:jc w:val="left"/>
                    <w:jc w:val="center"/>
                  </w:pPr>
                  <w:r>
                    <w:t xml:space="preserve"> </w:t>
                  </w:r>
                </w:p>
              </w:tc>
              <w:tc>
                <w:tcPr/>
                <w:p>
                  <w:pPr>
                    <w:pStyle w:val="Compact"/>
                    <w:jc w:val="left"/>
                    <w:jc w:val="center"/>
                  </w:pPr>
                  <w:r>
                    <w:t xml:space="preserve">Did not enroll (n = 15 - HC: 5, ED: 10)</w:t>
                  </w:r>
                </w:p>
              </w:tc>
              <w:tc>
                <w:tcPr/>
                <w:p>
                  <w:pPr>
                    <w:pStyle w:val="Compact"/>
                    <w:jc w:val="left"/>
                    <w:jc w:val="center"/>
                  </w:pPr>
                  <w:r>
                    <w:t xml:space="preserve">No reason provided (n = 9)</w:t>
                  </w:r>
                  <w:r>
                    <w:t xml:space="preserve"> </w:t>
                  </w:r>
                  <w:r>
                    <w:t xml:space="preserve">Time constraint (n = 4)</w:t>
                  </w:r>
                  <w:r>
                    <w:t xml:space="preserve"> </w:t>
                  </w:r>
                  <w:r>
                    <w:t xml:space="preserve">Unforeseen circumstances (n = 2)</w:t>
                  </w:r>
                </w:p>
              </w:tc>
            </w:tr>
            <w:tr>
              <w:tc>
                <w:tcPr/>
                <w:p>
                  <w:pPr>
                    <w:pStyle w:val="Compact"/>
                    <w:jc w:val="left"/>
                    <w:jc w:val="center"/>
                  </w:pPr>
                  <w:r>
                    <w:rPr>
                      <w:b/>
                      <w:bCs/>
                    </w:rPr>
                    <w:t xml:space="preserve">Day A (n = 40)</w:t>
                  </w:r>
                </w:p>
              </w:tc>
              <w:tc>
                <w:tcPr/>
                <w:p>
                  <w:pPr>
                    <w:pStyle w:val="Compact"/>
                  </w:pPr>
                </w:p>
              </w:tc>
              <w:tc>
                <w:tcPr/>
                <w:p>
                  <w:pPr>
                    <w:pStyle w:val="Compact"/>
                    <w:jc w:val="left"/>
                    <w:jc w:val="center"/>
                  </w:pPr>
                  <w:r>
                    <w:t xml:space="preserve"> </w:t>
                  </w:r>
                </w:p>
              </w:tc>
            </w:tr>
            <w:tr>
              <w:tc>
                <w:tcPr/>
                <w:p>
                  <w:pPr>
                    <w:pStyle w:val="Compact"/>
                    <w:jc w:val="left"/>
                    <w:jc w:val="center"/>
                  </w:pPr>
                  <w:r>
                    <w:rPr>
                      <w:b/>
                      <w:bCs/>
                    </w:rPr>
                    <w:t xml:space="preserve">Day B (n = 40)</w:t>
                  </w:r>
                </w:p>
              </w:tc>
              <w:tc>
                <w:tcPr/>
                <w:p>
                  <w:pPr>
                    <w:pStyle w:val="Compact"/>
                  </w:pPr>
                </w:p>
              </w:tc>
              <w:tc>
                <w:tcPr/>
                <w:p>
                  <w:pPr>
                    <w:pStyle w:val="Compact"/>
                    <w:jc w:val="left"/>
                    <w:jc w:val="center"/>
                  </w:pPr>
                  <w:r>
                    <w:t xml:space="preserve"> </w:t>
                  </w:r>
                </w:p>
              </w:tc>
            </w:tr>
            <w:tr>
              <w:tc>
                <w:tcPr/>
                <w:p>
                  <w:pPr>
                    <w:pStyle w:val="Compact"/>
                    <w:jc w:val="left"/>
                    <w:jc w:val="center"/>
                  </w:pPr>
                  <w:r>
                    <w:rPr>
                      <w:b/>
                      <w:bCs/>
                    </w:rPr>
                    <w:t xml:space="preserve">Day C (n = 39)</w:t>
                  </w:r>
                </w:p>
              </w:tc>
              <w:tc>
                <w:tcPr/>
                <w:p>
                  <w:pPr>
                    <w:pStyle w:val="Compact"/>
                    <w:jc w:val="left"/>
                    <w:jc w:val="center"/>
                  </w:pPr>
                  <w:r>
                    <w:t xml:space="preserve">Visit dropout (n = 1)</w:t>
                  </w:r>
                </w:p>
              </w:tc>
              <w:tc>
                <w:tcPr/>
                <w:p>
                  <w:pPr>
                    <w:pStyle w:val="Compact"/>
                    <w:jc w:val="left"/>
                    <w:jc w:val="center"/>
                  </w:pPr>
                  <w:r>
                    <w:t xml:space="preserve">No reason provided (n = 1)</w:t>
                  </w:r>
                </w:p>
              </w:tc>
            </w:tr>
            <w:tr>
              <w:tc>
                <w:tcPr/>
                <w:p>
                  <w:pPr>
                    <w:pStyle w:val="Compact"/>
                    <w:jc w:val="left"/>
                    <w:jc w:val="center"/>
                  </w:pPr>
                  <w:r>
                    <w:rPr>
                      <w:b/>
                      <w:bCs/>
                    </w:rPr>
                    <w:t xml:space="preserve">Completed Study (n = 39 - HC: 20, ED: 19)</w:t>
                  </w:r>
                </w:p>
              </w:tc>
              <w:tc>
                <w:tcPr/>
                <w:p>
                  <w:pPr>
                    <w:pStyle w:val="Compact"/>
                  </w:pPr>
                </w:p>
              </w:tc>
              <w:tc>
                <w:tcPr/>
                <w:p>
                  <w:pPr>
                    <w:pStyle w:val="Compact"/>
                    <w:jc w:val="left"/>
                    <w:jc w:val="center"/>
                  </w:pPr>
                  <w:r>
                    <w:t xml:space="preserve"> </w:t>
                  </w:r>
                </w:p>
              </w:tc>
            </w:tr>
          </w:tbl>
          <w:bookmarkEnd w:id="58"/>
          <w:p/>
        </w:tc>
      </w:tr>
    </w:tbl>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41" Target="media/rId41.png" /><Relationship Type="http://schemas.openxmlformats.org/officeDocument/2006/relationships/image" Id="rId51" Target="media/rId5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MAXED Registered Report Doc</dc:title>
  <dc:creator/>
  <cp:keywords/>
  <dcterms:created xsi:type="dcterms:W3CDTF">2024-11-22T17:17:55Z</dcterms:created>
  <dcterms:modified xsi:type="dcterms:W3CDTF">2024-11-22T17:17:55Z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