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-1417.3228346456694" w:right="-1440" w:firstLine="0"/>
        <w:jc w:val="center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bookmarkStart w:colFirst="0" w:colLast="0" w:name="_mt51ulic1tj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color w:val="0b2c3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{{nombre}}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" w:cs="Prompt" w:eastAsia="Prompt" w:hAnsi="Prompt"/>
          <w:color w:val="192c55"/>
          <w:sz w:val="36"/>
          <w:szCs w:val="36"/>
        </w:rPr>
      </w:pPr>
      <w:r w:rsidDel="00000000" w:rsidR="00000000" w:rsidRPr="00000000">
        <w:rPr>
          <w:rFonts w:ascii="Prompt" w:cs="Prompt" w:eastAsia="Prompt" w:hAnsi="Prompt"/>
          <w:color w:val="192c55"/>
          <w:sz w:val="36"/>
          <w:szCs w:val="36"/>
          <w:rtl w:val="0"/>
        </w:rPr>
        <w:t xml:space="preserve">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Posición: {{posicion}}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Departamento: </w:t>
      </w: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{{departamento}}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FECHA: </w:t>
      </w:r>
      <w:r w:rsidDel="00000000" w:rsidR="00000000" w:rsidRPr="00000000">
        <w:rPr>
          <w:b w:val="1"/>
          <w:sz w:val="28"/>
          <w:szCs w:val="28"/>
          <w:rtl w:val="0"/>
        </w:rPr>
        <w:t xml:space="preserve">{{updated_date}}</w:t>
      </w:r>
    </w:p>
    <w:p w:rsidR="00000000" w:rsidDel="00000000" w:rsidP="00000000" w:rsidRDefault="00000000" w:rsidRPr="00000000" w14:paraId="0000000B">
      <w:pPr>
        <w:pStyle w:val="Title"/>
        <w:ind w:left="-1417.3228346456694" w:right="-1440" w:firstLine="0"/>
        <w:jc w:val="center"/>
        <w:rPr>
          <w:color w:val="192c55"/>
          <w:sz w:val="44"/>
          <w:szCs w:val="44"/>
        </w:rPr>
      </w:pPr>
      <w:bookmarkStart w:colFirst="0" w:colLast="0" w:name="_l5qfbz6soqpc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395224</wp:posOffset>
            </wp:positionV>
            <wp:extent cx="5943600" cy="76200"/>
            <wp:effectExtent b="0" l="0" r="0" t="0"/>
            <wp:wrapSquare wrapText="bothSides" distB="114300" distT="114300" distL="114300" distR="11430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</w:rPr>
        <w:drawing>
          <wp:inline distB="114300" distT="114300" distL="114300" distR="114300">
            <wp:extent cx="5943600" cy="1498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Este informe se basa en las respuestas de {{nombre}} ofreciendo un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punto de vista externo y objetivo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el perfil profesional.</w:t>
      </w:r>
    </w:p>
    <w:p w:rsidR="00000000" w:rsidDel="00000000" w:rsidP="00000000" w:rsidRDefault="00000000" w:rsidRPr="00000000" w14:paraId="00000010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informe recoge los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resultados de la entrevista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en profundidad y de la aplicación de técnicas de evaluación de potencial, que brindan  información de gran valor para una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mejor toma de decisiones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aspectos de desarrollo del personal.</w:t>
      </w:r>
    </w:p>
    <w:p w:rsidR="00000000" w:rsidDel="00000000" w:rsidP="00000000" w:rsidRDefault="00000000" w:rsidRPr="00000000" w14:paraId="00000012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</w:rPr>
        <w:drawing>
          <wp:inline distB="114300" distT="114300" distL="114300" distR="114300">
            <wp:extent cx="5943600" cy="368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presente informe es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CONFIDENCIAL.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Los resultados que se exponen han sido obtenidos en el contexto de un procedimiento de evaluación llevado a cabo por un profesional habilitado. Cualquier devolución sobre el mismo podrá realizarse por personal autorizado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17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04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1: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Descripción de la evaluación y  Técnicas utilizadas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2: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PERFIL DE COMPETENCIAS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267.716535433071" w:hanging="36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Fortalezas y áreas de desarrollo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3: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Motivaciones  e Intereses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160" w:hanging="360"/>
        <w:rPr>
          <w:rFonts w:ascii="Prompt" w:cs="Prompt" w:eastAsia="Prompt" w:hAnsi="Prompt"/>
          <w:color w:val="0b2c3d"/>
          <w:u w:val="none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Movilidad: (A ELECCIÓN DEL CLIENTE)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4: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 Acciones de Desarrollo </w:t>
      </w:r>
    </w:p>
    <w:p w:rsidR="00000000" w:rsidDel="00000000" w:rsidP="00000000" w:rsidRDefault="00000000" w:rsidRPr="00000000" w14:paraId="00000020">
      <w:pPr>
        <w:spacing w:line="480" w:lineRule="auto"/>
        <w:ind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5: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Anexo</w:t>
      </w:r>
    </w:p>
    <w:p w:rsidR="00000000" w:rsidDel="00000000" w:rsidP="00000000" w:rsidRDefault="00000000" w:rsidRPr="00000000" w14:paraId="00000021">
      <w:pPr>
        <w:spacing w:line="480" w:lineRule="auto"/>
        <w:ind w:firstLine="720"/>
        <w:rPr/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6: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Sobre Embat y este informe.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192c55"/>
          <w:sz w:val="44"/>
          <w:szCs w:val="44"/>
        </w:rPr>
        <w:drawing>
          <wp:inline distB="114300" distT="114300" distL="114300" distR="114300">
            <wp:extent cx="5943600" cy="76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color w:val="0b2c3d"/>
          <w:sz w:val="82"/>
          <w:szCs w:val="82"/>
        </w:rPr>
      </w:pP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45213</wp:posOffset>
            </wp:positionH>
            <wp:positionV relativeFrom="paragraph">
              <wp:posOffset>423672</wp:posOffset>
            </wp:positionV>
            <wp:extent cx="5581650" cy="152400"/>
            <wp:effectExtent b="0" l="0" r="0" t="0"/>
            <wp:wrapNone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1"/>
        <w:spacing w:before="0" w:lineRule="auto"/>
        <w:rPr>
          <w:color w:val="434343"/>
          <w:sz w:val="20"/>
          <w:szCs w:val="20"/>
        </w:rPr>
      </w:pPr>
      <w:bookmarkStart w:colFirst="0" w:colLast="0" w:name="_au51mny0sx6" w:id="2"/>
      <w:bookmarkEnd w:id="2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Descripción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Open Sans" w:cs="Open Sans" w:eastAsia="Open Sans" w:hAnsi="Open Sans"/>
          <w:color w:val="e5554f"/>
        </w:rPr>
      </w:pPr>
      <w:bookmarkStart w:colFirst="0" w:colLast="0" w:name="_j3klz18ib0l3" w:id="3"/>
      <w:bookmarkEnd w:id="3"/>
      <w:r w:rsidDel="00000000" w:rsidR="00000000" w:rsidRPr="00000000">
        <w:rPr>
          <w:rFonts w:ascii="Open Sans ExtraBold" w:cs="Open Sans ExtraBold" w:eastAsia="Open Sans ExtraBold" w:hAnsi="Open Sans ExtraBold"/>
          <w:b w:val="0"/>
          <w:color w:val="0b2c3d"/>
          <w:rtl w:val="0"/>
        </w:rPr>
        <w:t xml:space="preserve">Técnicas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3"/>
        </w:numPr>
        <w:ind w:left="720" w:hanging="360"/>
        <w:rPr>
          <w:rFonts w:ascii="Open Sans SemiBold" w:cs="Open Sans SemiBold" w:eastAsia="Open Sans SemiBold" w:hAnsi="Open Sans SemiBold"/>
          <w:color w:val="192c55"/>
          <w:sz w:val="32"/>
          <w:szCs w:val="32"/>
        </w:rPr>
      </w:pPr>
      <w:bookmarkStart w:colFirst="0" w:colLast="0" w:name="_qa3uubbuxtj8" w:id="4"/>
      <w:bookmarkEnd w:id="4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en profundidad </w:t>
      </w:r>
    </w:p>
    <w:p w:rsidR="00000000" w:rsidDel="00000000" w:rsidP="00000000" w:rsidRDefault="00000000" w:rsidRPr="00000000" w14:paraId="00000029">
      <w:pPr>
        <w:pStyle w:val="Heading2"/>
        <w:spacing w:before="0" w:line="360" w:lineRule="auto"/>
        <w:ind w:left="720" w:firstLine="0"/>
        <w:jc w:val="both"/>
        <w:rPr>
          <w:rFonts w:ascii="Open Sans" w:cs="Open Sans" w:eastAsia="Open Sans" w:hAnsi="Open Sans"/>
          <w:color w:val="695d46"/>
          <w:sz w:val="12"/>
          <w:szCs w:val="12"/>
        </w:rPr>
      </w:pPr>
      <w:bookmarkStart w:colFirst="0" w:colLast="0" w:name="_raf8hl7d06q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before="0" w:line="360" w:lineRule="auto"/>
        <w:ind w:left="720" w:firstLine="0"/>
        <w:rPr>
          <w:rFonts w:ascii="Open Sans SemiBold" w:cs="Open Sans SemiBold" w:eastAsia="Open Sans SemiBold" w:hAnsi="Open Sans SemiBold"/>
          <w:color w:val="434343"/>
          <w:sz w:val="22"/>
          <w:szCs w:val="22"/>
        </w:rPr>
      </w:pPr>
      <w:bookmarkStart w:colFirst="0" w:colLast="0" w:name="_decidpum9de9" w:id="6"/>
      <w:bookmarkEnd w:id="6"/>
      <w:r w:rsidDel="00000000" w:rsidR="00000000" w:rsidRPr="00000000">
        <w:rPr>
          <w:rFonts w:ascii="Open Sans" w:cs="Open Sans" w:eastAsia="Open Sans" w:hAnsi="Open Sans"/>
          <w:color w:val="434343"/>
          <w:sz w:val="20"/>
          <w:szCs w:val="20"/>
          <w:rtl w:val="0"/>
        </w:rPr>
        <w:t xml:space="preserve">Indagación de la trayectoria laboral, sus logros, sus motivaciones, expectativas, aspiraciones y preferencias de desarrollo.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3"/>
        </w:numPr>
        <w:spacing w:before="0" w:line="360" w:lineRule="auto"/>
        <w:ind w:left="720" w:hanging="360"/>
        <w:jc w:val="both"/>
        <w:rPr>
          <w:rFonts w:ascii="Open Sans SemiBold" w:cs="Open Sans SemiBold" w:eastAsia="Open Sans SemiBold" w:hAnsi="Open Sans SemiBold"/>
          <w:color w:val="192c55"/>
        </w:rPr>
      </w:pPr>
      <w:bookmarkStart w:colFirst="0" w:colLast="0" w:name="_l31fqe90txxp" w:id="7"/>
      <w:bookmarkEnd w:id="7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por competencias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Entrevista semiestructurada basada en indagación de comportamientos específicos que derivan en las competencias que se requieren en el puesto, estos comportamientos pasados nos permiten inferir cómo se desenvolverá laboralmente.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192c55"/>
          <w:sz w:val="32"/>
          <w:szCs w:val="32"/>
        </w:rPr>
      </w:pPr>
      <w:r w:rsidDel="00000000" w:rsidR="00000000" w:rsidRPr="00000000">
        <w:rPr>
          <w:rFonts w:ascii="Open Sans SemiBold" w:cs="Open Sans SemiBold" w:eastAsia="Open Sans SemiBold" w:hAnsi="Open Sans SemiBold"/>
          <w:color w:val="192c55"/>
          <w:sz w:val="32"/>
          <w:szCs w:val="32"/>
          <w:rtl w:val="0"/>
        </w:rPr>
        <w:t xml:space="preserve">III.     Técnica Análisis del Discurso - Elliot Jaques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360" w:lineRule="auto"/>
        <w:ind w:left="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Es una herramienta de valor predictivo en la Evaluación del Potencial Individual. Se observa el modo en que la persona organiza la información y la argumentación a través de una exposición comprometida y acerca de la cual deja establecido su punto de vista. Esto nos permite determinar el tipo de procesamiento de la información que utiliza para resolver los problemas, y su correlación con el Nivel de Trabajo correspondiente. Considerando la información aportada por esta técnica se obtiene la Capacidad Potencial Actual y se puede proyectar la Capacidad Potencial Futura del evaluado.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e5554f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Open Sans ExtraBold" w:cs="Open Sans ExtraBold" w:eastAsia="Open Sans ExtraBold" w:hAnsi="Open Sans ExtraBold"/>
          <w:color w:val="0b2c3d"/>
          <w:sz w:val="36"/>
          <w:szCs w:val="36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Valoración de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Open Sans ExtraBold" w:cs="Open Sans ExtraBold" w:eastAsia="Open Sans ExtraBold" w:hAnsi="Open Sans ExtraBold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240" w:lineRule="auto"/>
        <w:jc w:val="center"/>
        <w:rPr>
          <w:b w:val="1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24"/>
          <w:szCs w:val="24"/>
        </w:rPr>
        <w:drawing>
          <wp:inline distB="114300" distT="114300" distL="114300" distR="114300">
            <wp:extent cx="5943600" cy="647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c in competencias %}</w:t>
      </w:r>
    </w:p>
    <w:p w:rsidR="00000000" w:rsidDel="00000000" w:rsidP="00000000" w:rsidRDefault="00000000" w:rsidRPr="00000000" w14:paraId="00000041">
      <w:pPr>
        <w:spacing w:after="240" w:before="240" w:line="335.99999999999994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{{c.competenciaNombre}}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 {{c.valor}}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{{c.comment}}</w:t>
      </w:r>
    </w:p>
    <w:p w:rsidR="00000000" w:rsidDel="00000000" w:rsidP="00000000" w:rsidRDefault="00000000" w:rsidRPr="00000000" w14:paraId="00000043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color w:val="192c55"/>
          <w:sz w:val="30"/>
          <w:szCs w:val="30"/>
        </w:rPr>
      </w:pPr>
      <w:bookmarkStart w:colFirst="0" w:colLast="0" w:name="_56kfpodyq5td" w:id="8"/>
      <w:bookmarkEnd w:id="8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58"/>
          <w:szCs w:val="58"/>
          <w:rtl w:val="0"/>
        </w:rPr>
        <w:t xml:space="preserve">Fortalezas y áreas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21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f in fortalezas %}</w:t>
      </w:r>
    </w:p>
    <w:p w:rsidR="00000000" w:rsidDel="00000000" w:rsidP="00000000" w:rsidRDefault="00000000" w:rsidRPr="00000000" w14:paraId="0000004D">
      <w:pPr>
        <w:spacing w:after="240" w:before="240" w:line="335.99999999999994" w:lineRule="auto"/>
        <w:jc w:val="both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{{f.fortalezaNombre}}</w:t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{{f.comment}}</w:t>
      </w:r>
    </w:p>
    <w:p w:rsidR="00000000" w:rsidDel="00000000" w:rsidP="00000000" w:rsidRDefault="00000000" w:rsidRPr="00000000" w14:paraId="0000004F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35.99999999999994" w:lineRule="auto"/>
        <w:jc w:val="both"/>
        <w:rPr>
          <w:b w:val="1"/>
          <w:color w:val="0b2c3d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a in areaDesarrollo %}</w:t>
      </w:r>
    </w:p>
    <w:p w:rsidR="00000000" w:rsidDel="00000000" w:rsidP="00000000" w:rsidRDefault="00000000" w:rsidRPr="00000000" w14:paraId="00000055">
      <w:pPr>
        <w:spacing w:after="240" w:before="240" w:line="335.99999999999994" w:lineRule="auto"/>
        <w:jc w:val="right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{{a.areaNombre}}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35.99999999999994" w:lineRule="auto"/>
        <w:jc w:val="right"/>
        <w:rPr/>
      </w:pPr>
      <w:r w:rsidDel="00000000" w:rsidR="00000000" w:rsidRPr="00000000">
        <w:rPr>
          <w:rtl w:val="0"/>
        </w:rPr>
        <w:t xml:space="preserve">{{a.comment}}</w:t>
      </w:r>
    </w:p>
    <w:p w:rsidR="00000000" w:rsidDel="00000000" w:rsidP="00000000" w:rsidRDefault="00000000" w:rsidRPr="00000000" w14:paraId="00000057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35.9999999999999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 ExtraBold" w:cs="Open Sans ExtraBold" w:eastAsia="Open Sans ExtraBold" w:hAnsi="Open Sans ExtraBold"/>
          <w:color w:val="0b2c3d"/>
          <w:sz w:val="46"/>
          <w:szCs w:val="46"/>
        </w:rPr>
      </w:pPr>
      <w:bookmarkStart w:colFirst="0" w:colLast="0" w:name="_mxxhtikv4x1f" w:id="9"/>
      <w:bookmarkEnd w:id="9"/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46"/>
          <w:szCs w:val="46"/>
          <w:rtl w:val="0"/>
        </w:rPr>
        <w:t xml:space="preserve">Gráfico de competencias comparativo: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157163</wp:posOffset>
            </wp:positionH>
            <wp:positionV relativeFrom="paragraph">
              <wp:posOffset>219075</wp:posOffset>
            </wp:positionV>
            <wp:extent cx="642938" cy="642938"/>
            <wp:effectExtent b="0" l="0" r="0" t="0"/>
            <wp:wrapSquare wrapText="bothSides" distB="114300" distT="114300" distL="114300" distR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64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0b2c3d"/>
          <w:sz w:val="36"/>
          <w:szCs w:val="36"/>
        </w:rPr>
      </w:pPr>
      <w:bookmarkStart w:colFirst="0" w:colLast="0" w:name="_1fefrudd6zln" w:id="10"/>
      <w:bookmarkEnd w:id="10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36"/>
          <w:szCs w:val="36"/>
          <w:rtl w:val="0"/>
        </w:rPr>
        <w:t xml:space="preserve">Evaluación 2022 y 2024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Open Sans" w:cs="Open Sans" w:eastAsia="Open Sans" w:hAnsi="Open Sans"/>
          <w:color w:val="192c55"/>
        </w:rPr>
      </w:pPr>
      <w:bookmarkStart w:colFirst="0" w:colLast="0" w:name="_4cc9epln65l7" w:id="11"/>
      <w:bookmarkEnd w:id="11"/>
      <w:r w:rsidDel="00000000" w:rsidR="00000000" w:rsidRPr="00000000">
        <w:rPr>
          <w:rFonts w:ascii="Open Sans" w:cs="Open Sans" w:eastAsia="Open Sans" w:hAnsi="Open Sans"/>
          <w:b w:val="1"/>
          <w:color w:val="e5554f"/>
          <w:sz w:val="36"/>
          <w:szCs w:val="36"/>
        </w:rPr>
        <w:drawing>
          <wp:inline distB="114300" distT="114300" distL="114300" distR="114300">
            <wp:extent cx="4900613" cy="268981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3798" l="0" r="11378" t="9491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6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1440" w:firstLine="0"/>
        <w:rPr>
          <w:rFonts w:ascii="Open Sans ExtraBold" w:cs="Open Sans ExtraBold" w:eastAsia="Open Sans ExtraBold" w:hAnsi="Open Sans ExtraBold"/>
          <w:color w:val="0b2c3d"/>
          <w:sz w:val="44"/>
          <w:szCs w:val="44"/>
        </w:rPr>
      </w:pPr>
      <w:bookmarkStart w:colFirst="0" w:colLast="0" w:name="_556ndd4g83b" w:id="12"/>
      <w:bookmarkEnd w:id="12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36"/>
          <w:szCs w:val="36"/>
          <w:rtl w:val="0"/>
        </w:rPr>
        <w:t xml:space="preserve">Gráfico de competencias comparativo con Población DH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center"/>
        <w:rPr>
          <w:b w:val="1"/>
          <w:color w:val="0b2c3d"/>
          <w:sz w:val="82"/>
          <w:szCs w:val="82"/>
        </w:rPr>
      </w:pPr>
      <w:bookmarkStart w:colFirst="0" w:colLast="0" w:name="_ln49ncwvmz2p" w:id="13"/>
      <w:bookmarkEnd w:id="13"/>
      <w:r w:rsidDel="00000000" w:rsidR="00000000" w:rsidRPr="00000000">
        <w:rPr>
          <w:rFonts w:ascii="Open Sans" w:cs="Open Sans" w:eastAsia="Open Sans" w:hAnsi="Open Sans"/>
          <w:color w:val="695d46"/>
          <w:sz w:val="22"/>
          <w:szCs w:val="22"/>
        </w:rPr>
        <w:drawing>
          <wp:inline distB="114300" distT="114300" distL="114300" distR="114300">
            <wp:extent cx="4414568" cy="2506662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5337" l="0" r="12179" t="5766"/>
                    <a:stretch>
                      <a:fillRect/>
                    </a:stretch>
                  </pic:blipFill>
                  <pic:spPr>
                    <a:xfrm>
                      <a:off x="0" y="0"/>
                      <a:ext cx="4414568" cy="250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center"/>
        <w:rPr>
          <w:b w:val="1"/>
          <w:sz w:val="20"/>
          <w:szCs w:val="20"/>
        </w:rPr>
      </w:pPr>
      <w:bookmarkStart w:colFirst="0" w:colLast="0" w:name="_6cy8hw2jpmaj" w:id="14"/>
      <w:bookmarkEnd w:id="14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0" w:lineRule="auto"/>
        <w:rPr>
          <w:color w:val="e5554f"/>
        </w:rPr>
      </w:pPr>
      <w:bookmarkStart w:colFirst="0" w:colLast="0" w:name="_tc1w4p8euq7t" w:id="15"/>
      <w:bookmarkEnd w:id="15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Motivaciones e Intereses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m in motivaciones %}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33338</wp:posOffset>
            </wp:positionH>
            <wp:positionV relativeFrom="paragraph">
              <wp:posOffset>238125</wp:posOffset>
            </wp:positionV>
            <wp:extent cx="566738" cy="566738"/>
            <wp:effectExtent b="0" l="0" r="0" t="0"/>
            <wp:wrapSquare wrapText="bothSides" distB="114300" distT="114300" distL="114300" distR="1143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before="240" w:line="335.99999999999994" w:lineRule="auto"/>
        <w:jc w:val="both"/>
        <w:rPr/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{{m.breveDescripcion}}</w:t>
      </w:r>
      <w:r w:rsidDel="00000000" w:rsidR="00000000" w:rsidRPr="00000000">
        <w:rPr>
          <w:b w:val="1"/>
          <w:color w:val="0b2c3d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5.99999999999994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{{m.</w:t>
      </w:r>
      <w:r w:rsidDel="00000000" w:rsidR="00000000" w:rsidRPr="00000000">
        <w:rPr>
          <w:color w:val="1c4587"/>
          <w:rtl w:val="0"/>
        </w:rPr>
        <w:t xml:space="preserve">aspiracion</w:t>
      </w: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6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{{m.comment}}</w:t>
      </w:r>
    </w:p>
    <w:p w:rsidR="00000000" w:rsidDel="00000000" w:rsidP="00000000" w:rsidRDefault="00000000" w:rsidRPr="00000000" w14:paraId="00000069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both"/>
        <w:rPr>
          <w:color w:val="192c55"/>
        </w:rPr>
      </w:pPr>
      <w:bookmarkStart w:colFirst="0" w:colLast="0" w:name="_b15qp94wuvxh" w:id="16"/>
      <w:bookmarkEnd w:id="1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542925</wp:posOffset>
            </wp:positionV>
            <wp:extent cx="595313" cy="595313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>
          <w:color w:val="192c55"/>
        </w:rPr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DISPONIBILIDAD GEOGRÁFICA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{{disponibilidad}}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{{breveDescripcionDisponibilidad}}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{{comment_disponibilidad}}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jc w:val="center"/>
        <w:rPr>
          <w:rFonts w:ascii="Open Sans" w:cs="Open Sans" w:eastAsia="Open Sans" w:hAnsi="Open Sans"/>
          <w:color w:val="0b2c3d"/>
          <w:sz w:val="60"/>
          <w:szCs w:val="60"/>
        </w:rPr>
      </w:pPr>
      <w:bookmarkStart w:colFirst="0" w:colLast="0" w:name="_tsl88jip0xgl" w:id="17"/>
      <w:bookmarkEnd w:id="17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jc w:val="both"/>
        <w:rPr/>
      </w:pPr>
      <w:bookmarkStart w:colFirst="0" w:colLast="0" w:name="_wmlpfgwvdb8p" w:id="18"/>
      <w:bookmarkEnd w:id="18"/>
      <w:r w:rsidDel="00000000" w:rsidR="00000000" w:rsidRPr="00000000">
        <w:rPr>
          <w:rFonts w:ascii="Open Sans" w:cs="Open Sans" w:eastAsia="Open Sans" w:hAnsi="Open Sans"/>
          <w:b w:val="1"/>
          <w:color w:val="192c55"/>
          <w:rtl w:val="0"/>
        </w:rPr>
        <w:t xml:space="preserve">Propuesta acciones de desarrollo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222250</wp:posOffset>
            </wp:positionV>
            <wp:extent cx="663097" cy="665163"/>
            <wp:effectExtent b="0" l="0" r="0" t="0"/>
            <wp:wrapSquare wrapText="bothSides" distB="114300" distT="114300" distL="114300" distR="1143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097" cy="66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{{propuestasDesarrollo}}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PT Sans Narrow" w:cs="PT Sans Narrow" w:eastAsia="PT Sans Narrow" w:hAnsi="PT Sans Narrow"/>
          <w:b w:val="1"/>
          <w:color w:val="e5554f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e5554f"/>
          <w:sz w:val="36"/>
          <w:szCs w:val="36"/>
        </w:rPr>
        <w:drawing>
          <wp:inline distB="114300" distT="114300" distL="114300" distR="114300">
            <wp:extent cx="5943600" cy="11049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color w:val="0b2c3d"/>
          <w:sz w:val="32"/>
          <w:szCs w:val="32"/>
        </w:rPr>
      </w:pPr>
      <w:r w:rsidDel="00000000" w:rsidR="00000000" w:rsidRPr="00000000">
        <w:rPr>
          <w:b w:val="1"/>
          <w:color w:val="0b2c3d"/>
          <w:sz w:val="32"/>
          <w:szCs w:val="32"/>
          <w:rtl w:val="0"/>
        </w:rPr>
        <w:t xml:space="preserve">Niveles de Capacidad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Concreto (Nivel I): </w:t>
      </w:r>
      <w:r w:rsidDel="00000000" w:rsidR="00000000" w:rsidRPr="00000000">
        <w:rPr>
          <w:sz w:val="20"/>
          <w:szCs w:val="20"/>
          <w:rtl w:val="0"/>
        </w:rPr>
        <w:t xml:space="preserve">Se manejan variables simples que se resuelven una por vez. Se actúa a través de un contacto directo con el objeto de trabajo. Tareas pautadas. Trabajo manual y administrativo simple.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Operativo (Nivel II)</w:t>
      </w:r>
      <w:r w:rsidDel="00000000" w:rsidR="00000000" w:rsidRPr="00000000">
        <w:rPr>
          <w:sz w:val="20"/>
          <w:szCs w:val="20"/>
          <w:rtl w:val="0"/>
        </w:rPr>
        <w:t xml:space="preserve">: comprende tareas que requieren la selección de información y la interpretación de la misma, manejando un agregado de actividades dentro de un marco estipulado de normas. Roles: primer nivel de conducción, trabajos especializados de graduados. Tiempo de Planificación: de 3 meses a 1 año.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Táctico ( Nivel III):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 requiere tomar distancia de la tarea, existiendo métodos alternativos de aproximación y resolución de los problemas. Implican la planificación y el control de costos y recursos. Planificación táctica, define el “cómo”. Roles: gerencias tácticas de conducción directa, gerencias medias. Tiempo de Planificación: de 1 a 2 años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Estratégico Local / Funcional ( Nivel IV): </w:t>
      </w:r>
      <w:r w:rsidDel="00000000" w:rsidR="00000000" w:rsidRPr="00000000">
        <w:rPr>
          <w:sz w:val="20"/>
          <w:szCs w:val="20"/>
          <w:rtl w:val="0"/>
        </w:rPr>
        <w:t xml:space="preserve">tareas que requieren el manejo de varios caminos alternativos en interacción. Implican la definición de políticas y cambios organizacionales. Roles: Directores de Área o Gerencias especializadas de nivel estratégico. Tiempo de Planificación: hasta 5 años.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color w:val="0b2c3d"/>
          <w:rtl w:val="0"/>
        </w:rPr>
        <w:t xml:space="preserve">Estratégico Regional / General ( Nivel V):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tareas que requieren planificación a largo plazo y trabajar con un fuerte sentido de las prioridades. Implican la articulación de una Unidad de Negocios con la estrategia corporativa. Establecimiento de nuevos objetivos y políticas, planificando inversiones y proyectos. Roles: gerentes generales. Tiempo de planificación: hasta 10 años.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rangos A, M y B responden a la consolidación de las aptitudes propias de cada Nivel.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1"/>
        <w:rPr>
          <w:color w:val="e5554f"/>
        </w:rPr>
      </w:pPr>
      <w:bookmarkStart w:colFirst="0" w:colLast="0" w:name="_uioa0hdgt3is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color w:val="e5554f"/>
        </w:rPr>
      </w:pPr>
      <w:bookmarkStart w:colFirst="0" w:colLast="0" w:name="_1tjh7oyssph8" w:id="20"/>
      <w:bookmarkEnd w:id="20"/>
      <w:r w:rsidDel="00000000" w:rsidR="00000000" w:rsidRPr="00000000">
        <w:rPr>
          <w:color w:val="e5554f"/>
        </w:rPr>
        <w:drawing>
          <wp:inline distB="114300" distT="114300" distL="114300" distR="114300">
            <wp:extent cx="5943600" cy="11049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b w:val="1"/>
          <w:color w:val="0b2c3d"/>
          <w:sz w:val="28"/>
          <w:szCs w:val="28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{{consultoraNombre}}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color w:val="0b2c3d"/>
          <w:sz w:val="27"/>
          <w:szCs w:val="27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ACERCA 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238125</wp:posOffset>
            </wp:positionV>
            <wp:extent cx="638175" cy="602721"/>
            <wp:effectExtent b="0" l="0" r="0" t="0"/>
            <wp:wrapSquare wrapText="bothSides" distB="114300" distT="114300" distL="114300" distR="1143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02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Este informe se basa en los resultados obtenidos a través de las herramientas de evaluación de competencias desarrolladas por Embat, People + Data con el objetivo de aportar información valiosa para comprender el perfil y potencial de la persona evaluada.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Embat es una consultora especializada en el análisis de datos aplicados a la gestión de personas. Desarrollamos soluciones que permiten alinear el talento con la complejidad de los puestos, facilitando procesos más justos, objetivos y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361950</wp:posOffset>
            </wp:positionV>
            <wp:extent cx="638175" cy="831307"/>
            <wp:effectExtent b="0" l="0" r="0" t="0"/>
            <wp:wrapSquare wrapText="bothSides" distB="114300" distT="114300" distL="114300" distR="11430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31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LIMITACIÓN DE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Los informes de competencias de Embat, People + Data ofrecen una mirada externa y objetiva sobre el perfil de una persona, pensada como complemento para los procesos de selección, gestión y desarrollo del talento.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No obstante, desaconsejamos tomar decisiones de forma exclusiva o automática basándose únicamente en los resultados de estas pruebas. Las evaluaciones deben interpretarse en conjunto con otras fuentes de información relevantes, tales como desempeño histórico, feedback de 360°, formación previa, entre otros factores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361950</wp:posOffset>
            </wp:positionV>
            <wp:extent cx="638175" cy="807816"/>
            <wp:effectExtent b="0" l="0" r="0" t="0"/>
            <wp:wrapSquare wrapText="bothSides" distB="114300" distT="114300" distL="114300" distR="1143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07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9"/>
          <w:szCs w:val="19"/>
          <w:highlight w:val="white"/>
        </w:rPr>
      </w:pPr>
      <w:hyperlink r:id="rId26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info@embatconsultora.com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Valencia,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1117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headerReference r:id="rId29" w:type="even"/>
      <w:footerReference r:id="rId30" w:type="default"/>
      <w:footerReference r:id="rId31" w:type="first"/>
      <w:footerReference r:id="rId32" w:type="even"/>
      <w:pgSz w:h="15840" w:w="12240" w:orient="portrait"/>
      <w:pgMar w:bottom="1080" w:top="1080" w:left="1440" w:right="1440" w:header="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Prompt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romp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pen Sans ExtraBold">
    <w:embedBold w:fontKey="{00000000-0000-0000-0000-000000000000}" r:id="rId15" w:subsetted="0"/>
    <w:embedBoldItalic w:fontKey="{00000000-0000-0000-0000-000000000000}" r:id="rId16" w:subsetted="0"/>
  </w:font>
  <w:font w:name="Prompt ExtraBold">
    <w:embedBold w:fontKey="{00000000-0000-0000-0000-000000000000}" r:id="rId17" w:subsetted="0"/>
    <w:embedBoldItalic w:fontKey="{00000000-0000-0000-0000-000000000000}" r:id="rId18" w:subsetted="0"/>
  </w:font>
  <w:font w:name="Open Sans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>
        <w:color w:val="0b2c3d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Style w:val="Title"/>
      <w:ind w:left="-1417.3228346456694" w:right="-1440" w:firstLine="0"/>
      <w:rPr/>
    </w:pPr>
    <w:bookmarkStart w:colFirst="0" w:colLast="0" w:name="_z1s5729ybphg" w:id="21"/>
    <w:bookmarkEnd w:id="2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114300</wp:posOffset>
          </wp:positionV>
          <wp:extent cx="7733787" cy="2763837"/>
          <wp:effectExtent b="0" l="0" r="0" t="0"/>
          <wp:wrapSquare wrapText="bothSides" distB="114300" distT="114300" distL="114300" distR="114300"/>
          <wp:docPr id="1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33787" cy="276383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17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mailto:info@embatconsultora.com" TargetMode="External"/><Relationship Id="rId25" Type="http://schemas.openxmlformats.org/officeDocument/2006/relationships/image" Target="media/image13.png"/><Relationship Id="rId28" Type="http://schemas.openxmlformats.org/officeDocument/2006/relationships/header" Target="head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eader" Target="header2.xml"/><Relationship Id="rId7" Type="http://schemas.openxmlformats.org/officeDocument/2006/relationships/image" Target="media/image9.png"/><Relationship Id="rId8" Type="http://schemas.openxmlformats.org/officeDocument/2006/relationships/image" Target="media/image6.png"/><Relationship Id="rId31" Type="http://schemas.openxmlformats.org/officeDocument/2006/relationships/footer" Target="footer1.xml"/><Relationship Id="rId30" Type="http://schemas.openxmlformats.org/officeDocument/2006/relationships/footer" Target="footer3.xml"/><Relationship Id="rId11" Type="http://schemas.openxmlformats.org/officeDocument/2006/relationships/image" Target="media/image8.png"/><Relationship Id="rId10" Type="http://schemas.openxmlformats.org/officeDocument/2006/relationships/image" Target="media/image16.png"/><Relationship Id="rId32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15.png"/><Relationship Id="rId15" Type="http://schemas.openxmlformats.org/officeDocument/2006/relationships/image" Target="media/image20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.ttf"/><Relationship Id="rId11" Type="http://schemas.openxmlformats.org/officeDocument/2006/relationships/font" Target="fonts/Prompt-regular.ttf"/><Relationship Id="rId22" Type="http://schemas.openxmlformats.org/officeDocument/2006/relationships/font" Target="fonts/OpenSans-boldItalic.ttf"/><Relationship Id="rId10" Type="http://schemas.openxmlformats.org/officeDocument/2006/relationships/font" Target="fonts/OpenSansSemiBold-boldItalic.ttf"/><Relationship Id="rId21" Type="http://schemas.openxmlformats.org/officeDocument/2006/relationships/font" Target="fonts/OpenSans-italic.ttf"/><Relationship Id="rId13" Type="http://schemas.openxmlformats.org/officeDocument/2006/relationships/font" Target="fonts/Prompt-italic.ttf"/><Relationship Id="rId12" Type="http://schemas.openxmlformats.org/officeDocument/2006/relationships/font" Target="fonts/Prompt-bold.ttf"/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PromptSemiBold-regular.ttf"/><Relationship Id="rId4" Type="http://schemas.openxmlformats.org/officeDocument/2006/relationships/font" Target="fonts/PromptSemiBold-bold.ttf"/><Relationship Id="rId9" Type="http://schemas.openxmlformats.org/officeDocument/2006/relationships/font" Target="fonts/OpenSansSemiBold-italic.ttf"/><Relationship Id="rId15" Type="http://schemas.openxmlformats.org/officeDocument/2006/relationships/font" Target="fonts/OpenSansExtraBold-bold.ttf"/><Relationship Id="rId14" Type="http://schemas.openxmlformats.org/officeDocument/2006/relationships/font" Target="fonts/Prompt-boldItalic.ttf"/><Relationship Id="rId17" Type="http://schemas.openxmlformats.org/officeDocument/2006/relationships/font" Target="fonts/PromptExtraBold-bold.ttf"/><Relationship Id="rId16" Type="http://schemas.openxmlformats.org/officeDocument/2006/relationships/font" Target="fonts/OpenSansExtraBold-boldItalic.ttf"/><Relationship Id="rId5" Type="http://schemas.openxmlformats.org/officeDocument/2006/relationships/font" Target="fonts/PromptSemiBold-italic.ttf"/><Relationship Id="rId19" Type="http://schemas.openxmlformats.org/officeDocument/2006/relationships/font" Target="fonts/OpenSans-regular.ttf"/><Relationship Id="rId6" Type="http://schemas.openxmlformats.org/officeDocument/2006/relationships/font" Target="fonts/PromptSemiBold-boldItalic.ttf"/><Relationship Id="rId18" Type="http://schemas.openxmlformats.org/officeDocument/2006/relationships/font" Target="fonts/PromptExtraBold-boldItalic.ttf"/><Relationship Id="rId7" Type="http://schemas.openxmlformats.org/officeDocument/2006/relationships/font" Target="fonts/OpenSansSemiBold-regular.ttf"/><Relationship Id="rId8" Type="http://schemas.openxmlformats.org/officeDocument/2006/relationships/font" Target="fonts/OpenSans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