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3A8A"/>
          <w:sz w:val="40"/>
        </w:rPr>
        <w:t>How H-MAP Forecasts Cases with Prophet</w:t>
      </w:r>
    </w:p>
    <w:p>
      <w:r>
        <w:rPr>
          <w:color w:val="475569"/>
          <w:sz w:val="22"/>
        </w:rPr>
        <w:t>How the forecast works, how the CESU should read it, and how accurate it has been on Parañaque data</w:t>
      </w:r>
    </w:p>
    <w:p>
      <w:pPr>
        <w:pStyle w:val="Heading2"/>
      </w:pPr>
      <w:r>
        <w:t>Abbreviations used</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1872"/>
            <w:shd w:val="clear" w:color="auto" w:fill="DBEAFE"/>
          </w:tcPr>
          <w:p>
            <w:pPr>
              <w:keepNext/>
            </w:pPr>
            <w:r/>
            <w:r>
              <w:rPr>
                <w:b/>
                <w:sz w:val="19"/>
              </w:rPr>
              <w:t>Abbreviation</w:t>
            </w:r>
          </w:p>
        </w:tc>
        <w:tc>
          <w:tcPr>
            <w:tcW w:type="dxa" w:w="7488"/>
            <w:shd w:val="clear" w:color="auto" w:fill="DBEAFE"/>
          </w:tcPr>
          <w:p>
            <w:pPr>
              <w:keepNext/>
            </w:pPr>
            <w:r/>
            <w:r>
              <w:rPr>
                <w:b/>
                <w:sz w:val="19"/>
              </w:rPr>
              <w:t>Meaning</w:t>
            </w:r>
          </w:p>
        </w:tc>
      </w:tr>
      <w:tr>
        <w:tc>
          <w:tcPr>
            <w:tcW w:type="dxa" w:w="1872"/>
          </w:tcPr>
          <w:p>
            <w:pPr>
              <w:keepNext/>
            </w:pPr>
            <w:r/>
            <w:r>
              <w:rPr>
                <w:sz w:val="19"/>
              </w:rPr>
              <w:t>MAPE</w:t>
            </w:r>
          </w:p>
        </w:tc>
        <w:tc>
          <w:tcPr>
            <w:tcW w:type="dxa" w:w="7488"/>
          </w:tcPr>
          <w:p>
            <w:pPr>
              <w:keepNext/>
            </w:pPr>
            <w:r/>
            <w:r>
              <w:rPr>
                <w:sz w:val="19"/>
              </w:rPr>
              <w:t>Mean Absolute Percentage Error (average miss per week, in percent)</w:t>
            </w:r>
          </w:p>
        </w:tc>
      </w:tr>
      <w:tr>
        <w:tc>
          <w:tcPr>
            <w:tcW w:type="dxa" w:w="1872"/>
          </w:tcPr>
          <w:p>
            <w:pPr>
              <w:keepNext/>
            </w:pPr>
            <w:r/>
            <w:r>
              <w:rPr>
                <w:sz w:val="19"/>
              </w:rPr>
              <w:t>RMSE</w:t>
            </w:r>
          </w:p>
        </w:tc>
        <w:tc>
          <w:tcPr>
            <w:tcW w:type="dxa" w:w="7488"/>
          </w:tcPr>
          <w:p>
            <w:pPr>
              <w:keepNext/>
            </w:pPr>
            <w:r/>
            <w:r>
              <w:rPr>
                <w:sz w:val="19"/>
              </w:rPr>
              <w:t>Root Mean Square Error (typical miss per week, in cases)</w:t>
            </w:r>
          </w:p>
        </w:tc>
      </w:tr>
      <w:tr>
        <w:tc>
          <w:tcPr>
            <w:tcW w:type="dxa" w:w="1872"/>
          </w:tcPr>
          <w:p>
            <w:pPr>
              <w:keepNext/>
            </w:pPr>
            <w:r/>
            <w:r>
              <w:rPr>
                <w:sz w:val="19"/>
              </w:rPr>
              <w:t>MAE</w:t>
            </w:r>
          </w:p>
        </w:tc>
        <w:tc>
          <w:tcPr>
            <w:tcW w:type="dxa" w:w="7488"/>
          </w:tcPr>
          <w:p>
            <w:pPr>
              <w:keepNext/>
            </w:pPr>
            <w:r/>
            <w:r>
              <w:rPr>
                <w:sz w:val="19"/>
              </w:rPr>
              <w:t>Mean Absolute Error (average miss per week, in cases)</w:t>
            </w:r>
          </w:p>
        </w:tc>
      </w:tr>
      <w:tr>
        <w:tc>
          <w:tcPr>
            <w:tcW w:type="dxa" w:w="1872"/>
          </w:tcPr>
          <w:p>
            <w:pPr>
              <w:keepNext/>
            </w:pPr>
            <w:r/>
            <w:r>
              <w:rPr>
                <w:sz w:val="19"/>
              </w:rPr>
              <w:t>ILI</w:t>
            </w:r>
          </w:p>
        </w:tc>
        <w:tc>
          <w:tcPr>
            <w:tcW w:type="dxa" w:w="7488"/>
          </w:tcPr>
          <w:p>
            <w:pPr>
              <w:keepNext/>
            </w:pPr>
            <w:r/>
            <w:r>
              <w:rPr>
                <w:sz w:val="19"/>
              </w:rPr>
              <w:t>Influenza-like illness</w:t>
            </w:r>
          </w:p>
        </w:tc>
      </w:tr>
      <w:tr>
        <w:tc>
          <w:tcPr>
            <w:tcW w:type="dxa" w:w="1872"/>
          </w:tcPr>
          <w:p>
            <w:pPr>
              <w:keepNext/>
            </w:pPr>
            <w:r/>
            <w:r>
              <w:rPr>
                <w:sz w:val="19"/>
              </w:rPr>
              <w:t>HFMD</w:t>
            </w:r>
          </w:p>
        </w:tc>
        <w:tc>
          <w:tcPr>
            <w:tcW w:type="dxa" w:w="7488"/>
          </w:tcPr>
          <w:p>
            <w:pPr>
              <w:keepNext/>
            </w:pPr>
            <w:r/>
            <w:r>
              <w:rPr>
                <w:sz w:val="19"/>
              </w:rPr>
              <w:t>Hand, foot and mouth disease</w:t>
            </w:r>
          </w:p>
        </w:tc>
      </w:tr>
      <w:tr>
        <w:tc>
          <w:tcPr>
            <w:tcW w:type="dxa" w:w="1872"/>
          </w:tcPr>
          <w:p>
            <w:pPr>
              <w:keepNext/>
            </w:pPr>
            <w:r/>
            <w:r>
              <w:rPr>
                <w:sz w:val="19"/>
              </w:rPr>
              <w:t>TYP / LEP</w:t>
            </w:r>
          </w:p>
        </w:tc>
        <w:tc>
          <w:tcPr>
            <w:tcW w:type="dxa" w:w="7488"/>
          </w:tcPr>
          <w:p>
            <w:pPr>
              <w:keepNext/>
            </w:pPr>
            <w:r/>
            <w:r>
              <w:rPr>
                <w:sz w:val="19"/>
              </w:rPr>
              <w:t>Typhoid / Leptospirosis</w:t>
            </w:r>
          </w:p>
        </w:tc>
      </w:tr>
      <w:tr>
        <w:tc>
          <w:tcPr>
            <w:tcW w:type="dxa" w:w="1872"/>
          </w:tcPr>
          <w:p>
            <w:r/>
            <w:r>
              <w:rPr>
                <w:sz w:val="19"/>
              </w:rPr>
              <w:t>CESU</w:t>
            </w:r>
          </w:p>
        </w:tc>
        <w:tc>
          <w:tcPr>
            <w:tcW w:type="dxa" w:w="7488"/>
          </w:tcPr>
          <w:p>
            <w:r/>
            <w:r>
              <w:rPr>
                <w:sz w:val="19"/>
              </w:rPr>
              <w:t>City Epidemiology and Surveillance Unit</w:t>
            </w:r>
          </w:p>
        </w:tc>
      </w:tr>
    </w:tbl>
    <w:p/>
    <w:p>
      <w:pPr>
        <w:pStyle w:val="Heading1"/>
      </w:pPr>
      <w:r>
        <w:t>1. In one paragraph</w:t>
      </w:r>
    </w:p>
    <w:p>
      <w:r>
        <w:rPr>
          <w:i w:val="0"/>
        </w:rPr>
        <w:t>H-MAP uses a forecasting method called Prophet (Taylor &amp; Letham, 2018) to estimate the number of Confirmed + Probable cases for the next four weeks. It learns two things from the city's weekly counts since 2010: the long-run level of the disease and its usual pattern through the year (for dengue, the rise in the rainy months). The forecast is a likely direction and range, not an exact count. It is shown only for diseases where it has proven better than simply repeating last year's numbers, and it is one input to the CESU's judgment, never a replacement for it.</w:t>
      </w:r>
    </w:p>
    <w:p>
      <w:pPr>
        <w:pStyle w:val="Heading1"/>
      </w:pPr>
      <w:r>
        <w:t>2. How the forecast is made</w:t>
      </w:r>
    </w:p>
    <w:p>
      <w:pPr>
        <w:pStyle w:val="ListNumber"/>
      </w:pPr>
      <w:r>
        <w:t>Weekly counts. Confirmed and Probable cases are added up per morbidity week, from 2010 to the latest training data (the same case definition as the thresholds). Weeks with no cases count as 0.</w:t>
      </w:r>
    </w:p>
    <w:p>
      <w:pPr>
        <w:pStyle w:val="ListNumber"/>
      </w:pPr>
      <w:r>
        <w:t>Trend. Prophet fits a slowly changing line through the years: is the disease generally becoming more or less common?</w:t>
      </w:r>
    </w:p>
    <w:p>
      <w:pPr>
        <w:pStyle w:val="ListNumber"/>
      </w:pPr>
      <w:r>
        <w:t>Yearly pattern. Prophet learns how each part of the year compares with the trend, for example that the rainy months are usually much higher than the dry months for dengue. The pattern is multiplied by the trend, so in a high year the rainy-season peak is higher too.</w:t>
      </w:r>
    </w:p>
    <w:p>
      <w:pPr>
        <w:pStyle w:val="ListNumber"/>
      </w:pPr>
      <w:r>
        <w:t>Forecast. Trend times yearly pattern, carried forward four weeks, gives the predicted cases for each week.</w:t>
      </w:r>
    </w:p>
    <w:p>
      <w:pPr>
        <w:pStyle w:val="ListNumber"/>
      </w:pPr>
      <w:r>
        <w:t>Range. Prophet also gives an 80% range (lower and upper bound). In principle, about 4 out of 5 future weeks should fall inside it. Section 5 shows how well that held on Parañaque data.</w:t>
      </w:r>
    </w:p>
    <w:p>
      <w:r>
        <w:rPr>
          <w:i w:val="0"/>
        </w:rPr>
        <w:t>What the model does not know: floods and typhoons, clean-up drives, school calendars, outbreaks in nearby cities, changes in reporting, or anything that has not happened in a regular yearly pattern before. These are exactly the things the CESU knows and the model does not.</w:t>
      </w:r>
    </w:p>
    <w:p>
      <w:pPr>
        <w:pStyle w:val="Heading1"/>
      </w:pPr>
      <w:r>
        <w:t>3. When H-MAP shows a forecast and when it does not</w:t>
      </w:r>
    </w:p>
    <w:p>
      <w:r>
        <w:rPr>
          <w:i w:val="0"/>
        </w:rPr>
        <w:t>Before a forecast is shown, H-MAP tests it. The model is trained on 2010 to 2023 only, asked to predict 2024 and 2025, and compared with what actually happened. The same test is given to the simplest possible guess: the same week last year. If Prophet does not beat that guess, the forecast is withheld and the dashboard says so.</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2448"/>
            <w:shd w:val="clear" w:color="auto" w:fill="DBEAFE"/>
          </w:tcPr>
          <w:p>
            <w:pPr>
              <w:keepNext/>
            </w:pPr>
            <w:r/>
            <w:r>
              <w:rPr>
                <w:b/>
                <w:sz w:val="19"/>
              </w:rPr>
              <w:t>Disease (city-wide)</w:t>
            </w:r>
          </w:p>
        </w:tc>
        <w:tc>
          <w:tcPr>
            <w:tcW w:type="dxa" w:w="1440"/>
            <w:shd w:val="clear" w:color="auto" w:fill="DBEAFE"/>
          </w:tcPr>
          <w:p>
            <w:pPr>
              <w:keepNext/>
            </w:pPr>
            <w:r/>
            <w:r>
              <w:rPr>
                <w:b/>
                <w:sz w:val="19"/>
              </w:rPr>
              <w:t>Prophet error (MAPE)</w:t>
            </w:r>
          </w:p>
        </w:tc>
        <w:tc>
          <w:tcPr>
            <w:tcW w:type="dxa" w:w="1440"/>
            <w:shd w:val="clear" w:color="auto" w:fill="DBEAFE"/>
          </w:tcPr>
          <w:p>
            <w:pPr>
              <w:keepNext/>
            </w:pPr>
            <w:r/>
            <w:r>
              <w:rPr>
                <w:b/>
                <w:sz w:val="19"/>
              </w:rPr>
              <w:t>Last-year error (MAPE)</w:t>
            </w:r>
          </w:p>
        </w:tc>
        <w:tc>
          <w:tcPr>
            <w:tcW w:type="dxa" w:w="1296"/>
            <w:shd w:val="clear" w:color="auto" w:fill="DBEAFE"/>
          </w:tcPr>
          <w:p>
            <w:pPr>
              <w:keepNext/>
            </w:pPr>
            <w:r/>
            <w:r>
              <w:rPr>
                <w:b/>
                <w:sz w:val="19"/>
              </w:rPr>
              <w:t>Prophet RMSE</w:t>
            </w:r>
          </w:p>
        </w:tc>
        <w:tc>
          <w:tcPr>
            <w:tcW w:type="dxa" w:w="1296"/>
            <w:shd w:val="clear" w:color="auto" w:fill="DBEAFE"/>
          </w:tcPr>
          <w:p>
            <w:pPr>
              <w:keepNext/>
            </w:pPr>
            <w:r/>
            <w:r>
              <w:rPr>
                <w:b/>
                <w:sz w:val="19"/>
              </w:rPr>
              <w:t>Last-year RMSE</w:t>
            </w:r>
          </w:p>
        </w:tc>
        <w:tc>
          <w:tcPr>
            <w:tcW w:type="dxa" w:w="1440"/>
            <w:shd w:val="clear" w:color="auto" w:fill="DBEAFE"/>
          </w:tcPr>
          <w:p>
            <w:pPr>
              <w:keepNext/>
            </w:pPr>
            <w:r/>
            <w:r>
              <w:rPr>
                <w:b/>
                <w:sz w:val="19"/>
              </w:rPr>
              <w:t>On the dashboard</w:t>
            </w:r>
          </w:p>
        </w:tc>
      </w:tr>
      <w:tr>
        <w:tc>
          <w:tcPr>
            <w:tcW w:type="dxa" w:w="2448"/>
          </w:tcPr>
          <w:p>
            <w:pPr>
              <w:keepNext/>
            </w:pPr>
            <w:r/>
            <w:r>
              <w:rPr>
                <w:sz w:val="19"/>
              </w:rPr>
              <w:t>Dengue</w:t>
            </w:r>
          </w:p>
        </w:tc>
        <w:tc>
          <w:tcPr>
            <w:tcW w:type="dxa" w:w="1440"/>
          </w:tcPr>
          <w:p>
            <w:pPr>
              <w:keepNext/>
              <w:jc w:val="center"/>
            </w:pPr>
            <w:r/>
            <w:r>
              <w:rPr>
                <w:sz w:val="19"/>
              </w:rPr>
              <w:t>50.1%</w:t>
            </w:r>
          </w:p>
        </w:tc>
        <w:tc>
          <w:tcPr>
            <w:tcW w:type="dxa" w:w="1440"/>
          </w:tcPr>
          <w:p>
            <w:pPr>
              <w:keepNext/>
              <w:jc w:val="center"/>
            </w:pPr>
            <w:r/>
            <w:r>
              <w:rPr>
                <w:sz w:val="19"/>
              </w:rPr>
              <w:t>69.6%</w:t>
            </w:r>
          </w:p>
        </w:tc>
        <w:tc>
          <w:tcPr>
            <w:tcW w:type="dxa" w:w="1296"/>
          </w:tcPr>
          <w:p>
            <w:pPr>
              <w:keepNext/>
              <w:jc w:val="center"/>
            </w:pPr>
            <w:r/>
            <w:r>
              <w:rPr>
                <w:sz w:val="19"/>
              </w:rPr>
              <w:t>20.24</w:t>
            </w:r>
          </w:p>
        </w:tc>
        <w:tc>
          <w:tcPr>
            <w:tcW w:type="dxa" w:w="1296"/>
          </w:tcPr>
          <w:p>
            <w:pPr>
              <w:keepNext/>
              <w:jc w:val="center"/>
            </w:pPr>
            <w:r/>
            <w:r>
              <w:rPr>
                <w:sz w:val="19"/>
              </w:rPr>
              <w:t>27.60</w:t>
            </w:r>
          </w:p>
        </w:tc>
        <w:tc>
          <w:tcPr>
            <w:tcW w:type="dxa" w:w="1440"/>
          </w:tcPr>
          <w:p>
            <w:pPr>
              <w:keepNext/>
              <w:jc w:val="center"/>
            </w:pPr>
            <w:r/>
            <w:r>
              <w:rPr>
                <w:sz w:val="19"/>
              </w:rPr>
              <w:t>Shown</w:t>
            </w:r>
          </w:p>
        </w:tc>
      </w:tr>
      <w:tr>
        <w:tc>
          <w:tcPr>
            <w:tcW w:type="dxa" w:w="2448"/>
            <w:shd w:val="clear" w:color="auto" w:fill="F1F5F9"/>
          </w:tcPr>
          <w:p>
            <w:pPr>
              <w:keepNext/>
            </w:pPr>
            <w:r/>
            <w:r>
              <w:rPr>
                <w:sz w:val="19"/>
              </w:rPr>
              <w:t>Influenza-like illness</w:t>
            </w:r>
          </w:p>
        </w:tc>
        <w:tc>
          <w:tcPr>
            <w:tcW w:type="dxa" w:w="1440"/>
            <w:shd w:val="clear" w:color="auto" w:fill="F1F5F9"/>
          </w:tcPr>
          <w:p>
            <w:pPr>
              <w:keepNext/>
              <w:jc w:val="center"/>
            </w:pPr>
            <w:r/>
            <w:r>
              <w:rPr>
                <w:sz w:val="19"/>
              </w:rPr>
              <w:t>101.1%</w:t>
            </w:r>
          </w:p>
        </w:tc>
        <w:tc>
          <w:tcPr>
            <w:tcW w:type="dxa" w:w="1440"/>
            <w:shd w:val="clear" w:color="auto" w:fill="F1F5F9"/>
          </w:tcPr>
          <w:p>
            <w:pPr>
              <w:keepNext/>
              <w:jc w:val="center"/>
            </w:pPr>
            <w:r/>
            <w:r>
              <w:rPr>
                <w:sz w:val="19"/>
              </w:rPr>
              <w:t>90.0%</w:t>
            </w:r>
          </w:p>
        </w:tc>
        <w:tc>
          <w:tcPr>
            <w:tcW w:type="dxa" w:w="1296"/>
            <w:shd w:val="clear" w:color="auto" w:fill="F1F5F9"/>
          </w:tcPr>
          <w:p>
            <w:pPr>
              <w:keepNext/>
              <w:jc w:val="center"/>
            </w:pPr>
            <w:r/>
            <w:r>
              <w:rPr>
                <w:sz w:val="19"/>
              </w:rPr>
              <w:t>3.28</w:t>
            </w:r>
          </w:p>
        </w:tc>
        <w:tc>
          <w:tcPr>
            <w:tcW w:type="dxa" w:w="1296"/>
            <w:shd w:val="clear" w:color="auto" w:fill="F1F5F9"/>
          </w:tcPr>
          <w:p>
            <w:pPr>
              <w:keepNext/>
              <w:jc w:val="center"/>
            </w:pPr>
            <w:r/>
            <w:r>
              <w:rPr>
                <w:sz w:val="19"/>
              </w:rPr>
              <w:t>2.75</w:t>
            </w:r>
          </w:p>
        </w:tc>
        <w:tc>
          <w:tcPr>
            <w:tcW w:type="dxa" w:w="1440"/>
            <w:shd w:val="clear" w:color="auto" w:fill="F1F5F9"/>
          </w:tcPr>
          <w:p>
            <w:pPr>
              <w:keepNext/>
              <w:jc w:val="center"/>
            </w:pPr>
            <w:r/>
            <w:r>
              <w:rPr>
                <w:sz w:val="19"/>
              </w:rPr>
              <w:t>Withheld</w:t>
            </w:r>
          </w:p>
        </w:tc>
      </w:tr>
      <w:tr>
        <w:tc>
          <w:tcPr>
            <w:tcW w:type="dxa" w:w="2448"/>
            <w:shd w:val="clear" w:color="auto" w:fill="F1F5F9"/>
          </w:tcPr>
          <w:p>
            <w:pPr>
              <w:keepNext/>
            </w:pPr>
            <w:r/>
            <w:r>
              <w:rPr>
                <w:sz w:val="19"/>
              </w:rPr>
              <w:t>Measles</w:t>
            </w:r>
          </w:p>
        </w:tc>
        <w:tc>
          <w:tcPr>
            <w:tcW w:type="dxa" w:w="1440"/>
            <w:shd w:val="clear" w:color="auto" w:fill="F1F5F9"/>
          </w:tcPr>
          <w:p>
            <w:pPr>
              <w:keepNext/>
              <w:jc w:val="center"/>
            </w:pPr>
            <w:r/>
            <w:r>
              <w:rPr>
                <w:sz w:val="19"/>
              </w:rPr>
              <w:t>25.1%</w:t>
            </w:r>
          </w:p>
        </w:tc>
        <w:tc>
          <w:tcPr>
            <w:tcW w:type="dxa" w:w="1440"/>
            <w:shd w:val="clear" w:color="auto" w:fill="F1F5F9"/>
          </w:tcPr>
          <w:p>
            <w:pPr>
              <w:keepNext/>
              <w:jc w:val="center"/>
            </w:pPr>
            <w:r/>
            <w:r>
              <w:rPr>
                <w:sz w:val="19"/>
              </w:rPr>
              <w:t>5.5%</w:t>
            </w:r>
          </w:p>
        </w:tc>
        <w:tc>
          <w:tcPr>
            <w:tcW w:type="dxa" w:w="1296"/>
            <w:shd w:val="clear" w:color="auto" w:fill="F1F5F9"/>
          </w:tcPr>
          <w:p>
            <w:pPr>
              <w:keepNext/>
              <w:jc w:val="center"/>
            </w:pPr>
            <w:r/>
            <w:r>
              <w:rPr>
                <w:sz w:val="19"/>
              </w:rPr>
              <w:t>0.57</w:t>
            </w:r>
          </w:p>
        </w:tc>
        <w:tc>
          <w:tcPr>
            <w:tcW w:type="dxa" w:w="1296"/>
            <w:shd w:val="clear" w:color="auto" w:fill="F1F5F9"/>
          </w:tcPr>
          <w:p>
            <w:pPr>
              <w:keepNext/>
              <w:jc w:val="center"/>
            </w:pPr>
            <w:r/>
            <w:r>
              <w:rPr>
                <w:sz w:val="19"/>
              </w:rPr>
              <w:t>0.42</w:t>
            </w:r>
          </w:p>
        </w:tc>
        <w:tc>
          <w:tcPr>
            <w:tcW w:type="dxa" w:w="1440"/>
            <w:shd w:val="clear" w:color="auto" w:fill="F1F5F9"/>
          </w:tcPr>
          <w:p>
            <w:pPr>
              <w:keepNext/>
              <w:jc w:val="center"/>
            </w:pPr>
            <w:r/>
            <w:r>
              <w:rPr>
                <w:sz w:val="19"/>
              </w:rPr>
              <w:t>Withheld</w:t>
            </w:r>
          </w:p>
        </w:tc>
      </w:tr>
      <w:tr>
        <w:tc>
          <w:tcPr>
            <w:tcW w:type="dxa" w:w="2448"/>
          </w:tcPr>
          <w:p>
            <w:pPr>
              <w:keepNext/>
            </w:pPr>
            <w:r/>
            <w:r>
              <w:rPr>
                <w:sz w:val="19"/>
              </w:rPr>
              <w:t>Typhoid</w:t>
            </w:r>
          </w:p>
        </w:tc>
        <w:tc>
          <w:tcPr>
            <w:tcW w:type="dxa" w:w="1440"/>
          </w:tcPr>
          <w:p>
            <w:pPr>
              <w:keepNext/>
              <w:jc w:val="center"/>
            </w:pPr>
            <w:r/>
            <w:r>
              <w:rPr>
                <w:sz w:val="19"/>
              </w:rPr>
              <w:t>35.4%</w:t>
            </w:r>
          </w:p>
        </w:tc>
        <w:tc>
          <w:tcPr>
            <w:tcW w:type="dxa" w:w="1440"/>
          </w:tcPr>
          <w:p>
            <w:pPr>
              <w:keepNext/>
              <w:jc w:val="center"/>
            </w:pPr>
            <w:r/>
            <w:r>
              <w:rPr>
                <w:sz w:val="19"/>
              </w:rPr>
              <w:t>43.9%</w:t>
            </w:r>
          </w:p>
        </w:tc>
        <w:tc>
          <w:tcPr>
            <w:tcW w:type="dxa" w:w="1296"/>
          </w:tcPr>
          <w:p>
            <w:pPr>
              <w:keepNext/>
              <w:jc w:val="center"/>
            </w:pPr>
            <w:r/>
            <w:r>
              <w:rPr>
                <w:sz w:val="19"/>
              </w:rPr>
              <w:t>1.51</w:t>
            </w:r>
          </w:p>
        </w:tc>
        <w:tc>
          <w:tcPr>
            <w:tcW w:type="dxa" w:w="1296"/>
          </w:tcPr>
          <w:p>
            <w:pPr>
              <w:keepNext/>
              <w:jc w:val="center"/>
            </w:pPr>
            <w:r/>
            <w:r>
              <w:rPr>
                <w:sz w:val="19"/>
              </w:rPr>
              <w:t>1.63</w:t>
            </w:r>
          </w:p>
        </w:tc>
        <w:tc>
          <w:tcPr>
            <w:tcW w:type="dxa" w:w="1440"/>
          </w:tcPr>
          <w:p>
            <w:pPr>
              <w:keepNext/>
              <w:jc w:val="center"/>
            </w:pPr>
            <w:r/>
            <w:r>
              <w:rPr>
                <w:sz w:val="19"/>
              </w:rPr>
              <w:t>Shown</w:t>
            </w:r>
          </w:p>
        </w:tc>
      </w:tr>
      <w:tr>
        <w:tc>
          <w:tcPr>
            <w:tcW w:type="dxa" w:w="2448"/>
          </w:tcPr>
          <w:p>
            <w:pPr>
              <w:keepNext/>
            </w:pPr>
            <w:r/>
            <w:r>
              <w:rPr>
                <w:sz w:val="19"/>
              </w:rPr>
              <w:t>Leptospirosis</w:t>
            </w:r>
          </w:p>
        </w:tc>
        <w:tc>
          <w:tcPr>
            <w:tcW w:type="dxa" w:w="1440"/>
          </w:tcPr>
          <w:p>
            <w:pPr>
              <w:keepNext/>
              <w:jc w:val="center"/>
            </w:pPr>
            <w:r/>
            <w:r>
              <w:rPr>
                <w:sz w:val="19"/>
              </w:rPr>
              <w:t>19.7%</w:t>
            </w:r>
          </w:p>
        </w:tc>
        <w:tc>
          <w:tcPr>
            <w:tcW w:type="dxa" w:w="1440"/>
          </w:tcPr>
          <w:p>
            <w:pPr>
              <w:keepNext/>
              <w:jc w:val="center"/>
            </w:pPr>
            <w:r/>
            <w:r>
              <w:rPr>
                <w:sz w:val="19"/>
              </w:rPr>
              <w:t>35.0%</w:t>
            </w:r>
          </w:p>
        </w:tc>
        <w:tc>
          <w:tcPr>
            <w:tcW w:type="dxa" w:w="1296"/>
          </w:tcPr>
          <w:p>
            <w:pPr>
              <w:keepNext/>
              <w:jc w:val="center"/>
            </w:pPr>
            <w:r/>
            <w:r>
              <w:rPr>
                <w:sz w:val="19"/>
              </w:rPr>
              <w:t>2.74</w:t>
            </w:r>
          </w:p>
        </w:tc>
        <w:tc>
          <w:tcPr>
            <w:tcW w:type="dxa" w:w="1296"/>
          </w:tcPr>
          <w:p>
            <w:pPr>
              <w:keepNext/>
              <w:jc w:val="center"/>
            </w:pPr>
            <w:r/>
            <w:r>
              <w:rPr>
                <w:sz w:val="19"/>
              </w:rPr>
              <w:t>2.30</w:t>
            </w:r>
          </w:p>
        </w:tc>
        <w:tc>
          <w:tcPr>
            <w:tcW w:type="dxa" w:w="1440"/>
          </w:tcPr>
          <w:p>
            <w:pPr>
              <w:keepNext/>
              <w:jc w:val="center"/>
            </w:pPr>
            <w:r/>
            <w:r>
              <w:rPr>
                <w:sz w:val="19"/>
              </w:rPr>
              <w:t>Shown</w:t>
            </w:r>
          </w:p>
        </w:tc>
      </w:tr>
      <w:tr>
        <w:tc>
          <w:tcPr>
            <w:tcW w:type="dxa" w:w="2448"/>
            <w:shd w:val="clear" w:color="auto" w:fill="F1F5F9"/>
          </w:tcPr>
          <w:p>
            <w:r/>
            <w:r>
              <w:rPr>
                <w:sz w:val="19"/>
              </w:rPr>
              <w:t>Hand, foot and mouth disease</w:t>
            </w:r>
          </w:p>
        </w:tc>
        <w:tc>
          <w:tcPr>
            <w:tcW w:type="dxa" w:w="1440"/>
            <w:shd w:val="clear" w:color="auto" w:fill="F1F5F9"/>
          </w:tcPr>
          <w:p>
            <w:pPr>
              <w:jc w:val="center"/>
            </w:pPr>
            <w:r/>
            <w:r>
              <w:rPr>
                <w:sz w:val="19"/>
              </w:rPr>
              <w:t>149.8%</w:t>
            </w:r>
          </w:p>
        </w:tc>
        <w:tc>
          <w:tcPr>
            <w:tcW w:type="dxa" w:w="1440"/>
            <w:shd w:val="clear" w:color="auto" w:fill="F1F5F9"/>
          </w:tcPr>
          <w:p>
            <w:pPr>
              <w:jc w:val="center"/>
            </w:pPr>
            <w:r/>
            <w:r>
              <w:rPr>
                <w:sz w:val="19"/>
              </w:rPr>
              <w:t>10.1%</w:t>
            </w:r>
          </w:p>
        </w:tc>
        <w:tc>
          <w:tcPr>
            <w:tcW w:type="dxa" w:w="1296"/>
            <w:shd w:val="clear" w:color="auto" w:fill="F1F5F9"/>
          </w:tcPr>
          <w:p>
            <w:pPr>
              <w:jc w:val="center"/>
            </w:pPr>
            <w:r/>
            <w:r>
              <w:rPr>
                <w:sz w:val="19"/>
              </w:rPr>
              <w:t>3.02</w:t>
            </w:r>
          </w:p>
        </w:tc>
        <w:tc>
          <w:tcPr>
            <w:tcW w:type="dxa" w:w="1296"/>
            <w:shd w:val="clear" w:color="auto" w:fill="F1F5F9"/>
          </w:tcPr>
          <w:p>
            <w:pPr>
              <w:jc w:val="center"/>
            </w:pPr>
            <w:r/>
            <w:r>
              <w:rPr>
                <w:sz w:val="19"/>
              </w:rPr>
              <w:t>0.51</w:t>
            </w:r>
          </w:p>
        </w:tc>
        <w:tc>
          <w:tcPr>
            <w:tcW w:type="dxa" w:w="1440"/>
            <w:shd w:val="clear" w:color="auto" w:fill="F1F5F9"/>
          </w:tcPr>
          <w:p>
            <w:pPr>
              <w:jc w:val="center"/>
            </w:pPr>
            <w:r/>
            <w:r>
              <w:rPr>
                <w:sz w:val="19"/>
              </w:rPr>
              <w:t>Withheld</w:t>
            </w:r>
          </w:p>
        </w:tc>
      </w:tr>
    </w:tbl>
    <w:p/>
    <w:p>
      <w:r>
        <w:rPr>
          <w:b/>
          <w:i w:val="0"/>
        </w:rPr>
        <w:t>What the columns mean:</w:t>
      </w:r>
    </w:p>
    <w:p>
      <w:pPr>
        <w:pStyle w:val="ListBullet"/>
      </w:pPr>
      <w:r>
        <w:rPr>
          <w:b/>
        </w:rPr>
        <w:t xml:space="preserve">MAPE (Mean Absolute Percentage Error): </w:t>
      </w:r>
      <w:r>
        <w:t>the average miss per week, as a percentage of the actual count. H-MAP adds 1 to the actual count before dividing, so weeks with 0 cases do not make the percentage infinite. Example: 40 actual cases and a forecast of 30 is a miss of 10 / (40 + 1) = 24.4%.</w:t>
      </w:r>
    </w:p>
    <w:p>
      <w:pPr>
        <w:pStyle w:val="ListBullet"/>
      </w:pPr>
      <w:r>
        <w:rPr>
          <w:b/>
        </w:rPr>
        <w:t xml:space="preserve">RMSE (Root Mean Square Error): </w:t>
      </w:r>
      <w:r>
        <w:t>the typical miss in number of cases per week. Each week's miss is squared, averaged, then square-rooted, so one large miss counts more than several small ones. Example: misses of 2 and 4 cases give the square root of (4 + 16) / 2 = 3.16 cases.</w:t>
      </w:r>
    </w:p>
    <w:p>
      <w:pPr>
        <w:pStyle w:val="ListBullet"/>
      </w:pPr>
      <w:r>
        <w:rPr>
          <w:b/>
        </w:rPr>
        <w:t xml:space="preserve">Prophet error: </w:t>
      </w:r>
      <w:r>
        <w:t>how far the H-MAP forecast was from the actual weekly counts in 2024 and 2025.</w:t>
      </w:r>
    </w:p>
    <w:p>
      <w:pPr>
        <w:pStyle w:val="ListBullet"/>
      </w:pPr>
      <w:r>
        <w:rPr>
          <w:b/>
        </w:rPr>
        <w:t xml:space="preserve">Last-year error: </w:t>
      </w:r>
      <w:r>
        <w:t>how far the simple guess "same week last year" (also called the seasonal-naive forecast) was from the same actual counts.</w:t>
      </w:r>
    </w:p>
    <w:p>
      <w:pPr>
        <w:pStyle w:val="ListBullet"/>
      </w:pPr>
      <w:r>
        <w:rPr>
          <w:b/>
        </w:rPr>
        <w:t xml:space="preserve">On the dashboard: </w:t>
      </w:r>
      <w:r>
        <w:t>"Shown" when Prophet's MAPE is lower than the last-year MAPE, otherwise "Withheld". For both measures, lower is better.</w:t>
      </w:r>
    </w:p>
    <w:p>
      <w:pPr>
        <w:pStyle w:val="ListBullet"/>
      </w:pPr>
      <w:r>
        <w:rPr>
          <w:b/>
        </w:rPr>
        <w:t xml:space="preserve">ILI: </w:t>
      </w:r>
      <w:r>
        <w:t>Influenza-like illness.</w:t>
      </w:r>
    </w:p>
    <w:p>
      <w:pPr>
        <w:pStyle w:val="ListBullet"/>
      </w:pPr>
      <w:r>
        <w:rPr>
          <w:b/>
        </w:rPr>
        <w:t xml:space="preserve">HFMD: </w:t>
      </w:r>
      <w:r>
        <w:t>Hand, foot and mouth disease.</w:t>
      </w:r>
    </w:p>
    <w:p>
      <w:pPr>
        <w:pStyle w:val="ListBullet"/>
      </w:pPr>
      <w:r>
        <w:rPr>
          <w:b/>
        </w:rPr>
        <w:t xml:space="preserve">City-wide: </w:t>
      </w:r>
      <w:r>
        <w:t>all 16 barangays counted together.</w:t>
      </w:r>
    </w:p>
    <w:p>
      <w:r>
        <w:rPr>
          <w:i w:val="0"/>
        </w:rPr>
        <w:t>Why three diseases are withheld: Measles and HFMD have mostly zero weeks with occasional bursts, and influenza-like illness depends on which strains circulate in a given year. None of them follows a regular yearly pattern that Prophet can learn, so for these the CESU should rely on the thresholds and the single-case rule.</w:t>
      </w:r>
    </w:p>
    <w:p>
      <w:pPr>
        <w:pStyle w:val="Heading1"/>
      </w:pPr>
      <w:r>
        <w:t>4. How the CESU should read the forecast</w:t>
      </w:r>
    </w:p>
    <w:p>
      <w:pPr>
        <w:pStyle w:val="ListBullet"/>
      </w:pPr>
      <w:r>
        <w:rPr>
          <w:b/>
        </w:rPr>
        <w:t xml:space="preserve">Read the direction first. </w:t>
      </w:r>
      <w:r>
        <w:t>Is the line going up, flat or down over the four weeks? H-MAP calls a barangay's forecast "rising" when the fourth week is at least 10% and at least one case higher than the first. A rising forecast alone puts a barangay at Moderate risk.</w:t>
      </w:r>
    </w:p>
    <w:p>
      <w:pPr>
        <w:pStyle w:val="ListBullet"/>
      </w:pPr>
      <w:r>
        <w:rPr>
          <w:b/>
        </w:rPr>
        <w:t xml:space="preserve">Then read the range, not the single number. </w:t>
      </w:r>
      <w:r>
        <w:t>"About 50 to 80 cases next week" is the honest message; "63 cases" is not.</w:t>
      </w:r>
    </w:p>
    <w:p>
      <w:pPr>
        <w:pStyle w:val="ListBullet"/>
      </w:pPr>
      <w:r>
        <w:rPr>
          <w:b/>
        </w:rPr>
        <w:t xml:space="preserve">Compare the range with the thresholds. </w:t>
      </w:r>
      <w:r>
        <w:t>If the upper bound reaches the alert threshold for the coming weeks, prepare (supplies, information drives, search-and-destroy scheduling). If the forecast itself is above the epidemic threshold, treat it as an early warning and verify with the latest reports.</w:t>
      </w:r>
    </w:p>
    <w:p>
      <w:pPr>
        <w:pStyle w:val="ListBullet"/>
      </w:pPr>
      <w:r>
        <w:rPr>
          <w:b/>
        </w:rPr>
        <w:t xml:space="preserve">Check the latest weeks. </w:t>
      </w:r>
      <w:r>
        <w:t>The last one or two reported weeks are usually incomplete because of late reports, so actual counts often look low at first. Do not conclude that the forecast is too high until those weeks have filled in.</w:t>
      </w:r>
    </w:p>
    <w:p>
      <w:pPr>
        <w:pStyle w:val="ListBullet"/>
      </w:pPr>
      <w:r>
        <w:rPr>
          <w:b/>
        </w:rPr>
        <w:t xml:space="preserve">Add what the model cannot see. </w:t>
      </w:r>
      <w:r>
        <w:t>After heavy rains or flooding, expect leptospirosis and dengue to run above the forecast. After a strong vector control campaign, expect dengue below it.</w:t>
      </w:r>
    </w:p>
    <w:p>
      <w:pPr>
        <w:pStyle w:val="ListBullet"/>
      </w:pPr>
      <w:r>
        <w:rPr>
          <w:b/>
        </w:rPr>
        <w:t xml:space="preserve">Note the model's freshness. </w:t>
      </w:r>
      <w:r>
        <w:t>The forecast is anchored to the current week, but the model only knows the data it was trained on (currently up to December 2025). Retrain it whenever a newer PIDSR workbook is loaded (python ml/train_prophet.py), ideally monthly, so the forecast starts from recent weeks.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320"/>
            <w:shd w:val="clear" w:color="auto" w:fill="DBEAFE"/>
          </w:tcPr>
          <w:p>
            <w:pPr>
              <w:keepNext/>
            </w:pPr>
            <w:r/>
            <w:r>
              <w:rPr>
                <w:b/>
                <w:sz w:val="19"/>
              </w:rPr>
              <w:t>What the forecast shows</w:t>
            </w:r>
          </w:p>
        </w:tc>
        <w:tc>
          <w:tcPr>
            <w:tcW w:type="dxa" w:w="4896"/>
            <w:shd w:val="clear" w:color="auto" w:fill="DBEAFE"/>
          </w:tcPr>
          <w:p>
            <w:pPr>
              <w:keepNext/>
            </w:pPr>
            <w:r/>
            <w:r>
              <w:rPr>
                <w:b/>
                <w:sz w:val="19"/>
              </w:rPr>
              <w:t>Suggested reading</w:t>
            </w:r>
          </w:p>
        </w:tc>
      </w:tr>
      <w:tr>
        <w:tc>
          <w:tcPr>
            <w:tcW w:type="dxa" w:w="4320"/>
          </w:tcPr>
          <w:p>
            <w:pPr>
              <w:keepNext/>
            </w:pPr>
            <w:r/>
            <w:r>
              <w:rPr>
                <w:sz w:val="19"/>
              </w:rPr>
              <w:t>Flat or falling, well below the alert line</w:t>
            </w:r>
          </w:p>
        </w:tc>
        <w:tc>
          <w:tcPr>
            <w:tcW w:type="dxa" w:w="4896"/>
          </w:tcPr>
          <w:p>
            <w:pPr>
              <w:keepNext/>
            </w:pPr>
            <w:r/>
            <w:r>
              <w:rPr>
                <w:sz w:val="19"/>
              </w:rPr>
              <w:t>Routine surveillance.</w:t>
            </w:r>
          </w:p>
        </w:tc>
      </w:tr>
      <w:tr>
        <w:tc>
          <w:tcPr>
            <w:tcW w:type="dxa" w:w="4320"/>
          </w:tcPr>
          <w:p>
            <w:pPr>
              <w:keepNext/>
            </w:pPr>
            <w:r/>
            <w:r>
              <w:rPr>
                <w:sz w:val="19"/>
              </w:rPr>
              <w:t>Rising, upper bound near or above the alert line</w:t>
            </w:r>
          </w:p>
        </w:tc>
        <w:tc>
          <w:tcPr>
            <w:tcW w:type="dxa" w:w="4896"/>
          </w:tcPr>
          <w:p>
            <w:pPr>
              <w:keepNext/>
            </w:pPr>
            <w:r/>
            <w:r>
              <w:rPr>
                <w:sz w:val="19"/>
              </w:rPr>
              <w:t>Prepare and watch the next reports closely.</w:t>
            </w:r>
          </w:p>
        </w:tc>
      </w:tr>
      <w:tr>
        <w:tc>
          <w:tcPr>
            <w:tcW w:type="dxa" w:w="4320"/>
          </w:tcPr>
          <w:p>
            <w:pPr>
              <w:keepNext/>
            </w:pPr>
            <w:r/>
            <w:r>
              <w:rPr>
                <w:sz w:val="19"/>
              </w:rPr>
              <w:t>Forecast above the epidemic line</w:t>
            </w:r>
          </w:p>
        </w:tc>
        <w:tc>
          <w:tcPr>
            <w:tcW w:type="dxa" w:w="4896"/>
          </w:tcPr>
          <w:p>
            <w:pPr>
              <w:keepNext/>
            </w:pPr>
            <w:r/>
            <w:r>
              <w:rPr>
                <w:sz w:val="19"/>
              </w:rPr>
              <w:t>Early warning. Verify with current case reports and hotspots.</w:t>
            </w:r>
          </w:p>
        </w:tc>
      </w:tr>
      <w:tr>
        <w:tc>
          <w:tcPr>
            <w:tcW w:type="dxa" w:w="4320"/>
          </w:tcPr>
          <w:p>
            <w:r/>
            <w:r>
              <w:rPr>
                <w:sz w:val="19"/>
              </w:rPr>
              <w:t>Forecast withheld</w:t>
            </w:r>
          </w:p>
        </w:tc>
        <w:tc>
          <w:tcPr>
            <w:tcW w:type="dxa" w:w="4896"/>
          </w:tcPr>
          <w:p>
            <w:r/>
            <w:r>
              <w:rPr>
                <w:sz w:val="19"/>
              </w:rPr>
              <w:t>Use thresholds, the single-case rule and hotspots only.</w:t>
            </w:r>
          </w:p>
        </w:tc>
      </w:tr>
    </w:tbl>
    <w:p/>
    <w:p>
      <w:pPr>
        <w:pStyle w:val="Heading1"/>
      </w:pPr>
      <w:r>
        <w:t>5. How accurate it has been on Parañaque data</w:t>
      </w:r>
    </w:p>
    <w:p>
      <w:pPr>
        <w:pStyle w:val="Heading2"/>
      </w:pPr>
      <w:r>
        <w:t>5.1 Two-year test (the display check)</w:t>
      </w:r>
    </w:p>
    <w:p>
      <w:r>
        <w:rPr>
          <w:i w:val="0"/>
        </w:rPr>
        <w:t>Figure 1 shows the test from Section 3 for dengue: one forecast made at the end of 2023 for every week of 2024 and 2025. Prophet caught the timing of both rainy seasons and missed less than the same-week-last-year guess (RMSE 20.2 against 27.6 cases per week). It did not foresee the size of the 2024 season: actual cases reached about 91 a week while the forecast peaked near 33. A forecast made far ahead knows when the season comes, not how big it will be. 71% of the actual weeks fell inside the 80% range, so the range is somewhat narrower than it claims: treat it as the typical range, not a guarantee.</w:t>
      </w:r>
    </w:p>
    <w:p>
      <w:pPr>
        <w:jc w:val="center"/>
      </w:pPr>
      <w:r>
        <w:drawing>
          <wp:inline xmlns:a="http://schemas.openxmlformats.org/drawingml/2006/main" xmlns:pic="http://schemas.openxmlformats.org/drawingml/2006/picture">
            <wp:extent cx="5760720" cy="2646817"/>
            <wp:docPr id="1" name="Picture 1"/>
            <wp:cNvGraphicFramePr>
              <a:graphicFrameLocks noChangeAspect="1"/>
            </wp:cNvGraphicFramePr>
            <a:graphic>
              <a:graphicData uri="http://schemas.openxmlformats.org/drawingml/2006/picture">
                <pic:pic>
                  <pic:nvPicPr>
                    <pic:cNvPr id="0" name="prophet_holdout_dengue.png"/>
                    <pic:cNvPicPr/>
                  </pic:nvPicPr>
                  <pic:blipFill>
                    <a:blip r:embed="rId9"/>
                    <a:stretch>
                      <a:fillRect/>
                    </a:stretch>
                  </pic:blipFill>
                  <pic:spPr>
                    <a:xfrm>
                      <a:off x="0" y="0"/>
                      <a:ext cx="5760720" cy="2646817"/>
                    </a:xfrm>
                    <a:prstGeom prst="rect"/>
                  </pic:spPr>
                </pic:pic>
              </a:graphicData>
            </a:graphic>
          </wp:inline>
        </w:drawing>
      </w:r>
    </w:p>
    <w:p>
      <w:pPr>
        <w:jc w:val="center"/>
      </w:pPr>
      <w:r>
        <w:rPr>
          <w:i/>
          <w:sz w:val="19"/>
        </w:rPr>
        <w:t>Figure 1. Dengue, city-wide: actual weekly cases in 2024-2025 against a forecast made at the end of 2023.</w:t>
      </w:r>
    </w:p>
    <w:p>
      <w:pPr>
        <w:pStyle w:val="Heading2"/>
      </w:pPr>
      <w:r>
        <w:t>5.2 Four-week test (how the dashboard is used)</w:t>
      </w:r>
    </w:p>
    <w:p>
      <w:r>
        <w:rPr>
          <w:i w:val="0"/>
        </w:rPr>
        <w:t>The dashboard shows only the next four weeks, from a model that has seen all earlier data. To test exactly that, the model was retrained every four weeks through 2024 and 2025, each time forecasting the next four weeks only, and compared with what happened.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584"/>
            <w:shd w:val="clear" w:color="auto" w:fill="DBEAFE"/>
          </w:tcPr>
          <w:p>
            <w:pPr>
              <w:keepNext/>
            </w:pPr>
            <w:r/>
            <w:r>
              <w:rPr>
                <w:b/>
                <w:sz w:val="18"/>
              </w:rPr>
              <w:t>Disease</w:t>
            </w:r>
          </w:p>
        </w:tc>
        <w:tc>
          <w:tcPr>
            <w:tcW w:type="dxa" w:w="1440"/>
            <w:shd w:val="clear" w:color="auto" w:fill="DBEAFE"/>
          </w:tcPr>
          <w:p>
            <w:pPr>
              <w:keepNext/>
            </w:pPr>
            <w:r/>
            <w:r>
              <w:rPr>
                <w:b/>
                <w:sz w:val="18"/>
              </w:rPr>
              <w:t>Avg miss, Prophet (cases/wk)</w:t>
            </w:r>
          </w:p>
        </w:tc>
        <w:tc>
          <w:tcPr>
            <w:tcW w:type="dxa" w:w="1440"/>
            <w:shd w:val="clear" w:color="auto" w:fill="DBEAFE"/>
          </w:tcPr>
          <w:p>
            <w:pPr>
              <w:keepNext/>
            </w:pPr>
            <w:r/>
            <w:r>
              <w:rPr>
                <w:b/>
                <w:sz w:val="18"/>
              </w:rPr>
              <w:t>Avg miss, last year (cases/wk)</w:t>
            </w:r>
          </w:p>
        </w:tc>
        <w:tc>
          <w:tcPr>
            <w:tcW w:type="dxa" w:w="1224"/>
            <w:shd w:val="clear" w:color="auto" w:fill="DBEAFE"/>
          </w:tcPr>
          <w:p>
            <w:pPr>
              <w:keepNext/>
            </w:pPr>
            <w:r/>
            <w:r>
              <w:rPr>
                <w:b/>
                <w:sz w:val="18"/>
              </w:rPr>
              <w:t>Prophet MAPE</w:t>
            </w:r>
          </w:p>
        </w:tc>
        <w:tc>
          <w:tcPr>
            <w:tcW w:type="dxa" w:w="1224"/>
            <w:shd w:val="clear" w:color="auto" w:fill="DBEAFE"/>
          </w:tcPr>
          <w:p>
            <w:pPr>
              <w:keepNext/>
            </w:pPr>
            <w:r/>
            <w:r>
              <w:rPr>
                <w:b/>
                <w:sz w:val="18"/>
              </w:rPr>
              <w:t>Last-year MAPE</w:t>
            </w:r>
          </w:p>
        </w:tc>
        <w:tc>
          <w:tcPr>
            <w:tcW w:type="dxa" w:w="1296"/>
            <w:shd w:val="clear" w:color="auto" w:fill="DBEAFE"/>
          </w:tcPr>
          <w:p>
            <w:pPr>
              <w:keepNext/>
            </w:pPr>
            <w:r/>
            <w:r>
              <w:rPr>
                <w:b/>
                <w:sz w:val="18"/>
              </w:rPr>
              <w:t>Weeks inside 80% range</w:t>
            </w:r>
          </w:p>
        </w:tc>
        <w:tc>
          <w:tcPr>
            <w:tcW w:type="dxa" w:w="1296"/>
            <w:shd w:val="clear" w:color="auto" w:fill="DBEAFE"/>
          </w:tcPr>
          <w:p>
            <w:pPr>
              <w:keepNext/>
            </w:pPr>
            <w:r/>
            <w:r>
              <w:rPr>
                <w:b/>
                <w:sz w:val="18"/>
              </w:rPr>
              <w:t>Direction correct</w:t>
            </w:r>
          </w:p>
        </w:tc>
      </w:tr>
      <w:tr>
        <w:tc>
          <w:tcPr>
            <w:tcW w:type="dxa" w:w="1584"/>
          </w:tcPr>
          <w:p>
            <w:pPr>
              <w:keepNext/>
            </w:pPr>
            <w:r/>
            <w:r>
              <w:rPr>
                <w:sz w:val="18"/>
              </w:rPr>
              <w:t>Dengue</w:t>
            </w:r>
          </w:p>
        </w:tc>
        <w:tc>
          <w:tcPr>
            <w:tcW w:type="dxa" w:w="1440"/>
          </w:tcPr>
          <w:p>
            <w:pPr>
              <w:keepNext/>
              <w:jc w:val="center"/>
            </w:pPr>
            <w:r/>
            <w:r>
              <w:rPr>
                <w:sz w:val="18"/>
              </w:rPr>
              <w:t>14.2</w:t>
            </w:r>
          </w:p>
        </w:tc>
        <w:tc>
          <w:tcPr>
            <w:tcW w:type="dxa" w:w="1440"/>
          </w:tcPr>
          <w:p>
            <w:pPr>
              <w:keepNext/>
              <w:jc w:val="center"/>
            </w:pPr>
            <w:r/>
            <w:r>
              <w:rPr>
                <w:sz w:val="18"/>
              </w:rPr>
              <w:t>19.4</w:t>
            </w:r>
          </w:p>
        </w:tc>
        <w:tc>
          <w:tcPr>
            <w:tcW w:type="dxa" w:w="1224"/>
          </w:tcPr>
          <w:p>
            <w:pPr>
              <w:keepNext/>
              <w:jc w:val="center"/>
            </w:pPr>
            <w:r/>
            <w:r>
              <w:rPr>
                <w:sz w:val="18"/>
              </w:rPr>
              <w:t>57.6%</w:t>
            </w:r>
          </w:p>
        </w:tc>
        <w:tc>
          <w:tcPr>
            <w:tcW w:type="dxa" w:w="1224"/>
          </w:tcPr>
          <w:p>
            <w:pPr>
              <w:keepNext/>
              <w:jc w:val="center"/>
            </w:pPr>
            <w:r/>
            <w:r>
              <w:rPr>
                <w:sz w:val="18"/>
              </w:rPr>
              <w:t>69.7%</w:t>
            </w:r>
          </w:p>
        </w:tc>
        <w:tc>
          <w:tcPr>
            <w:tcW w:type="dxa" w:w="1296"/>
          </w:tcPr>
          <w:p>
            <w:pPr>
              <w:keepNext/>
              <w:jc w:val="center"/>
            </w:pPr>
            <w:r/>
            <w:r>
              <w:rPr>
                <w:sz w:val="18"/>
              </w:rPr>
              <w:t>66%</w:t>
            </w:r>
          </w:p>
        </w:tc>
        <w:tc>
          <w:tcPr>
            <w:tcW w:type="dxa" w:w="1296"/>
          </w:tcPr>
          <w:p>
            <w:pPr>
              <w:keepNext/>
              <w:jc w:val="center"/>
            </w:pPr>
            <w:r/>
            <w:r>
              <w:rPr>
                <w:sz w:val="18"/>
              </w:rPr>
              <w:t>22 of 26</w:t>
            </w:r>
          </w:p>
        </w:tc>
      </w:tr>
      <w:tr>
        <w:tc>
          <w:tcPr>
            <w:tcW w:type="dxa" w:w="1584"/>
          </w:tcPr>
          <w:p>
            <w:pPr>
              <w:keepNext/>
            </w:pPr>
            <w:r/>
            <w:r>
              <w:rPr>
                <w:sz w:val="18"/>
              </w:rPr>
              <w:t>Typhoid</w:t>
            </w:r>
          </w:p>
        </w:tc>
        <w:tc>
          <w:tcPr>
            <w:tcW w:type="dxa" w:w="1440"/>
          </w:tcPr>
          <w:p>
            <w:pPr>
              <w:keepNext/>
              <w:jc w:val="center"/>
            </w:pPr>
            <w:r/>
            <w:r>
              <w:rPr>
                <w:sz w:val="18"/>
              </w:rPr>
              <w:t>0.9</w:t>
            </w:r>
          </w:p>
        </w:tc>
        <w:tc>
          <w:tcPr>
            <w:tcW w:type="dxa" w:w="1440"/>
          </w:tcPr>
          <w:p>
            <w:pPr>
              <w:keepNext/>
              <w:jc w:val="center"/>
            </w:pPr>
            <w:r/>
            <w:r>
              <w:rPr>
                <w:sz w:val="18"/>
              </w:rPr>
              <w:t>1.0</w:t>
            </w:r>
          </w:p>
        </w:tc>
        <w:tc>
          <w:tcPr>
            <w:tcW w:type="dxa" w:w="1224"/>
          </w:tcPr>
          <w:p>
            <w:pPr>
              <w:keepNext/>
              <w:jc w:val="center"/>
            </w:pPr>
            <w:r/>
            <w:r>
              <w:rPr>
                <w:sz w:val="18"/>
              </w:rPr>
              <w:t>37.3%</w:t>
            </w:r>
          </w:p>
        </w:tc>
        <w:tc>
          <w:tcPr>
            <w:tcW w:type="dxa" w:w="1224"/>
          </w:tcPr>
          <w:p>
            <w:pPr>
              <w:keepNext/>
              <w:jc w:val="center"/>
            </w:pPr>
            <w:r/>
            <w:r>
              <w:rPr>
                <w:sz w:val="18"/>
              </w:rPr>
              <w:t>43.9%</w:t>
            </w:r>
          </w:p>
        </w:tc>
        <w:tc>
          <w:tcPr>
            <w:tcW w:type="dxa" w:w="1296"/>
          </w:tcPr>
          <w:p>
            <w:pPr>
              <w:keepNext/>
              <w:jc w:val="center"/>
            </w:pPr>
            <w:r/>
            <w:r>
              <w:rPr>
                <w:sz w:val="18"/>
              </w:rPr>
              <w:t>77%</w:t>
            </w:r>
          </w:p>
        </w:tc>
        <w:tc>
          <w:tcPr>
            <w:tcW w:type="dxa" w:w="1296"/>
          </w:tcPr>
          <w:p>
            <w:pPr>
              <w:keepNext/>
              <w:jc w:val="center"/>
            </w:pPr>
            <w:r/>
            <w:r>
              <w:rPr>
                <w:sz w:val="18"/>
              </w:rPr>
              <w:t>13 of 22</w:t>
            </w:r>
          </w:p>
        </w:tc>
      </w:tr>
      <w:tr>
        <w:tc>
          <w:tcPr>
            <w:tcW w:type="dxa" w:w="1584"/>
          </w:tcPr>
          <w:p>
            <w:r/>
            <w:r>
              <w:rPr>
                <w:sz w:val="18"/>
              </w:rPr>
              <w:t>Leptospirosis</w:t>
            </w:r>
          </w:p>
        </w:tc>
        <w:tc>
          <w:tcPr>
            <w:tcW w:type="dxa" w:w="1440"/>
          </w:tcPr>
          <w:p>
            <w:pPr>
              <w:jc w:val="center"/>
            </w:pPr>
            <w:r/>
            <w:r>
              <w:rPr>
                <w:sz w:val="18"/>
              </w:rPr>
              <w:t>1.2</w:t>
            </w:r>
          </w:p>
        </w:tc>
        <w:tc>
          <w:tcPr>
            <w:tcW w:type="dxa" w:w="1440"/>
          </w:tcPr>
          <w:p>
            <w:pPr>
              <w:jc w:val="center"/>
            </w:pPr>
            <w:r/>
            <w:r>
              <w:rPr>
                <w:sz w:val="18"/>
              </w:rPr>
              <w:t>0.9</w:t>
            </w:r>
          </w:p>
        </w:tc>
        <w:tc>
          <w:tcPr>
            <w:tcW w:type="dxa" w:w="1224"/>
          </w:tcPr>
          <w:p>
            <w:pPr>
              <w:jc w:val="center"/>
            </w:pPr>
            <w:r/>
            <w:r>
              <w:rPr>
                <w:sz w:val="18"/>
              </w:rPr>
              <w:t>56.4%</w:t>
            </w:r>
          </w:p>
        </w:tc>
        <w:tc>
          <w:tcPr>
            <w:tcW w:type="dxa" w:w="1224"/>
          </w:tcPr>
          <w:p>
            <w:pPr>
              <w:jc w:val="center"/>
            </w:pPr>
            <w:r/>
            <w:r>
              <w:rPr>
                <w:sz w:val="18"/>
              </w:rPr>
              <w:t>35.0%</w:t>
            </w:r>
          </w:p>
        </w:tc>
        <w:tc>
          <w:tcPr>
            <w:tcW w:type="dxa" w:w="1296"/>
          </w:tcPr>
          <w:p>
            <w:pPr>
              <w:jc w:val="center"/>
            </w:pPr>
            <w:r/>
            <w:r>
              <w:rPr>
                <w:sz w:val="18"/>
              </w:rPr>
              <w:t>68%</w:t>
            </w:r>
          </w:p>
        </w:tc>
        <w:tc>
          <w:tcPr>
            <w:tcW w:type="dxa" w:w="1296"/>
          </w:tcPr>
          <w:p>
            <w:pPr>
              <w:jc w:val="center"/>
            </w:pPr>
            <w:r/>
            <w:r>
              <w:rPr>
                <w:sz w:val="18"/>
              </w:rPr>
              <w:t>11 of 23</w:t>
            </w:r>
          </w:p>
        </w:tc>
      </w:tr>
    </w:tbl>
    <w:p/>
    <w:p>
      <w:r>
        <w:rPr>
          <w:i w:val="0"/>
        </w:rPr>
        <w:t>Dengue. Over 2024-2025 the city averaged 26 dengue cases a week (lowest 1, highest 91). The four-week forecast missed by 14.2 cases a week on average, against 19.4 for the last-year guess, and it called the direction of the next four weeks (up or down from the previous four) correctly 22 times out of 26. The one-week-ahead forecast was the most accurate (MAPE 48%, against 64% four weeks ahead). This is the strongest result and the main use of the forecast. Figure 2 also shows its typical mistake: in 2024 it followed the rise but stayed below the peak, and in 2025, having just seen a large season, it expected another one and ran above the actual counts. The forecast tends to repeat the size of recent seasons; the threshold lines and the current reports show whether this season is different.</w:t>
      </w:r>
    </w:p>
    <w:p>
      <w:pPr>
        <w:jc w:val="center"/>
      </w:pPr>
      <w:r>
        <w:drawing>
          <wp:inline xmlns:a="http://schemas.openxmlformats.org/drawingml/2006/main" xmlns:pic="http://schemas.openxmlformats.org/drawingml/2006/picture">
            <wp:extent cx="5760720" cy="2646817"/>
            <wp:docPr id="2" name="Picture 2"/>
            <wp:cNvGraphicFramePr>
              <a:graphicFrameLocks noChangeAspect="1"/>
            </wp:cNvGraphicFramePr>
            <a:graphic>
              <a:graphicData uri="http://schemas.openxmlformats.org/drawingml/2006/picture">
                <pic:pic>
                  <pic:nvPicPr>
                    <pic:cNvPr id="0" name="prophet_rolling_dengue.png"/>
                    <pic:cNvPicPr/>
                  </pic:nvPicPr>
                  <pic:blipFill>
                    <a:blip r:embed="rId10"/>
                    <a:stretch>
                      <a:fillRect/>
                    </a:stretch>
                  </pic:blipFill>
                  <pic:spPr>
                    <a:xfrm>
                      <a:off x="0" y="0"/>
                      <a:ext cx="5760720" cy="2646817"/>
                    </a:xfrm>
                    <a:prstGeom prst="rect"/>
                  </pic:spPr>
                </pic:pic>
              </a:graphicData>
            </a:graphic>
          </wp:inline>
        </w:drawing>
      </w:r>
    </w:p>
    <w:p>
      <w:pPr>
        <w:jc w:val="center"/>
      </w:pPr>
      <w:r>
        <w:rPr>
          <w:i/>
          <w:sz w:val="19"/>
        </w:rPr>
        <w:t>Figure 2. Dengue, city-wide: each orange segment is a 4-week forecast made with the data available at the time.</w:t>
      </w:r>
    </w:p>
    <w:p>
      <w:r>
        <w:rPr>
          <w:i w:val="0"/>
        </w:rPr>
        <w:t>Typhoid. Small but consistent gain over the last-year guess (average miss 0.9 against 1.0 cases a week). With only one or two cases a week, the direction is often a matter of a single case, so read typhoid forecasts as "low and steady" or "higher than usual" only.</w:t>
      </w:r>
    </w:p>
    <w:p>
      <w:r>
        <w:rPr>
          <w:i w:val="0"/>
        </w:rPr>
        <w:t>Leptospirosis: read with caution. Leptospirosis passes the two-year check, but in the four-week test it did worse than the last-year guess (average miss 1.15 against 0.95 cases a week) and called the direction correctly only 11 times out of 23, about as often as a coin toss. Leptospirosis follows floods, which a yearly pattern cannot predict. Until the display check also uses the four-week test, the CESU should treat the leptospirosis forecast as background information and act on rainfall, flooding and case reports instead.</w:t>
      </w:r>
    </w:p>
    <w:p>
      <w:pPr>
        <w:pStyle w:val="Heading2"/>
      </w:pPr>
      <w:r>
        <w:t>5.3 Barangay-level dengue forecasts</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2880"/>
            <w:shd w:val="clear" w:color="auto" w:fill="DBEAFE"/>
          </w:tcPr>
          <w:p>
            <w:r/>
            <w:r>
              <w:rPr>
                <w:b/>
                <w:sz w:val="18"/>
              </w:rPr>
              <w:t>Barangay</w:t>
            </w:r>
          </w:p>
        </w:tc>
        <w:tc>
          <w:tcPr>
            <w:tcW w:type="dxa" w:w="1584"/>
            <w:shd w:val="clear" w:color="auto" w:fill="DBEAFE"/>
          </w:tcPr>
          <w:p>
            <w:r/>
            <w:r>
              <w:rPr>
                <w:b/>
                <w:sz w:val="18"/>
              </w:rPr>
              <w:t>Prophet MAPE</w:t>
            </w:r>
          </w:p>
        </w:tc>
        <w:tc>
          <w:tcPr>
            <w:tcW w:type="dxa" w:w="1584"/>
            <w:shd w:val="clear" w:color="auto" w:fill="DBEAFE"/>
          </w:tcPr>
          <w:p>
            <w:r/>
            <w:r>
              <w:rPr>
                <w:b/>
                <w:sz w:val="18"/>
              </w:rPr>
              <w:t>Last-year MAPE</w:t>
            </w:r>
          </w:p>
        </w:tc>
        <w:tc>
          <w:tcPr>
            <w:tcW w:type="dxa" w:w="1584"/>
            <w:shd w:val="clear" w:color="auto" w:fill="DBEAFE"/>
          </w:tcPr>
          <w:p>
            <w:r/>
            <w:r>
              <w:rPr>
                <w:b/>
                <w:sz w:val="18"/>
              </w:rPr>
              <w:t>Prophet RMSE</w:t>
            </w:r>
          </w:p>
        </w:tc>
        <w:tc>
          <w:tcPr>
            <w:tcW w:type="dxa" w:w="1584"/>
            <w:shd w:val="clear" w:color="auto" w:fill="DBEAFE"/>
          </w:tcPr>
          <w:p>
            <w:r/>
            <w:r>
              <w:rPr>
                <w:b/>
                <w:sz w:val="18"/>
              </w:rPr>
              <w:t>Last-year RMSE</w:t>
            </w:r>
          </w:p>
        </w:tc>
      </w:tr>
      <w:tr>
        <w:tc>
          <w:tcPr>
            <w:tcW w:type="dxa" w:w="2880"/>
          </w:tcPr>
          <w:p>
            <w:r/>
            <w:r>
              <w:rPr>
                <w:sz w:val="18"/>
              </w:rPr>
              <w:t>Don Galo</w:t>
            </w:r>
          </w:p>
        </w:tc>
        <w:tc>
          <w:tcPr>
            <w:tcW w:type="dxa" w:w="1584"/>
          </w:tcPr>
          <w:p>
            <w:pPr>
              <w:jc w:val="center"/>
            </w:pPr>
            <w:r/>
            <w:r>
              <w:rPr>
                <w:sz w:val="18"/>
              </w:rPr>
              <w:t>22.9%</w:t>
            </w:r>
          </w:p>
        </w:tc>
        <w:tc>
          <w:tcPr>
            <w:tcW w:type="dxa" w:w="1584"/>
          </w:tcPr>
          <w:p>
            <w:pPr>
              <w:jc w:val="center"/>
            </w:pPr>
            <w:r/>
            <w:r>
              <w:rPr>
                <w:sz w:val="18"/>
              </w:rPr>
              <w:t>42.2%</w:t>
            </w:r>
          </w:p>
        </w:tc>
        <w:tc>
          <w:tcPr>
            <w:tcW w:type="dxa" w:w="1584"/>
          </w:tcPr>
          <w:p>
            <w:pPr>
              <w:jc w:val="center"/>
            </w:pPr>
            <w:r/>
            <w:r>
              <w:rPr>
                <w:sz w:val="18"/>
              </w:rPr>
              <w:t>1.01</w:t>
            </w:r>
          </w:p>
        </w:tc>
        <w:tc>
          <w:tcPr>
            <w:tcW w:type="dxa" w:w="1584"/>
          </w:tcPr>
          <w:p>
            <w:pPr>
              <w:jc w:val="center"/>
            </w:pPr>
            <w:r/>
            <w:r>
              <w:rPr>
                <w:sz w:val="18"/>
              </w:rPr>
              <w:t>1.29</w:t>
            </w:r>
          </w:p>
        </w:tc>
      </w:tr>
      <w:tr>
        <w:tc>
          <w:tcPr>
            <w:tcW w:type="dxa" w:w="2880"/>
          </w:tcPr>
          <w:p>
            <w:r/>
            <w:r>
              <w:rPr>
                <w:sz w:val="18"/>
              </w:rPr>
              <w:t>La Huerta</w:t>
            </w:r>
          </w:p>
        </w:tc>
        <w:tc>
          <w:tcPr>
            <w:tcW w:type="dxa" w:w="1584"/>
          </w:tcPr>
          <w:p>
            <w:pPr>
              <w:jc w:val="center"/>
            </w:pPr>
            <w:r/>
            <w:r>
              <w:rPr>
                <w:sz w:val="18"/>
              </w:rPr>
              <w:t>30.5%</w:t>
            </w:r>
          </w:p>
        </w:tc>
        <w:tc>
          <w:tcPr>
            <w:tcW w:type="dxa" w:w="1584"/>
          </w:tcPr>
          <w:p>
            <w:pPr>
              <w:jc w:val="center"/>
            </w:pPr>
            <w:r/>
            <w:r>
              <w:rPr>
                <w:sz w:val="18"/>
              </w:rPr>
              <w:t>51.1%</w:t>
            </w:r>
          </w:p>
        </w:tc>
        <w:tc>
          <w:tcPr>
            <w:tcW w:type="dxa" w:w="1584"/>
          </w:tcPr>
          <w:p>
            <w:pPr>
              <w:jc w:val="center"/>
            </w:pPr>
            <w:r/>
            <w:r>
              <w:rPr>
                <w:sz w:val="18"/>
              </w:rPr>
              <w:t>1.68</w:t>
            </w:r>
          </w:p>
        </w:tc>
        <w:tc>
          <w:tcPr>
            <w:tcW w:type="dxa" w:w="1584"/>
          </w:tcPr>
          <w:p>
            <w:pPr>
              <w:jc w:val="center"/>
            </w:pPr>
            <w:r/>
            <w:r>
              <w:rPr>
                <w:sz w:val="18"/>
              </w:rPr>
              <w:t>2.05</w:t>
            </w:r>
          </w:p>
        </w:tc>
      </w:tr>
      <w:tr>
        <w:tc>
          <w:tcPr>
            <w:tcW w:type="dxa" w:w="2880"/>
          </w:tcPr>
          <w:p>
            <w:r/>
            <w:r>
              <w:rPr>
                <w:sz w:val="18"/>
              </w:rPr>
              <w:t>Merville</w:t>
            </w:r>
          </w:p>
        </w:tc>
        <w:tc>
          <w:tcPr>
            <w:tcW w:type="dxa" w:w="1584"/>
          </w:tcPr>
          <w:p>
            <w:pPr>
              <w:jc w:val="center"/>
            </w:pPr>
            <w:r/>
            <w:r>
              <w:rPr>
                <w:sz w:val="18"/>
              </w:rPr>
              <w:t>31.2%</w:t>
            </w:r>
          </w:p>
        </w:tc>
        <w:tc>
          <w:tcPr>
            <w:tcW w:type="dxa" w:w="1584"/>
          </w:tcPr>
          <w:p>
            <w:pPr>
              <w:jc w:val="center"/>
            </w:pPr>
            <w:r/>
            <w:r>
              <w:rPr>
                <w:sz w:val="18"/>
              </w:rPr>
              <w:t>46.9%</w:t>
            </w:r>
          </w:p>
        </w:tc>
        <w:tc>
          <w:tcPr>
            <w:tcW w:type="dxa" w:w="1584"/>
          </w:tcPr>
          <w:p>
            <w:pPr>
              <w:jc w:val="center"/>
            </w:pPr>
            <w:r/>
            <w:r>
              <w:rPr>
                <w:sz w:val="18"/>
              </w:rPr>
              <w:t>1.18</w:t>
            </w:r>
          </w:p>
        </w:tc>
        <w:tc>
          <w:tcPr>
            <w:tcW w:type="dxa" w:w="1584"/>
          </w:tcPr>
          <w:p>
            <w:pPr>
              <w:jc w:val="center"/>
            </w:pPr>
            <w:r/>
            <w:r>
              <w:rPr>
                <w:sz w:val="18"/>
              </w:rPr>
              <w:t>1.22</w:t>
            </w:r>
          </w:p>
        </w:tc>
      </w:tr>
      <w:tr>
        <w:tc>
          <w:tcPr>
            <w:tcW w:type="dxa" w:w="2880"/>
          </w:tcPr>
          <w:p>
            <w:r/>
            <w:r>
              <w:rPr>
                <w:sz w:val="18"/>
              </w:rPr>
              <w:t>San Martin de Porres</w:t>
            </w:r>
          </w:p>
        </w:tc>
        <w:tc>
          <w:tcPr>
            <w:tcW w:type="dxa" w:w="1584"/>
          </w:tcPr>
          <w:p>
            <w:pPr>
              <w:jc w:val="center"/>
            </w:pPr>
            <w:r/>
            <w:r>
              <w:rPr>
                <w:sz w:val="18"/>
              </w:rPr>
              <w:t>32.6%</w:t>
            </w:r>
          </w:p>
        </w:tc>
        <w:tc>
          <w:tcPr>
            <w:tcW w:type="dxa" w:w="1584"/>
          </w:tcPr>
          <w:p>
            <w:pPr>
              <w:jc w:val="center"/>
            </w:pPr>
            <w:r/>
            <w:r>
              <w:rPr>
                <w:sz w:val="18"/>
              </w:rPr>
              <w:t>50.8%</w:t>
            </w:r>
          </w:p>
        </w:tc>
        <w:tc>
          <w:tcPr>
            <w:tcW w:type="dxa" w:w="1584"/>
          </w:tcPr>
          <w:p>
            <w:pPr>
              <w:jc w:val="center"/>
            </w:pPr>
            <w:r/>
            <w:r>
              <w:rPr>
                <w:sz w:val="18"/>
              </w:rPr>
              <w:t>1.23</w:t>
            </w:r>
          </w:p>
        </w:tc>
        <w:tc>
          <w:tcPr>
            <w:tcW w:type="dxa" w:w="1584"/>
          </w:tcPr>
          <w:p>
            <w:pPr>
              <w:jc w:val="center"/>
            </w:pPr>
            <w:r/>
            <w:r>
              <w:rPr>
                <w:sz w:val="18"/>
              </w:rPr>
              <w:t>1.60</w:t>
            </w:r>
          </w:p>
        </w:tc>
      </w:tr>
      <w:tr>
        <w:tc>
          <w:tcPr>
            <w:tcW w:type="dxa" w:w="2880"/>
          </w:tcPr>
          <w:p>
            <w:r/>
            <w:r>
              <w:rPr>
                <w:sz w:val="18"/>
              </w:rPr>
              <w:t>Baclaran</w:t>
            </w:r>
          </w:p>
        </w:tc>
        <w:tc>
          <w:tcPr>
            <w:tcW w:type="dxa" w:w="1584"/>
          </w:tcPr>
          <w:p>
            <w:pPr>
              <w:jc w:val="center"/>
            </w:pPr>
            <w:r/>
            <w:r>
              <w:rPr>
                <w:sz w:val="18"/>
              </w:rPr>
              <w:t>33.1%</w:t>
            </w:r>
          </w:p>
        </w:tc>
        <w:tc>
          <w:tcPr>
            <w:tcW w:type="dxa" w:w="1584"/>
          </w:tcPr>
          <w:p>
            <w:pPr>
              <w:jc w:val="center"/>
            </w:pPr>
            <w:r/>
            <w:r>
              <w:rPr>
                <w:sz w:val="18"/>
              </w:rPr>
              <w:t>62.2%</w:t>
            </w:r>
          </w:p>
        </w:tc>
        <w:tc>
          <w:tcPr>
            <w:tcW w:type="dxa" w:w="1584"/>
          </w:tcPr>
          <w:p>
            <w:pPr>
              <w:jc w:val="center"/>
            </w:pPr>
            <w:r/>
            <w:r>
              <w:rPr>
                <w:sz w:val="18"/>
              </w:rPr>
              <w:t>2.49</w:t>
            </w:r>
          </w:p>
        </w:tc>
        <w:tc>
          <w:tcPr>
            <w:tcW w:type="dxa" w:w="1584"/>
          </w:tcPr>
          <w:p>
            <w:pPr>
              <w:jc w:val="center"/>
            </w:pPr>
            <w:r/>
            <w:r>
              <w:rPr>
                <w:sz w:val="18"/>
              </w:rPr>
              <w:t>3.03</w:t>
            </w:r>
          </w:p>
        </w:tc>
      </w:tr>
      <w:tr>
        <w:tc>
          <w:tcPr>
            <w:tcW w:type="dxa" w:w="2880"/>
          </w:tcPr>
          <w:p>
            <w:r/>
            <w:r>
              <w:rPr>
                <w:sz w:val="18"/>
              </w:rPr>
              <w:t>Tambo</w:t>
            </w:r>
          </w:p>
        </w:tc>
        <w:tc>
          <w:tcPr>
            <w:tcW w:type="dxa" w:w="1584"/>
          </w:tcPr>
          <w:p>
            <w:pPr>
              <w:jc w:val="center"/>
            </w:pPr>
            <w:r/>
            <w:r>
              <w:rPr>
                <w:sz w:val="18"/>
              </w:rPr>
              <w:t>38.5%</w:t>
            </w:r>
          </w:p>
        </w:tc>
        <w:tc>
          <w:tcPr>
            <w:tcW w:type="dxa" w:w="1584"/>
          </w:tcPr>
          <w:p>
            <w:pPr>
              <w:jc w:val="center"/>
            </w:pPr>
            <w:r/>
            <w:r>
              <w:rPr>
                <w:sz w:val="18"/>
              </w:rPr>
              <w:t>47.4%</w:t>
            </w:r>
          </w:p>
        </w:tc>
        <w:tc>
          <w:tcPr>
            <w:tcW w:type="dxa" w:w="1584"/>
          </w:tcPr>
          <w:p>
            <w:pPr>
              <w:jc w:val="center"/>
            </w:pPr>
            <w:r/>
            <w:r>
              <w:rPr>
                <w:sz w:val="18"/>
              </w:rPr>
              <w:t>1.96</w:t>
            </w:r>
          </w:p>
        </w:tc>
        <w:tc>
          <w:tcPr>
            <w:tcW w:type="dxa" w:w="1584"/>
          </w:tcPr>
          <w:p>
            <w:pPr>
              <w:jc w:val="center"/>
            </w:pPr>
            <w:r/>
            <w:r>
              <w:rPr>
                <w:sz w:val="18"/>
              </w:rPr>
              <w:t>1.97</w:t>
            </w:r>
          </w:p>
        </w:tc>
      </w:tr>
      <w:tr>
        <w:tc>
          <w:tcPr>
            <w:tcW w:type="dxa" w:w="2880"/>
          </w:tcPr>
          <w:p>
            <w:r/>
            <w:r>
              <w:rPr>
                <w:sz w:val="18"/>
              </w:rPr>
              <w:t>Marcelo Green Village</w:t>
            </w:r>
          </w:p>
        </w:tc>
        <w:tc>
          <w:tcPr>
            <w:tcW w:type="dxa" w:w="1584"/>
          </w:tcPr>
          <w:p>
            <w:pPr>
              <w:jc w:val="center"/>
            </w:pPr>
            <w:r/>
            <w:r>
              <w:rPr>
                <w:sz w:val="18"/>
              </w:rPr>
              <w:t>38.8%</w:t>
            </w:r>
          </w:p>
        </w:tc>
        <w:tc>
          <w:tcPr>
            <w:tcW w:type="dxa" w:w="1584"/>
          </w:tcPr>
          <w:p>
            <w:pPr>
              <w:jc w:val="center"/>
            </w:pPr>
            <w:r/>
            <w:r>
              <w:rPr>
                <w:sz w:val="18"/>
              </w:rPr>
              <w:t>62.6%</w:t>
            </w:r>
          </w:p>
        </w:tc>
        <w:tc>
          <w:tcPr>
            <w:tcW w:type="dxa" w:w="1584"/>
          </w:tcPr>
          <w:p>
            <w:pPr>
              <w:jc w:val="center"/>
            </w:pPr>
            <w:r/>
            <w:r>
              <w:rPr>
                <w:sz w:val="18"/>
              </w:rPr>
              <w:t>1.95</w:t>
            </w:r>
          </w:p>
        </w:tc>
        <w:tc>
          <w:tcPr>
            <w:tcW w:type="dxa" w:w="1584"/>
          </w:tcPr>
          <w:p>
            <w:pPr>
              <w:jc w:val="center"/>
            </w:pPr>
            <w:r/>
            <w:r>
              <w:rPr>
                <w:sz w:val="18"/>
              </w:rPr>
              <w:t>2.30</w:t>
            </w:r>
          </w:p>
        </w:tc>
      </w:tr>
      <w:tr>
        <w:tc>
          <w:tcPr>
            <w:tcW w:type="dxa" w:w="2880"/>
          </w:tcPr>
          <w:p>
            <w:r/>
            <w:r>
              <w:rPr>
                <w:sz w:val="18"/>
              </w:rPr>
              <w:t>San Antonio</w:t>
            </w:r>
          </w:p>
        </w:tc>
        <w:tc>
          <w:tcPr>
            <w:tcW w:type="dxa" w:w="1584"/>
          </w:tcPr>
          <w:p>
            <w:pPr>
              <w:jc w:val="center"/>
            </w:pPr>
            <w:r/>
            <w:r>
              <w:rPr>
                <w:sz w:val="18"/>
              </w:rPr>
              <w:t>40.8%</w:t>
            </w:r>
          </w:p>
        </w:tc>
        <w:tc>
          <w:tcPr>
            <w:tcW w:type="dxa" w:w="1584"/>
          </w:tcPr>
          <w:p>
            <w:pPr>
              <w:jc w:val="center"/>
            </w:pPr>
            <w:r/>
            <w:r>
              <w:rPr>
                <w:sz w:val="18"/>
              </w:rPr>
              <w:t>78.3%</w:t>
            </w:r>
          </w:p>
        </w:tc>
        <w:tc>
          <w:tcPr>
            <w:tcW w:type="dxa" w:w="1584"/>
          </w:tcPr>
          <w:p>
            <w:pPr>
              <w:jc w:val="center"/>
            </w:pPr>
            <w:r/>
            <w:r>
              <w:rPr>
                <w:sz w:val="18"/>
              </w:rPr>
              <w:t>2.68</w:t>
            </w:r>
          </w:p>
        </w:tc>
        <w:tc>
          <w:tcPr>
            <w:tcW w:type="dxa" w:w="1584"/>
          </w:tcPr>
          <w:p>
            <w:pPr>
              <w:jc w:val="center"/>
            </w:pPr>
            <w:r/>
            <w:r>
              <w:rPr>
                <w:sz w:val="18"/>
              </w:rPr>
              <w:t>3.15</w:t>
            </w:r>
          </w:p>
        </w:tc>
      </w:tr>
      <w:tr>
        <w:tc>
          <w:tcPr>
            <w:tcW w:type="dxa" w:w="2880"/>
            <w:shd w:val="clear" w:color="auto" w:fill="FEF3C7"/>
          </w:tcPr>
          <w:p>
            <w:r/>
            <w:r>
              <w:rPr>
                <w:sz w:val="18"/>
              </w:rPr>
              <w:t>Santo Niño</w:t>
            </w:r>
          </w:p>
        </w:tc>
        <w:tc>
          <w:tcPr>
            <w:tcW w:type="dxa" w:w="1584"/>
            <w:shd w:val="clear" w:color="auto" w:fill="FEF3C7"/>
          </w:tcPr>
          <w:p>
            <w:pPr>
              <w:jc w:val="center"/>
            </w:pPr>
            <w:r/>
            <w:r>
              <w:rPr>
                <w:sz w:val="18"/>
              </w:rPr>
              <w:t>44.1%</w:t>
            </w:r>
          </w:p>
        </w:tc>
        <w:tc>
          <w:tcPr>
            <w:tcW w:type="dxa" w:w="1584"/>
            <w:shd w:val="clear" w:color="auto" w:fill="FEF3C7"/>
          </w:tcPr>
          <w:p>
            <w:pPr>
              <w:jc w:val="center"/>
            </w:pPr>
            <w:r/>
            <w:r>
              <w:rPr>
                <w:sz w:val="18"/>
              </w:rPr>
              <w:t>55.2%</w:t>
            </w:r>
          </w:p>
        </w:tc>
        <w:tc>
          <w:tcPr>
            <w:tcW w:type="dxa" w:w="1584"/>
            <w:shd w:val="clear" w:color="auto" w:fill="FEF3C7"/>
          </w:tcPr>
          <w:p>
            <w:pPr>
              <w:jc w:val="center"/>
            </w:pPr>
            <w:r/>
            <w:r>
              <w:rPr>
                <w:sz w:val="18"/>
              </w:rPr>
              <w:t>2.36</w:t>
            </w:r>
          </w:p>
        </w:tc>
        <w:tc>
          <w:tcPr>
            <w:tcW w:type="dxa" w:w="1584"/>
            <w:shd w:val="clear" w:color="auto" w:fill="FEF3C7"/>
          </w:tcPr>
          <w:p>
            <w:pPr>
              <w:jc w:val="center"/>
            </w:pPr>
            <w:r/>
            <w:r>
              <w:rPr>
                <w:sz w:val="18"/>
              </w:rPr>
              <w:t>2.01</w:t>
            </w:r>
          </w:p>
        </w:tc>
      </w:tr>
      <w:tr>
        <w:tc>
          <w:tcPr>
            <w:tcW w:type="dxa" w:w="2880"/>
          </w:tcPr>
          <w:p>
            <w:r/>
            <w:r>
              <w:rPr>
                <w:sz w:val="18"/>
              </w:rPr>
              <w:t>Sun Valley</w:t>
            </w:r>
          </w:p>
        </w:tc>
        <w:tc>
          <w:tcPr>
            <w:tcW w:type="dxa" w:w="1584"/>
          </w:tcPr>
          <w:p>
            <w:pPr>
              <w:jc w:val="center"/>
            </w:pPr>
            <w:r/>
            <w:r>
              <w:rPr>
                <w:sz w:val="18"/>
              </w:rPr>
              <w:t>46.4%</w:t>
            </w:r>
          </w:p>
        </w:tc>
        <w:tc>
          <w:tcPr>
            <w:tcW w:type="dxa" w:w="1584"/>
          </w:tcPr>
          <w:p>
            <w:pPr>
              <w:jc w:val="center"/>
            </w:pPr>
            <w:r/>
            <w:r>
              <w:rPr>
                <w:sz w:val="18"/>
              </w:rPr>
              <w:t>66.2%</w:t>
            </w:r>
          </w:p>
        </w:tc>
        <w:tc>
          <w:tcPr>
            <w:tcW w:type="dxa" w:w="1584"/>
          </w:tcPr>
          <w:p>
            <w:pPr>
              <w:jc w:val="center"/>
            </w:pPr>
            <w:r/>
            <w:r>
              <w:rPr>
                <w:sz w:val="18"/>
              </w:rPr>
              <w:t>1.59</w:t>
            </w:r>
          </w:p>
        </w:tc>
        <w:tc>
          <w:tcPr>
            <w:tcW w:type="dxa" w:w="1584"/>
          </w:tcPr>
          <w:p>
            <w:pPr>
              <w:jc w:val="center"/>
            </w:pPr>
            <w:r/>
            <w:r>
              <w:rPr>
                <w:sz w:val="18"/>
              </w:rPr>
              <w:t>1.94</w:t>
            </w:r>
          </w:p>
        </w:tc>
      </w:tr>
      <w:tr>
        <w:tc>
          <w:tcPr>
            <w:tcW w:type="dxa" w:w="2880"/>
            <w:shd w:val="clear" w:color="auto" w:fill="FEF3C7"/>
          </w:tcPr>
          <w:p>
            <w:r/>
            <w:r>
              <w:rPr>
                <w:sz w:val="18"/>
              </w:rPr>
              <w:t>B.F. Homes</w:t>
            </w:r>
          </w:p>
        </w:tc>
        <w:tc>
          <w:tcPr>
            <w:tcW w:type="dxa" w:w="1584"/>
            <w:shd w:val="clear" w:color="auto" w:fill="FEF3C7"/>
          </w:tcPr>
          <w:p>
            <w:pPr>
              <w:jc w:val="center"/>
            </w:pPr>
            <w:r/>
            <w:r>
              <w:rPr>
                <w:sz w:val="18"/>
              </w:rPr>
              <w:t>49.1%</w:t>
            </w:r>
          </w:p>
        </w:tc>
        <w:tc>
          <w:tcPr>
            <w:tcW w:type="dxa" w:w="1584"/>
            <w:shd w:val="clear" w:color="auto" w:fill="FEF3C7"/>
          </w:tcPr>
          <w:p>
            <w:pPr>
              <w:jc w:val="center"/>
            </w:pPr>
            <w:r/>
            <w:r>
              <w:rPr>
                <w:sz w:val="18"/>
              </w:rPr>
              <w:t>71.4%</w:t>
            </w:r>
          </w:p>
        </w:tc>
        <w:tc>
          <w:tcPr>
            <w:tcW w:type="dxa" w:w="1584"/>
            <w:shd w:val="clear" w:color="auto" w:fill="FEF3C7"/>
          </w:tcPr>
          <w:p>
            <w:pPr>
              <w:jc w:val="center"/>
            </w:pPr>
            <w:r/>
            <w:r>
              <w:rPr>
                <w:sz w:val="18"/>
              </w:rPr>
              <w:t>3.32</w:t>
            </w:r>
          </w:p>
        </w:tc>
        <w:tc>
          <w:tcPr>
            <w:tcW w:type="dxa" w:w="1584"/>
            <w:shd w:val="clear" w:color="auto" w:fill="FEF3C7"/>
          </w:tcPr>
          <w:p>
            <w:pPr>
              <w:jc w:val="center"/>
            </w:pPr>
            <w:r/>
            <w:r>
              <w:rPr>
                <w:sz w:val="18"/>
              </w:rPr>
              <w:t>3.31</w:t>
            </w:r>
          </w:p>
        </w:tc>
      </w:tr>
      <w:tr>
        <w:tc>
          <w:tcPr>
            <w:tcW w:type="dxa" w:w="2880"/>
            <w:shd w:val="clear" w:color="auto" w:fill="FEF3C7"/>
          </w:tcPr>
          <w:p>
            <w:r/>
            <w:r>
              <w:rPr>
                <w:sz w:val="18"/>
              </w:rPr>
              <w:t>San Dionisio</w:t>
            </w:r>
          </w:p>
        </w:tc>
        <w:tc>
          <w:tcPr>
            <w:tcW w:type="dxa" w:w="1584"/>
            <w:shd w:val="clear" w:color="auto" w:fill="FEF3C7"/>
          </w:tcPr>
          <w:p>
            <w:pPr>
              <w:jc w:val="center"/>
            </w:pPr>
            <w:r/>
            <w:r>
              <w:rPr>
                <w:sz w:val="18"/>
              </w:rPr>
              <w:t>51.1%</w:t>
            </w:r>
          </w:p>
        </w:tc>
        <w:tc>
          <w:tcPr>
            <w:tcW w:type="dxa" w:w="1584"/>
            <w:shd w:val="clear" w:color="auto" w:fill="FEF3C7"/>
          </w:tcPr>
          <w:p>
            <w:pPr>
              <w:jc w:val="center"/>
            </w:pPr>
            <w:r/>
            <w:r>
              <w:rPr>
                <w:sz w:val="18"/>
              </w:rPr>
              <w:t>58.5%</w:t>
            </w:r>
          </w:p>
        </w:tc>
        <w:tc>
          <w:tcPr>
            <w:tcW w:type="dxa" w:w="1584"/>
            <w:shd w:val="clear" w:color="auto" w:fill="FEF3C7"/>
          </w:tcPr>
          <w:p>
            <w:pPr>
              <w:jc w:val="center"/>
            </w:pPr>
            <w:r/>
            <w:r>
              <w:rPr>
                <w:sz w:val="18"/>
              </w:rPr>
              <w:t>4.13</w:t>
            </w:r>
          </w:p>
        </w:tc>
        <w:tc>
          <w:tcPr>
            <w:tcW w:type="dxa" w:w="1584"/>
            <w:shd w:val="clear" w:color="auto" w:fill="FEF3C7"/>
          </w:tcPr>
          <w:p>
            <w:pPr>
              <w:jc w:val="center"/>
            </w:pPr>
            <w:r/>
            <w:r>
              <w:rPr>
                <w:sz w:val="18"/>
              </w:rPr>
              <w:t>3.77</w:t>
            </w:r>
          </w:p>
        </w:tc>
      </w:tr>
      <w:tr>
        <w:tc>
          <w:tcPr>
            <w:tcW w:type="dxa" w:w="2880"/>
          </w:tcPr>
          <w:p>
            <w:r/>
            <w:r>
              <w:rPr>
                <w:sz w:val="18"/>
              </w:rPr>
              <w:t>Don Bosco</w:t>
            </w:r>
          </w:p>
        </w:tc>
        <w:tc>
          <w:tcPr>
            <w:tcW w:type="dxa" w:w="1584"/>
          </w:tcPr>
          <w:p>
            <w:pPr>
              <w:jc w:val="center"/>
            </w:pPr>
            <w:r/>
            <w:r>
              <w:rPr>
                <w:sz w:val="18"/>
              </w:rPr>
              <w:t>56.0%</w:t>
            </w:r>
          </w:p>
        </w:tc>
        <w:tc>
          <w:tcPr>
            <w:tcW w:type="dxa" w:w="1584"/>
          </w:tcPr>
          <w:p>
            <w:pPr>
              <w:jc w:val="center"/>
            </w:pPr>
            <w:r/>
            <w:r>
              <w:rPr>
                <w:sz w:val="18"/>
              </w:rPr>
              <w:t>145.4%</w:t>
            </w:r>
          </w:p>
        </w:tc>
        <w:tc>
          <w:tcPr>
            <w:tcW w:type="dxa" w:w="1584"/>
          </w:tcPr>
          <w:p>
            <w:pPr>
              <w:jc w:val="center"/>
            </w:pPr>
            <w:r/>
            <w:r>
              <w:rPr>
                <w:sz w:val="18"/>
              </w:rPr>
              <w:t>3.36</w:t>
            </w:r>
          </w:p>
        </w:tc>
        <w:tc>
          <w:tcPr>
            <w:tcW w:type="dxa" w:w="1584"/>
          </w:tcPr>
          <w:p>
            <w:pPr>
              <w:jc w:val="center"/>
            </w:pPr>
            <w:r/>
            <w:r>
              <w:rPr>
                <w:sz w:val="18"/>
              </w:rPr>
              <w:t>4.53</w:t>
            </w:r>
          </w:p>
        </w:tc>
      </w:tr>
      <w:tr>
        <w:tc>
          <w:tcPr>
            <w:tcW w:type="dxa" w:w="2880"/>
            <w:shd w:val="clear" w:color="auto" w:fill="FEF3C7"/>
          </w:tcPr>
          <w:p>
            <w:r/>
            <w:r>
              <w:rPr>
                <w:sz w:val="18"/>
              </w:rPr>
              <w:t>San Isidro</w:t>
            </w:r>
          </w:p>
        </w:tc>
        <w:tc>
          <w:tcPr>
            <w:tcW w:type="dxa" w:w="1584"/>
            <w:shd w:val="clear" w:color="auto" w:fill="FEF3C7"/>
          </w:tcPr>
          <w:p>
            <w:pPr>
              <w:jc w:val="center"/>
            </w:pPr>
            <w:r/>
            <w:r>
              <w:rPr>
                <w:sz w:val="18"/>
              </w:rPr>
              <w:t>57.8%</w:t>
            </w:r>
          </w:p>
        </w:tc>
        <w:tc>
          <w:tcPr>
            <w:tcW w:type="dxa" w:w="1584"/>
            <w:shd w:val="clear" w:color="auto" w:fill="FEF3C7"/>
          </w:tcPr>
          <w:p>
            <w:pPr>
              <w:jc w:val="center"/>
            </w:pPr>
            <w:r/>
            <w:r>
              <w:rPr>
                <w:sz w:val="18"/>
              </w:rPr>
              <w:t>70.3%</w:t>
            </w:r>
          </w:p>
        </w:tc>
        <w:tc>
          <w:tcPr>
            <w:tcW w:type="dxa" w:w="1584"/>
            <w:shd w:val="clear" w:color="auto" w:fill="FEF3C7"/>
          </w:tcPr>
          <w:p>
            <w:pPr>
              <w:jc w:val="center"/>
            </w:pPr>
            <w:r/>
            <w:r>
              <w:rPr>
                <w:sz w:val="18"/>
              </w:rPr>
              <w:t>4.69</w:t>
            </w:r>
          </w:p>
        </w:tc>
        <w:tc>
          <w:tcPr>
            <w:tcW w:type="dxa" w:w="1584"/>
            <w:shd w:val="clear" w:color="auto" w:fill="FEF3C7"/>
          </w:tcPr>
          <w:p>
            <w:pPr>
              <w:jc w:val="center"/>
            </w:pPr>
            <w:r/>
            <w:r>
              <w:rPr>
                <w:sz w:val="18"/>
              </w:rPr>
              <w:t>4.38</w:t>
            </w:r>
          </w:p>
        </w:tc>
      </w:tr>
      <w:tr>
        <w:tc>
          <w:tcPr>
            <w:tcW w:type="dxa" w:w="2880"/>
          </w:tcPr>
          <w:p>
            <w:r/>
            <w:r>
              <w:rPr>
                <w:sz w:val="18"/>
              </w:rPr>
              <w:t>Moonwalk</w:t>
            </w:r>
          </w:p>
        </w:tc>
        <w:tc>
          <w:tcPr>
            <w:tcW w:type="dxa" w:w="1584"/>
          </w:tcPr>
          <w:p>
            <w:pPr>
              <w:jc w:val="center"/>
            </w:pPr>
            <w:r/>
            <w:r>
              <w:rPr>
                <w:sz w:val="18"/>
              </w:rPr>
              <w:t>60.9%</w:t>
            </w:r>
          </w:p>
        </w:tc>
        <w:tc>
          <w:tcPr>
            <w:tcW w:type="dxa" w:w="1584"/>
          </w:tcPr>
          <w:p>
            <w:pPr>
              <w:jc w:val="center"/>
            </w:pPr>
            <w:r/>
            <w:r>
              <w:rPr>
                <w:sz w:val="18"/>
              </w:rPr>
              <w:t>97.3%</w:t>
            </w:r>
          </w:p>
        </w:tc>
        <w:tc>
          <w:tcPr>
            <w:tcW w:type="dxa" w:w="1584"/>
          </w:tcPr>
          <w:p>
            <w:pPr>
              <w:jc w:val="center"/>
            </w:pPr>
            <w:r/>
            <w:r>
              <w:rPr>
                <w:sz w:val="18"/>
              </w:rPr>
              <w:t>2.02</w:t>
            </w:r>
          </w:p>
        </w:tc>
        <w:tc>
          <w:tcPr>
            <w:tcW w:type="dxa" w:w="1584"/>
          </w:tcPr>
          <w:p>
            <w:pPr>
              <w:jc w:val="center"/>
            </w:pPr>
            <w:r/>
            <w:r>
              <w:rPr>
                <w:sz w:val="18"/>
              </w:rPr>
              <w:t>2.79</w:t>
            </w:r>
          </w:p>
        </w:tc>
      </w:tr>
    </w:tbl>
    <w:p/>
    <w:p>
      <w:r>
        <w:rPr>
          <w:i w:val="0"/>
        </w:rPr>
        <w:t>All 15 barangays with enough dengue cases beat the last-year guess on MAPE, so their forecasts are shown. In the highlighted barangays, Prophet's RMSE is slightly worse: it misses the occasional large week by more, even though it is closer on ordinary weeks. Barangay forecasts work with a few cases a week, so they are best read for direction.</w:t>
      </w:r>
    </w:p>
    <w:p>
      <w:pPr>
        <w:pStyle w:val="Heading1"/>
      </w:pPr>
      <w:r>
        <w:t>6. Summary for the CESU</w:t>
      </w:r>
    </w:p>
    <w:p>
      <w:pPr>
        <w:pStyle w:val="ListBullet"/>
      </w:pPr>
      <w:r>
        <w:t>The forecast is reliable enough to watch the direction of dengue over the next four weeks, and it is closest one week ahead.</w:t>
      </w:r>
    </w:p>
    <w:p>
      <w:pPr>
        <w:pStyle w:val="ListBullet"/>
      </w:pPr>
      <w:r>
        <w:t>Read the range and the direction, and compare them with the alert and epidemic thresholds; do not quote the single predicted number.</w:t>
      </w:r>
    </w:p>
    <w:p>
      <w:pPr>
        <w:pStyle w:val="ListBullet"/>
      </w:pPr>
      <w:r>
        <w:t>Typhoid forecasts are modestly useful; leptospirosis forecasts should not drive decisions on their own.</w:t>
      </w:r>
    </w:p>
    <w:p>
      <w:pPr>
        <w:pStyle w:val="ListBullet"/>
      </w:pPr>
      <w:r>
        <w:t>Measles, ILI and HFMD forecasts are withheld on purpose; use the thresholds and the single-case rule.</w:t>
      </w:r>
    </w:p>
    <w:p>
      <w:pPr>
        <w:pStyle w:val="ListBullet"/>
      </w:pPr>
      <w:r>
        <w:t>Retrain the model whenever new workbook data is loaded, and always add local knowledge (weather, campaigns, reporting delays) that the model cannot see.</w:t>
      </w:r>
    </w:p>
    <w:p>
      <w:r>
        <w:rPr>
          <w:i/>
          <w:sz w:val="19"/>
        </w:rPr>
        <w:t>Notes on the figures. The display-check figures in Section 3 come from the stored evaluation (ml/reports/prophet_eval_latest.csv). The four-week test and Figures 1 and 2 were rerun on the current database for this guide; the dengue two-year error there is 51.0% (stored value 50.1%). The small difference comes from the reloaded case data.</w:t>
      </w:r>
    </w:p>
    <w:p>
      <w:r>
        <w:rPr>
          <w:i w:val="0"/>
          <w:sz w:val="19"/>
        </w:rPr>
        <w:t>Reference: Taylor, S. J., &amp; Letham, B. (2018). Forecasting at scale. The American Statistician, 72(1), 37-45. https://doi.org/10.1080/00031305.2017.1380080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