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8A"/>
          <w:sz w:val="40"/>
        </w:rPr>
        <w:t>How H-MAP Computes the Alert and Epidemic Thresholds</w:t>
      </w:r>
    </w:p>
    <w:p>
      <w:r>
        <w:rPr>
          <w:color w:val="475569"/>
          <w:sz w:val="22"/>
        </w:rPr>
        <w:t>A worked example using Parañaque City PIDSR data · For the City Epidemiology and Surveillance Unit (CESU)</w:t>
      </w:r>
    </w:p>
    <w:p>
      <w:pPr>
        <w:pStyle w:val="Heading2"/>
      </w:pPr>
      <w:r>
        <w:t>Abbreviations used</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1872"/>
            <w:shd w:val="clear" w:color="auto" w:fill="DBEAFE"/>
          </w:tcPr>
          <w:p>
            <w:pPr>
              <w:keepNext/>
            </w:pPr>
            <w:r/>
            <w:r>
              <w:rPr>
                <w:b/>
                <w:sz w:val="19"/>
              </w:rPr>
              <w:t>Abbreviation</w:t>
            </w:r>
          </w:p>
        </w:tc>
        <w:tc>
          <w:tcPr>
            <w:tcW w:type="dxa" w:w="7488"/>
            <w:shd w:val="clear" w:color="auto" w:fill="DBEAFE"/>
          </w:tcPr>
          <w:p>
            <w:pPr>
              <w:keepNext/>
            </w:pPr>
            <w:r/>
            <w:r>
              <w:rPr>
                <w:b/>
                <w:sz w:val="19"/>
              </w:rPr>
              <w:t>Meaning</w:t>
            </w:r>
          </w:p>
        </w:tc>
      </w:tr>
      <w:tr>
        <w:tc>
          <w:tcPr>
            <w:tcW w:type="dxa" w:w="1872"/>
          </w:tcPr>
          <w:p>
            <w:pPr>
              <w:keepNext/>
            </w:pPr>
            <w:r/>
            <w:r>
              <w:rPr>
                <w:sz w:val="19"/>
              </w:rPr>
              <w:t>PIDSR</w:t>
            </w:r>
          </w:p>
        </w:tc>
        <w:tc>
          <w:tcPr>
            <w:tcW w:type="dxa" w:w="7488"/>
          </w:tcPr>
          <w:p>
            <w:pPr>
              <w:keepNext/>
            </w:pPr>
            <w:r/>
            <w:r>
              <w:rPr>
                <w:sz w:val="19"/>
              </w:rPr>
              <w:t>Philippine Integrated Disease Surveillance and Response</w:t>
            </w:r>
          </w:p>
        </w:tc>
      </w:tr>
      <w:tr>
        <w:tc>
          <w:tcPr>
            <w:tcW w:type="dxa" w:w="1872"/>
          </w:tcPr>
          <w:p>
            <w:pPr>
              <w:keepNext/>
            </w:pPr>
            <w:r/>
            <w:r>
              <w:rPr>
                <w:sz w:val="19"/>
              </w:rPr>
              <w:t>CESU</w:t>
            </w:r>
          </w:p>
        </w:tc>
        <w:tc>
          <w:tcPr>
            <w:tcW w:type="dxa" w:w="7488"/>
          </w:tcPr>
          <w:p>
            <w:pPr>
              <w:keepNext/>
            </w:pPr>
            <w:r/>
            <w:r>
              <w:rPr>
                <w:sz w:val="19"/>
              </w:rPr>
              <w:t>City Epidemiology and Surveillance Unit</w:t>
            </w:r>
          </w:p>
        </w:tc>
      </w:tr>
      <w:tr>
        <w:tc>
          <w:tcPr>
            <w:tcW w:type="dxa" w:w="1872"/>
          </w:tcPr>
          <w:p>
            <w:pPr>
              <w:keepNext/>
            </w:pPr>
            <w:r/>
            <w:r>
              <w:rPr>
                <w:sz w:val="19"/>
              </w:rPr>
              <w:t>DOH</w:t>
            </w:r>
          </w:p>
        </w:tc>
        <w:tc>
          <w:tcPr>
            <w:tcW w:type="dxa" w:w="7488"/>
          </w:tcPr>
          <w:p>
            <w:pPr>
              <w:keepNext/>
            </w:pPr>
            <w:r/>
            <w:r>
              <w:rPr>
                <w:sz w:val="19"/>
              </w:rPr>
              <w:t>Department of Health</w:t>
            </w:r>
          </w:p>
        </w:tc>
      </w:tr>
      <w:tr>
        <w:tc>
          <w:tcPr>
            <w:tcW w:type="dxa" w:w="1872"/>
          </w:tcPr>
          <w:p>
            <w:pPr>
              <w:keepNext/>
            </w:pPr>
            <w:r/>
            <w:r>
              <w:rPr>
                <w:sz w:val="19"/>
              </w:rPr>
              <w:t>MW</w:t>
            </w:r>
          </w:p>
        </w:tc>
        <w:tc>
          <w:tcPr>
            <w:tcW w:type="dxa" w:w="7488"/>
          </w:tcPr>
          <w:p>
            <w:pPr>
              <w:keepNext/>
            </w:pPr>
            <w:r/>
            <w:r>
              <w:rPr>
                <w:sz w:val="19"/>
              </w:rPr>
              <w:t>Morbidity week (the PIDSR reporting week, MW1 to MW52 or MW53)</w:t>
            </w:r>
          </w:p>
        </w:tc>
      </w:tr>
      <w:tr>
        <w:tc>
          <w:tcPr>
            <w:tcW w:type="dxa" w:w="1872"/>
          </w:tcPr>
          <w:p>
            <w:pPr>
              <w:keepNext/>
            </w:pPr>
            <w:r/>
            <w:r>
              <w:rPr>
                <w:sz w:val="19"/>
              </w:rPr>
              <w:t>SD</w:t>
            </w:r>
          </w:p>
        </w:tc>
        <w:tc>
          <w:tcPr>
            <w:tcW w:type="dxa" w:w="7488"/>
          </w:tcPr>
          <w:p>
            <w:pPr>
              <w:keepNext/>
            </w:pPr>
            <w:r/>
            <w:r>
              <w:rPr>
                <w:sz w:val="19"/>
              </w:rPr>
              <w:t>Standard deviation (how spread out the five baseline counts are)</w:t>
            </w:r>
          </w:p>
        </w:tc>
      </w:tr>
      <w:tr>
        <w:tc>
          <w:tcPr>
            <w:tcW w:type="dxa" w:w="1872"/>
          </w:tcPr>
          <w:p>
            <w:pPr>
              <w:keepNext/>
            </w:pPr>
            <w:r/>
            <w:r>
              <w:rPr>
                <w:sz w:val="19"/>
              </w:rPr>
              <w:t>AFP</w:t>
            </w:r>
          </w:p>
        </w:tc>
        <w:tc>
          <w:tcPr>
            <w:tcW w:type="dxa" w:w="7488"/>
          </w:tcPr>
          <w:p>
            <w:pPr>
              <w:keepNext/>
            </w:pPr>
            <w:r/>
            <w:r>
              <w:rPr>
                <w:sz w:val="19"/>
              </w:rPr>
              <w:t>Acute flaccid paralysis</w:t>
            </w:r>
          </w:p>
        </w:tc>
      </w:tr>
      <w:tr>
        <w:tc>
          <w:tcPr>
            <w:tcW w:type="dxa" w:w="1872"/>
          </w:tcPr>
          <w:p>
            <w:r/>
            <w:r>
              <w:rPr>
                <w:sz w:val="19"/>
              </w:rPr>
              <w:t>5YrAve</w:t>
            </w:r>
          </w:p>
        </w:tc>
        <w:tc>
          <w:tcPr>
            <w:tcW w:type="dxa" w:w="7488"/>
          </w:tcPr>
          <w:p>
            <w:r/>
            <w:r>
              <w:rPr>
                <w:sz w:val="19"/>
              </w:rPr>
              <w:t>The five-year average sheet in the CESU PIDSR workbook</w:t>
            </w:r>
          </w:p>
        </w:tc>
      </w:tr>
    </w:tbl>
    <w:p/>
    <w:p>
      <w:pPr>
        <w:pStyle w:val="Heading1"/>
      </w:pPr>
      <w:r>
        <w:t>1. What the thresholds are for</w:t>
      </w:r>
    </w:p>
    <w:p>
      <w:r>
        <w:rPr>
          <w:i w:val="0"/>
        </w:rPr>
        <w:t>H-MAP marks a disease week as unusual when its case count is higher than what the same week normally looks like in Parañaque. "Normal" is measured from the city's own records of the five previous years. Two lines are drawn from those records, following the PIDSR Manual of Procedures (Department of Health, 2014, pp. 57-58):</w:t>
      </w:r>
    </w:p>
    <w:p>
      <w:pPr>
        <w:pStyle w:val="ListBullet"/>
      </w:pPr>
      <w:r>
        <w:rPr>
          <w:b/>
        </w:rPr>
        <w:t xml:space="preserve">Alert threshold = mean + 1 standard deviation. </w:t>
      </w:r>
      <w:r>
        <w:t>Crossing it means the week is higher than usual and should be watched.</w:t>
      </w:r>
    </w:p>
    <w:p>
      <w:pPr>
        <w:pStyle w:val="ListBullet"/>
      </w:pPr>
      <w:r>
        <w:rPr>
          <w:b/>
        </w:rPr>
        <w:t xml:space="preserve">Epidemic threshold = mean + 2 standard deviations. </w:t>
      </w:r>
      <w:r>
        <w:t>Crossing it means the week is well above the usual range and may need a response.</w:t>
      </w:r>
    </w:p>
    <w:p>
      <w:pPr>
        <w:pStyle w:val="ListBullet"/>
      </w:pPr>
      <w:r>
        <w:rPr>
          <w:b/>
        </w:rPr>
        <w:t xml:space="preserve">Single-case diseases (Measles, AFP). </w:t>
      </w:r>
      <w:r>
        <w:t>One case is already an alert, whatever the baseline says.</w:t>
      </w:r>
    </w:p>
    <w:p>
      <w:pPr>
        <w:pStyle w:val="Heading1"/>
      </w:pPr>
      <w:r>
        <w:t>2. The rule, step by step</w:t>
      </w:r>
    </w:p>
    <w:p>
      <w:pPr>
        <w:pStyle w:val="ListNumber"/>
      </w:pPr>
      <w:r>
        <w:t>Pick the disease and the morbidity week (MW) to check, for example Dengue, MW1 of 2026.</w:t>
      </w:r>
    </w:p>
    <w:p>
      <w:pPr>
        <w:pStyle w:val="ListNumber"/>
      </w:pPr>
      <w:r>
        <w:t>Count the Confirmed and Probable cases for that same MW in each of the 5 previous years (2021 to 2025). Suspect, Discarded and other classifications are not counted. A year with no cases counts as 0.</w:t>
      </w:r>
    </w:p>
    <w:p>
      <w:pPr>
        <w:pStyle w:val="ListNumber"/>
      </w:pPr>
      <w:r>
        <w:t>Compute the mean (average) of the 5 counts.</w:t>
      </w:r>
    </w:p>
    <w:p>
      <w:pPr>
        <w:pStyle w:val="ListNumber"/>
      </w:pPr>
      <w:r>
        <w:t>Compute the standard deviation (SD) of the 5 counts using the sample formula (divide by 4, that is n - 1). This is Excel's STDEV.S.</w:t>
      </w:r>
    </w:p>
    <w:p>
      <w:pPr>
        <w:pStyle w:val="ListNumber"/>
      </w:pPr>
      <w:r>
        <w:t>Alert threshold = mean + SD. Epidemic threshold = mean + 2 x SD.</w:t>
      </w:r>
    </w:p>
    <w:p>
      <w:pPr>
        <w:pStyle w:val="ListNumber"/>
      </w:pPr>
      <w:r>
        <w:t>Compare the current week's Confirmed + Probable count. A count greater than the epidemic threshold is an epidemic-level week; greater than the alert threshold (but not the epidemic one) is an alert-level week.</w:t>
      </w:r>
    </w:p>
    <w:p>
      <w:r>
        <w:rPr>
          <w:i w:val="0"/>
        </w:rPr>
        <w:t>The baseline moves every year: for weeks of 2026 it is 2021 to 2025, for weeks of 2027 it will be 2022 to 2026. Each morbidity week has its own pair of thresholds, so a rainy-season week is compared with past rainy-season weeks, not with the dry months.</w:t>
      </w:r>
    </w:p>
    <w:p>
      <w:pPr>
        <w:pStyle w:val="Heading1"/>
      </w:pPr>
      <w:r>
        <w:t>3. Worked example: Dengue, city-wide, MW1 of 2026</w:t>
      </w:r>
    </w:p>
    <w:p>
      <w:r>
        <w:rPr>
          <w:i w:val="0"/>
        </w:rPr>
        <w:t>Confirmed + Probable dengue cases in MW1 of each baseline year:</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728"/>
            <w:shd w:val="clear" w:color="auto" w:fill="DBEAFE"/>
          </w:tcPr>
          <w:p>
            <w:pPr>
              <w:keepNext/>
            </w:pPr>
            <w:r/>
            <w:r>
              <w:rPr>
                <w:b/>
                <w:sz w:val="19"/>
              </w:rPr>
              <w:t>Year</w:t>
            </w:r>
          </w:p>
        </w:tc>
        <w:tc>
          <w:tcPr>
            <w:tcW w:type="dxa" w:w="2016"/>
            <w:shd w:val="clear" w:color="auto" w:fill="DBEAFE"/>
          </w:tcPr>
          <w:p>
            <w:pPr>
              <w:keepNext/>
            </w:pPr>
            <w:r/>
            <w:r>
              <w:rPr>
                <w:b/>
                <w:sz w:val="19"/>
              </w:rPr>
              <w:t>Cases in MW1</w:t>
            </w:r>
          </w:p>
        </w:tc>
        <w:tc>
          <w:tcPr>
            <w:tcW w:type="dxa" w:w="2736"/>
            <w:shd w:val="clear" w:color="auto" w:fill="DBEAFE"/>
          </w:tcPr>
          <w:p>
            <w:pPr>
              <w:keepNext/>
            </w:pPr>
            <w:r/>
            <w:r>
              <w:rPr>
                <w:b/>
                <w:sz w:val="19"/>
              </w:rPr>
              <w:t>Difference from mean</w:t>
            </w:r>
          </w:p>
        </w:tc>
        <w:tc>
          <w:tcPr>
            <w:tcW w:type="dxa" w:w="2736"/>
            <w:shd w:val="clear" w:color="auto" w:fill="DBEAFE"/>
          </w:tcPr>
          <w:p>
            <w:pPr>
              <w:keepNext/>
            </w:pPr>
            <w:r/>
            <w:r>
              <w:rPr>
                <w:b/>
                <w:sz w:val="19"/>
              </w:rPr>
              <w:t>Difference squared</w:t>
            </w:r>
          </w:p>
        </w:tc>
      </w:tr>
      <w:tr>
        <w:tc>
          <w:tcPr>
            <w:tcW w:type="dxa" w:w="1728"/>
          </w:tcPr>
          <w:p>
            <w:pPr>
              <w:keepNext/>
            </w:pPr>
            <w:r/>
            <w:r>
              <w:rPr>
                <w:sz w:val="19"/>
              </w:rPr>
              <w:t>2021</w:t>
            </w:r>
          </w:p>
        </w:tc>
        <w:tc>
          <w:tcPr>
            <w:tcW w:type="dxa" w:w="2016"/>
          </w:tcPr>
          <w:p>
            <w:pPr>
              <w:keepNext/>
              <w:jc w:val="center"/>
            </w:pPr>
            <w:r/>
            <w:r>
              <w:rPr>
                <w:sz w:val="19"/>
              </w:rPr>
              <w:t>23</w:t>
            </w:r>
          </w:p>
        </w:tc>
        <w:tc>
          <w:tcPr>
            <w:tcW w:type="dxa" w:w="2736"/>
          </w:tcPr>
          <w:p>
            <w:pPr>
              <w:keepNext/>
              <w:jc w:val="center"/>
            </w:pPr>
            <w:r/>
            <w:r>
              <w:rPr>
                <w:sz w:val="19"/>
              </w:rPr>
              <w:t>+5.8</w:t>
            </w:r>
          </w:p>
        </w:tc>
        <w:tc>
          <w:tcPr>
            <w:tcW w:type="dxa" w:w="2736"/>
          </w:tcPr>
          <w:p>
            <w:pPr>
              <w:keepNext/>
              <w:jc w:val="center"/>
            </w:pPr>
            <w:r/>
            <w:r>
              <w:rPr>
                <w:sz w:val="19"/>
              </w:rPr>
              <w:t>33.64</w:t>
            </w:r>
          </w:p>
        </w:tc>
      </w:tr>
      <w:tr>
        <w:tc>
          <w:tcPr>
            <w:tcW w:type="dxa" w:w="1728"/>
          </w:tcPr>
          <w:p>
            <w:pPr>
              <w:keepNext/>
            </w:pPr>
            <w:r/>
            <w:r>
              <w:rPr>
                <w:sz w:val="19"/>
              </w:rPr>
              <w:t>2022</w:t>
            </w:r>
          </w:p>
        </w:tc>
        <w:tc>
          <w:tcPr>
            <w:tcW w:type="dxa" w:w="2016"/>
          </w:tcPr>
          <w:p>
            <w:pPr>
              <w:keepNext/>
              <w:jc w:val="center"/>
            </w:pPr>
            <w:r/>
            <w:r>
              <w:rPr>
                <w:sz w:val="19"/>
              </w:rPr>
              <w:t>6</w:t>
            </w:r>
          </w:p>
        </w:tc>
        <w:tc>
          <w:tcPr>
            <w:tcW w:type="dxa" w:w="2736"/>
          </w:tcPr>
          <w:p>
            <w:pPr>
              <w:keepNext/>
              <w:jc w:val="center"/>
            </w:pPr>
            <w:r/>
            <w:r>
              <w:rPr>
                <w:sz w:val="19"/>
              </w:rPr>
              <w:t>-11.2</w:t>
            </w:r>
          </w:p>
        </w:tc>
        <w:tc>
          <w:tcPr>
            <w:tcW w:type="dxa" w:w="2736"/>
          </w:tcPr>
          <w:p>
            <w:pPr>
              <w:keepNext/>
              <w:jc w:val="center"/>
            </w:pPr>
            <w:r/>
            <w:r>
              <w:rPr>
                <w:sz w:val="19"/>
              </w:rPr>
              <w:t>125.44</w:t>
            </w:r>
          </w:p>
        </w:tc>
      </w:tr>
      <w:tr>
        <w:tc>
          <w:tcPr>
            <w:tcW w:type="dxa" w:w="1728"/>
          </w:tcPr>
          <w:p>
            <w:pPr>
              <w:keepNext/>
            </w:pPr>
            <w:r/>
            <w:r>
              <w:rPr>
                <w:sz w:val="19"/>
              </w:rPr>
              <w:t>2023</w:t>
            </w:r>
          </w:p>
        </w:tc>
        <w:tc>
          <w:tcPr>
            <w:tcW w:type="dxa" w:w="2016"/>
          </w:tcPr>
          <w:p>
            <w:pPr>
              <w:keepNext/>
              <w:jc w:val="center"/>
            </w:pPr>
            <w:r/>
            <w:r>
              <w:rPr>
                <w:sz w:val="19"/>
              </w:rPr>
              <w:t>24</w:t>
            </w:r>
          </w:p>
        </w:tc>
        <w:tc>
          <w:tcPr>
            <w:tcW w:type="dxa" w:w="2736"/>
          </w:tcPr>
          <w:p>
            <w:pPr>
              <w:keepNext/>
              <w:jc w:val="center"/>
            </w:pPr>
            <w:r/>
            <w:r>
              <w:rPr>
                <w:sz w:val="19"/>
              </w:rPr>
              <w:t>+6.8</w:t>
            </w:r>
          </w:p>
        </w:tc>
        <w:tc>
          <w:tcPr>
            <w:tcW w:type="dxa" w:w="2736"/>
          </w:tcPr>
          <w:p>
            <w:pPr>
              <w:keepNext/>
              <w:jc w:val="center"/>
            </w:pPr>
            <w:r/>
            <w:r>
              <w:rPr>
                <w:sz w:val="19"/>
              </w:rPr>
              <w:t>46.24</w:t>
            </w:r>
          </w:p>
        </w:tc>
      </w:tr>
      <w:tr>
        <w:tc>
          <w:tcPr>
            <w:tcW w:type="dxa" w:w="1728"/>
          </w:tcPr>
          <w:p>
            <w:pPr>
              <w:keepNext/>
            </w:pPr>
            <w:r/>
            <w:r>
              <w:rPr>
                <w:sz w:val="19"/>
              </w:rPr>
              <w:t>2024</w:t>
            </w:r>
          </w:p>
        </w:tc>
        <w:tc>
          <w:tcPr>
            <w:tcW w:type="dxa" w:w="2016"/>
          </w:tcPr>
          <w:p>
            <w:pPr>
              <w:keepNext/>
              <w:jc w:val="center"/>
            </w:pPr>
            <w:r/>
            <w:r>
              <w:rPr>
                <w:sz w:val="19"/>
              </w:rPr>
              <w:t>12</w:t>
            </w:r>
          </w:p>
        </w:tc>
        <w:tc>
          <w:tcPr>
            <w:tcW w:type="dxa" w:w="2736"/>
          </w:tcPr>
          <w:p>
            <w:pPr>
              <w:keepNext/>
              <w:jc w:val="center"/>
            </w:pPr>
            <w:r/>
            <w:r>
              <w:rPr>
                <w:sz w:val="19"/>
              </w:rPr>
              <w:t>-5.2</w:t>
            </w:r>
          </w:p>
        </w:tc>
        <w:tc>
          <w:tcPr>
            <w:tcW w:type="dxa" w:w="2736"/>
          </w:tcPr>
          <w:p>
            <w:pPr>
              <w:keepNext/>
              <w:jc w:val="center"/>
            </w:pPr>
            <w:r/>
            <w:r>
              <w:rPr>
                <w:sz w:val="19"/>
              </w:rPr>
              <w:t>27.04</w:t>
            </w:r>
          </w:p>
        </w:tc>
      </w:tr>
      <w:tr>
        <w:tc>
          <w:tcPr>
            <w:tcW w:type="dxa" w:w="1728"/>
          </w:tcPr>
          <w:p>
            <w:pPr>
              <w:keepNext/>
            </w:pPr>
            <w:r/>
            <w:r>
              <w:rPr>
                <w:sz w:val="19"/>
              </w:rPr>
              <w:t>2025</w:t>
            </w:r>
          </w:p>
        </w:tc>
        <w:tc>
          <w:tcPr>
            <w:tcW w:type="dxa" w:w="2016"/>
          </w:tcPr>
          <w:p>
            <w:pPr>
              <w:keepNext/>
              <w:jc w:val="center"/>
            </w:pPr>
            <w:r/>
            <w:r>
              <w:rPr>
                <w:sz w:val="19"/>
              </w:rPr>
              <w:t>21</w:t>
            </w:r>
          </w:p>
        </w:tc>
        <w:tc>
          <w:tcPr>
            <w:tcW w:type="dxa" w:w="2736"/>
          </w:tcPr>
          <w:p>
            <w:pPr>
              <w:keepNext/>
              <w:jc w:val="center"/>
            </w:pPr>
            <w:r/>
            <w:r>
              <w:rPr>
                <w:sz w:val="19"/>
              </w:rPr>
              <w:t>+3.8</w:t>
            </w:r>
          </w:p>
        </w:tc>
        <w:tc>
          <w:tcPr>
            <w:tcW w:type="dxa" w:w="2736"/>
          </w:tcPr>
          <w:p>
            <w:pPr>
              <w:keepNext/>
              <w:jc w:val="center"/>
            </w:pPr>
            <w:r/>
            <w:r>
              <w:rPr>
                <w:sz w:val="19"/>
              </w:rPr>
              <w:t>14.44</w:t>
            </w:r>
          </w:p>
        </w:tc>
      </w:tr>
      <w:tr>
        <w:tc>
          <w:tcPr>
            <w:tcW w:type="dxa" w:w="1728"/>
            <w:shd w:val="clear" w:color="auto" w:fill="F1F5F9"/>
          </w:tcPr>
          <w:p>
            <w:r/>
            <w:r>
              <w:rPr>
                <w:sz w:val="19"/>
              </w:rPr>
              <w:t>Total</w:t>
            </w:r>
          </w:p>
        </w:tc>
        <w:tc>
          <w:tcPr>
            <w:tcW w:type="dxa" w:w="2016"/>
            <w:shd w:val="clear" w:color="auto" w:fill="F1F5F9"/>
          </w:tcPr>
          <w:p>
            <w:pPr>
              <w:jc w:val="center"/>
            </w:pPr>
            <w:r/>
            <w:r>
              <w:rPr>
                <w:sz w:val="19"/>
              </w:rPr>
              <w:t>86</w:t>
            </w:r>
          </w:p>
        </w:tc>
        <w:tc>
          <w:tcPr>
            <w:tcW w:type="dxa" w:w="2736"/>
            <w:shd w:val="clear" w:color="auto" w:fill="F1F5F9"/>
          </w:tcPr>
          <w:p>
            <w:pPr>
              <w:jc w:val="center"/>
            </w:pPr>
            <w:r/>
            <w:r>
              <w:rPr>
                <w:sz w:val="19"/>
              </w:rPr>
              <w:t>0.0</w:t>
            </w:r>
          </w:p>
        </w:tc>
        <w:tc>
          <w:tcPr>
            <w:tcW w:type="dxa" w:w="2736"/>
            <w:shd w:val="clear" w:color="auto" w:fill="F1F5F9"/>
          </w:tcPr>
          <w:p>
            <w:pPr>
              <w:jc w:val="center"/>
            </w:pPr>
            <w:r/>
            <w:r>
              <w:rPr>
                <w:sz w:val="19"/>
              </w:rPr>
              <w:t>246.80</w:t>
            </w:r>
          </w:p>
        </w:tc>
      </w:tr>
    </w:tbl>
    <w:p/>
    <w:p>
      <w:pPr>
        <w:ind w:left="576"/>
      </w:pPr>
      <w:r>
        <w:rPr>
          <w:rFonts w:ascii="Consolas" w:hAnsi="Consolas"/>
          <w:sz w:val="21"/>
        </w:rPr>
        <w:t>Mean      = 86 / 5 = 17.2</w:t>
      </w:r>
    </w:p>
    <w:p>
      <w:pPr>
        <w:ind w:left="576"/>
      </w:pPr>
      <w:r>
        <w:rPr>
          <w:rFonts w:ascii="Consolas" w:hAnsi="Consolas"/>
          <w:sz w:val="21"/>
        </w:rPr>
        <w:t>Variance  = 246.80 / (5 - 1) = 61.70</w:t>
      </w:r>
    </w:p>
    <w:p>
      <w:pPr>
        <w:ind w:left="576"/>
      </w:pPr>
      <w:r>
        <w:rPr>
          <w:rFonts w:ascii="Consolas" w:hAnsi="Consolas"/>
          <w:sz w:val="21"/>
        </w:rPr>
        <w:t>SD        = square root of 61.70 = 7.85</w:t>
      </w:r>
    </w:p>
    <w:p>
      <w:pPr>
        <w:ind w:left="576"/>
      </w:pPr>
      <w:r>
        <w:rPr>
          <w:rFonts w:ascii="Consolas" w:hAnsi="Consolas"/>
          <w:sz w:val="21"/>
        </w:rPr>
        <w:t>Alert     = 17.2 + 7.85 = 25.05</w:t>
      </w:r>
    </w:p>
    <w:p>
      <w:pPr>
        <w:ind w:left="576"/>
      </w:pPr>
      <w:r>
        <w:rPr>
          <w:rFonts w:ascii="Consolas" w:hAnsi="Consolas"/>
          <w:sz w:val="21"/>
        </w:rPr>
        <w:t>Epidemic  = 17.2 + 2 x 7.85 = 32.91</w:t>
      </w:r>
    </w:p>
    <w:p>
      <w:r>
        <w:rPr>
          <w:b/>
        </w:rPr>
        <w:t xml:space="preserve">Result. </w:t>
      </w:r>
      <w:r>
        <w:rPr>
          <w:i w:val="0"/>
        </w:rPr>
        <w:t>MW1 of 2026 had 43 Confirmed + Probable dengue cases. 43 is greater than 32.91, so the week is at the epidemic level and H-MAP shows it in red.</w:t>
      </w:r>
    </w:p>
    <w:p>
      <w:pPr>
        <w:jc w:val="center"/>
      </w:pPr>
      <w:r>
        <w:drawing>
          <wp:inline xmlns:a="http://schemas.openxmlformats.org/drawingml/2006/main" xmlns:pic="http://schemas.openxmlformats.org/drawingml/2006/picture">
            <wp:extent cx="5760720" cy="2640330"/>
            <wp:docPr id="1" name="Picture 1"/>
            <wp:cNvGraphicFramePr>
              <a:graphicFrameLocks noChangeAspect="1"/>
            </wp:cNvGraphicFramePr>
            <a:graphic>
              <a:graphicData uri="http://schemas.openxmlformats.org/drawingml/2006/picture">
                <pic:pic>
                  <pic:nvPicPr>
                    <pic:cNvPr id="0" name="threshold_mw1.png"/>
                    <pic:cNvPicPr/>
                  </pic:nvPicPr>
                  <pic:blipFill>
                    <a:blip r:embed="rId9"/>
                    <a:stretch>
                      <a:fillRect/>
                    </a:stretch>
                  </pic:blipFill>
                  <pic:spPr>
                    <a:xfrm>
                      <a:off x="0" y="0"/>
                      <a:ext cx="5760720" cy="2640330"/>
                    </a:xfrm>
                    <a:prstGeom prst="rect"/>
                  </pic:spPr>
                </pic:pic>
              </a:graphicData>
            </a:graphic>
          </wp:inline>
        </w:drawing>
      </w:r>
    </w:p>
    <w:p>
      <w:pPr>
        <w:jc w:val="center"/>
      </w:pPr>
      <w:r>
        <w:rPr>
          <w:i/>
          <w:sz w:val="19"/>
        </w:rPr>
        <w:t>Figure 1. MW1 dengue counts for the five baseline years (blue) and 2026 (red), with the lines they produce.</w:t>
      </w:r>
    </w:p>
    <w:p>
      <w:r>
        <w:rPr>
          <w:i/>
        </w:rPr>
        <w:t>These are the same numbers H-MAP stores in its thresholds table: mean 17.2000, SD 7.8549, epidemic threshold 32.9099, baseline years 2021 to 2025. The hand computation and the system agree to four decimal places for every week shown in the next section.</w:t>
      </w:r>
    </w:p>
    <w:p>
      <w:pPr>
        <w:pStyle w:val="Heading1"/>
      </w:pPr>
      <w:r>
        <w:t>4. The first five weeks of 2026</w:t>
      </w:r>
    </w:p>
    <w:p>
      <w:r>
        <w:rPr>
          <w:i w:val="0"/>
        </w:rPr>
        <w:t>The same steps repeated for MW1 to MW5 give three different outcomes: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864"/>
            <w:shd w:val="clear" w:color="auto" w:fill="DBEAFE"/>
          </w:tcPr>
          <w:p>
            <w:pPr>
              <w:keepNext/>
            </w:pPr>
            <w:r/>
            <w:r>
              <w:rPr>
                <w:b/>
                <w:sz w:val="19"/>
              </w:rPr>
              <w:t>Week</w:t>
            </w:r>
          </w:p>
        </w:tc>
        <w:tc>
          <w:tcPr>
            <w:tcW w:type="dxa" w:w="2160"/>
            <w:shd w:val="clear" w:color="auto" w:fill="DBEAFE"/>
          </w:tcPr>
          <w:p>
            <w:pPr>
              <w:keepNext/>
            </w:pPr>
            <w:r/>
            <w:r>
              <w:rPr>
                <w:b/>
                <w:sz w:val="19"/>
              </w:rPr>
              <w:t>2021-2025 counts</w:t>
            </w:r>
          </w:p>
        </w:tc>
        <w:tc>
          <w:tcPr>
            <w:tcW w:type="dxa" w:w="864"/>
            <w:shd w:val="clear" w:color="auto" w:fill="DBEAFE"/>
          </w:tcPr>
          <w:p>
            <w:pPr>
              <w:keepNext/>
            </w:pPr>
            <w:r/>
            <w:r>
              <w:rPr>
                <w:b/>
                <w:sz w:val="19"/>
              </w:rPr>
              <w:t>Mean</w:t>
            </w:r>
          </w:p>
        </w:tc>
        <w:tc>
          <w:tcPr>
            <w:tcW w:type="dxa" w:w="936"/>
            <w:shd w:val="clear" w:color="auto" w:fill="DBEAFE"/>
          </w:tcPr>
          <w:p>
            <w:pPr>
              <w:keepNext/>
            </w:pPr>
            <w:r/>
            <w:r>
              <w:rPr>
                <w:b/>
                <w:sz w:val="19"/>
              </w:rPr>
              <w:t>SD</w:t>
            </w:r>
          </w:p>
        </w:tc>
        <w:tc>
          <w:tcPr>
            <w:tcW w:type="dxa" w:w="1008"/>
            <w:shd w:val="clear" w:color="auto" w:fill="DBEAFE"/>
          </w:tcPr>
          <w:p>
            <w:pPr>
              <w:keepNext/>
            </w:pPr>
            <w:r/>
            <w:r>
              <w:rPr>
                <w:b/>
                <w:sz w:val="19"/>
              </w:rPr>
              <w:t>Alert</w:t>
            </w:r>
          </w:p>
        </w:tc>
        <w:tc>
          <w:tcPr>
            <w:tcW w:type="dxa" w:w="1152"/>
            <w:shd w:val="clear" w:color="auto" w:fill="DBEAFE"/>
          </w:tcPr>
          <w:p>
            <w:pPr>
              <w:keepNext/>
            </w:pPr>
            <w:r/>
            <w:r>
              <w:rPr>
                <w:b/>
                <w:sz w:val="19"/>
              </w:rPr>
              <w:t>Epidemic</w:t>
            </w:r>
          </w:p>
        </w:tc>
        <w:tc>
          <w:tcPr>
            <w:tcW w:type="dxa" w:w="792"/>
            <w:shd w:val="clear" w:color="auto" w:fill="DBEAFE"/>
          </w:tcPr>
          <w:p>
            <w:pPr>
              <w:keepNext/>
            </w:pPr>
            <w:r/>
            <w:r>
              <w:rPr>
                <w:b/>
                <w:sz w:val="19"/>
              </w:rPr>
              <w:t>2026</w:t>
            </w:r>
          </w:p>
        </w:tc>
        <w:tc>
          <w:tcPr>
            <w:tcW w:type="dxa" w:w="1440"/>
            <w:shd w:val="clear" w:color="auto" w:fill="DBEAFE"/>
          </w:tcPr>
          <w:p>
            <w:pPr>
              <w:keepNext/>
            </w:pPr>
            <w:r/>
            <w:r>
              <w:rPr>
                <w:b/>
                <w:sz w:val="19"/>
              </w:rPr>
              <w:t>Level</w:t>
            </w:r>
          </w:p>
        </w:tc>
      </w:tr>
      <w:tr>
        <w:tc>
          <w:tcPr>
            <w:tcW w:type="dxa" w:w="864"/>
            <w:shd w:val="clear" w:color="auto" w:fill="FECACA"/>
          </w:tcPr>
          <w:p>
            <w:pPr>
              <w:keepNext/>
            </w:pPr>
            <w:r/>
            <w:r>
              <w:rPr>
                <w:sz w:val="19"/>
              </w:rPr>
              <w:t>MW1</w:t>
            </w:r>
          </w:p>
        </w:tc>
        <w:tc>
          <w:tcPr>
            <w:tcW w:type="dxa" w:w="2160"/>
            <w:shd w:val="clear" w:color="auto" w:fill="FECACA"/>
          </w:tcPr>
          <w:p>
            <w:pPr>
              <w:keepNext/>
              <w:jc w:val="center"/>
            </w:pPr>
            <w:r/>
            <w:r>
              <w:rPr>
                <w:sz w:val="19"/>
              </w:rPr>
              <w:t>23, 6, 24, 12, 21</w:t>
            </w:r>
          </w:p>
        </w:tc>
        <w:tc>
          <w:tcPr>
            <w:tcW w:type="dxa" w:w="864"/>
            <w:shd w:val="clear" w:color="auto" w:fill="FECACA"/>
          </w:tcPr>
          <w:p>
            <w:pPr>
              <w:keepNext/>
              <w:jc w:val="center"/>
            </w:pPr>
            <w:r/>
            <w:r>
              <w:rPr>
                <w:sz w:val="19"/>
              </w:rPr>
              <w:t>17.2</w:t>
            </w:r>
          </w:p>
        </w:tc>
        <w:tc>
          <w:tcPr>
            <w:tcW w:type="dxa" w:w="936"/>
            <w:shd w:val="clear" w:color="auto" w:fill="FECACA"/>
          </w:tcPr>
          <w:p>
            <w:pPr>
              <w:keepNext/>
              <w:jc w:val="center"/>
            </w:pPr>
            <w:r/>
            <w:r>
              <w:rPr>
                <w:sz w:val="19"/>
              </w:rPr>
              <w:t>7.85</w:t>
            </w:r>
          </w:p>
        </w:tc>
        <w:tc>
          <w:tcPr>
            <w:tcW w:type="dxa" w:w="1008"/>
            <w:shd w:val="clear" w:color="auto" w:fill="FECACA"/>
          </w:tcPr>
          <w:p>
            <w:pPr>
              <w:keepNext/>
              <w:jc w:val="center"/>
            </w:pPr>
            <w:r/>
            <w:r>
              <w:rPr>
                <w:sz w:val="19"/>
              </w:rPr>
              <w:t>25.05</w:t>
            </w:r>
          </w:p>
        </w:tc>
        <w:tc>
          <w:tcPr>
            <w:tcW w:type="dxa" w:w="1152"/>
            <w:shd w:val="clear" w:color="auto" w:fill="FECACA"/>
          </w:tcPr>
          <w:p>
            <w:pPr>
              <w:keepNext/>
              <w:jc w:val="center"/>
            </w:pPr>
            <w:r/>
            <w:r>
              <w:rPr>
                <w:sz w:val="19"/>
              </w:rPr>
              <w:t>32.91</w:t>
            </w:r>
          </w:p>
        </w:tc>
        <w:tc>
          <w:tcPr>
            <w:tcW w:type="dxa" w:w="792"/>
            <w:shd w:val="clear" w:color="auto" w:fill="FECACA"/>
          </w:tcPr>
          <w:p>
            <w:pPr>
              <w:keepNext/>
              <w:jc w:val="center"/>
            </w:pPr>
            <w:r/>
            <w:r>
              <w:rPr>
                <w:sz w:val="19"/>
              </w:rPr>
              <w:t>43</w:t>
            </w:r>
          </w:p>
        </w:tc>
        <w:tc>
          <w:tcPr>
            <w:tcW w:type="dxa" w:w="1440"/>
            <w:shd w:val="clear" w:color="auto" w:fill="FECACA"/>
          </w:tcPr>
          <w:p>
            <w:pPr>
              <w:keepNext/>
              <w:jc w:val="center"/>
            </w:pPr>
            <w:r/>
            <w:r>
              <w:rPr>
                <w:sz w:val="19"/>
              </w:rPr>
              <w:t>Epidemic</w:t>
            </w:r>
          </w:p>
        </w:tc>
      </w:tr>
      <w:tr>
        <w:tc>
          <w:tcPr>
            <w:tcW w:type="dxa" w:w="864"/>
          </w:tcPr>
          <w:p>
            <w:pPr>
              <w:keepNext/>
            </w:pPr>
            <w:r/>
            <w:r>
              <w:rPr>
                <w:sz w:val="19"/>
              </w:rPr>
              <w:t>MW2</w:t>
            </w:r>
          </w:p>
        </w:tc>
        <w:tc>
          <w:tcPr>
            <w:tcW w:type="dxa" w:w="2160"/>
          </w:tcPr>
          <w:p>
            <w:pPr>
              <w:keepNext/>
              <w:jc w:val="center"/>
            </w:pPr>
            <w:r/>
            <w:r>
              <w:rPr>
                <w:sz w:val="19"/>
              </w:rPr>
              <w:t>11, 4, 16, 23, 46</w:t>
            </w:r>
          </w:p>
        </w:tc>
        <w:tc>
          <w:tcPr>
            <w:tcW w:type="dxa" w:w="864"/>
          </w:tcPr>
          <w:p>
            <w:pPr>
              <w:keepNext/>
              <w:jc w:val="center"/>
            </w:pPr>
            <w:r/>
            <w:r>
              <w:rPr>
                <w:sz w:val="19"/>
              </w:rPr>
              <w:t>20.0</w:t>
            </w:r>
          </w:p>
        </w:tc>
        <w:tc>
          <w:tcPr>
            <w:tcW w:type="dxa" w:w="936"/>
          </w:tcPr>
          <w:p>
            <w:pPr>
              <w:keepNext/>
              <w:jc w:val="center"/>
            </w:pPr>
            <w:r/>
            <w:r>
              <w:rPr>
                <w:sz w:val="19"/>
              </w:rPr>
              <w:t>16.11</w:t>
            </w:r>
          </w:p>
        </w:tc>
        <w:tc>
          <w:tcPr>
            <w:tcW w:type="dxa" w:w="1008"/>
          </w:tcPr>
          <w:p>
            <w:pPr>
              <w:keepNext/>
              <w:jc w:val="center"/>
            </w:pPr>
            <w:r/>
            <w:r>
              <w:rPr>
                <w:sz w:val="19"/>
              </w:rPr>
              <w:t>36.11</w:t>
            </w:r>
          </w:p>
        </w:tc>
        <w:tc>
          <w:tcPr>
            <w:tcW w:type="dxa" w:w="1152"/>
          </w:tcPr>
          <w:p>
            <w:pPr>
              <w:keepNext/>
              <w:jc w:val="center"/>
            </w:pPr>
            <w:r/>
            <w:r>
              <w:rPr>
                <w:sz w:val="19"/>
              </w:rPr>
              <w:t>52.22</w:t>
            </w:r>
          </w:p>
        </w:tc>
        <w:tc>
          <w:tcPr>
            <w:tcW w:type="dxa" w:w="792"/>
          </w:tcPr>
          <w:p>
            <w:pPr>
              <w:keepNext/>
              <w:jc w:val="center"/>
            </w:pPr>
            <w:r/>
            <w:r>
              <w:rPr>
                <w:sz w:val="19"/>
              </w:rPr>
              <w:t>32</w:t>
            </w:r>
          </w:p>
        </w:tc>
        <w:tc>
          <w:tcPr>
            <w:tcW w:type="dxa" w:w="1440"/>
          </w:tcPr>
          <w:p>
            <w:pPr>
              <w:keepNext/>
              <w:jc w:val="center"/>
            </w:pPr>
            <w:r/>
            <w:r>
              <w:rPr>
                <w:sz w:val="19"/>
              </w:rPr>
              <w:t>Below alert</w:t>
            </w:r>
          </w:p>
        </w:tc>
      </w:tr>
      <w:tr>
        <w:tc>
          <w:tcPr>
            <w:tcW w:type="dxa" w:w="864"/>
          </w:tcPr>
          <w:p>
            <w:pPr>
              <w:keepNext/>
            </w:pPr>
            <w:r/>
            <w:r>
              <w:rPr>
                <w:sz w:val="19"/>
              </w:rPr>
              <w:t>MW3</w:t>
            </w:r>
          </w:p>
        </w:tc>
        <w:tc>
          <w:tcPr>
            <w:tcW w:type="dxa" w:w="2160"/>
          </w:tcPr>
          <w:p>
            <w:pPr>
              <w:keepNext/>
              <w:jc w:val="center"/>
            </w:pPr>
            <w:r/>
            <w:r>
              <w:rPr>
                <w:sz w:val="19"/>
              </w:rPr>
              <w:t>16, 4, 15, 22, 55</w:t>
            </w:r>
          </w:p>
        </w:tc>
        <w:tc>
          <w:tcPr>
            <w:tcW w:type="dxa" w:w="864"/>
          </w:tcPr>
          <w:p>
            <w:pPr>
              <w:keepNext/>
              <w:jc w:val="center"/>
            </w:pPr>
            <w:r/>
            <w:r>
              <w:rPr>
                <w:sz w:val="19"/>
              </w:rPr>
              <w:t>22.4</w:t>
            </w:r>
          </w:p>
        </w:tc>
        <w:tc>
          <w:tcPr>
            <w:tcW w:type="dxa" w:w="936"/>
          </w:tcPr>
          <w:p>
            <w:pPr>
              <w:keepNext/>
              <w:jc w:val="center"/>
            </w:pPr>
            <w:r/>
            <w:r>
              <w:rPr>
                <w:sz w:val="19"/>
              </w:rPr>
              <w:t>19.35</w:t>
            </w:r>
          </w:p>
        </w:tc>
        <w:tc>
          <w:tcPr>
            <w:tcW w:type="dxa" w:w="1008"/>
          </w:tcPr>
          <w:p>
            <w:pPr>
              <w:keepNext/>
              <w:jc w:val="center"/>
            </w:pPr>
            <w:r/>
            <w:r>
              <w:rPr>
                <w:sz w:val="19"/>
              </w:rPr>
              <w:t>41.75</w:t>
            </w:r>
          </w:p>
        </w:tc>
        <w:tc>
          <w:tcPr>
            <w:tcW w:type="dxa" w:w="1152"/>
          </w:tcPr>
          <w:p>
            <w:pPr>
              <w:keepNext/>
              <w:jc w:val="center"/>
            </w:pPr>
            <w:r/>
            <w:r>
              <w:rPr>
                <w:sz w:val="19"/>
              </w:rPr>
              <w:t>61.09</w:t>
            </w:r>
          </w:p>
        </w:tc>
        <w:tc>
          <w:tcPr>
            <w:tcW w:type="dxa" w:w="792"/>
          </w:tcPr>
          <w:p>
            <w:pPr>
              <w:keepNext/>
              <w:jc w:val="center"/>
            </w:pPr>
            <w:r/>
            <w:r>
              <w:rPr>
                <w:sz w:val="19"/>
              </w:rPr>
              <w:t>28</w:t>
            </w:r>
          </w:p>
        </w:tc>
        <w:tc>
          <w:tcPr>
            <w:tcW w:type="dxa" w:w="1440"/>
          </w:tcPr>
          <w:p>
            <w:pPr>
              <w:keepNext/>
              <w:jc w:val="center"/>
            </w:pPr>
            <w:r/>
            <w:r>
              <w:rPr>
                <w:sz w:val="19"/>
              </w:rPr>
              <w:t>Below alert</w:t>
            </w:r>
          </w:p>
        </w:tc>
      </w:tr>
      <w:tr>
        <w:tc>
          <w:tcPr>
            <w:tcW w:type="dxa" w:w="864"/>
            <w:shd w:val="clear" w:color="auto" w:fill="FEF3C7"/>
          </w:tcPr>
          <w:p>
            <w:pPr>
              <w:keepNext/>
            </w:pPr>
            <w:r/>
            <w:r>
              <w:rPr>
                <w:sz w:val="19"/>
              </w:rPr>
              <w:t>MW4</w:t>
            </w:r>
          </w:p>
        </w:tc>
        <w:tc>
          <w:tcPr>
            <w:tcW w:type="dxa" w:w="2160"/>
            <w:shd w:val="clear" w:color="auto" w:fill="FEF3C7"/>
          </w:tcPr>
          <w:p>
            <w:pPr>
              <w:keepNext/>
              <w:jc w:val="center"/>
            </w:pPr>
            <w:r/>
            <w:r>
              <w:rPr>
                <w:sz w:val="19"/>
              </w:rPr>
              <w:t>19, 3, 24, 16, 43</w:t>
            </w:r>
          </w:p>
        </w:tc>
        <w:tc>
          <w:tcPr>
            <w:tcW w:type="dxa" w:w="864"/>
            <w:shd w:val="clear" w:color="auto" w:fill="FEF3C7"/>
          </w:tcPr>
          <w:p>
            <w:pPr>
              <w:keepNext/>
              <w:jc w:val="center"/>
            </w:pPr>
            <w:r/>
            <w:r>
              <w:rPr>
                <w:sz w:val="19"/>
              </w:rPr>
              <w:t>21.0</w:t>
            </w:r>
          </w:p>
        </w:tc>
        <w:tc>
          <w:tcPr>
            <w:tcW w:type="dxa" w:w="936"/>
            <w:shd w:val="clear" w:color="auto" w:fill="FEF3C7"/>
          </w:tcPr>
          <w:p>
            <w:pPr>
              <w:keepNext/>
              <w:jc w:val="center"/>
            </w:pPr>
            <w:r/>
            <w:r>
              <w:rPr>
                <w:sz w:val="19"/>
              </w:rPr>
              <w:t>14.54</w:t>
            </w:r>
          </w:p>
        </w:tc>
        <w:tc>
          <w:tcPr>
            <w:tcW w:type="dxa" w:w="1008"/>
            <w:shd w:val="clear" w:color="auto" w:fill="FEF3C7"/>
          </w:tcPr>
          <w:p>
            <w:pPr>
              <w:keepNext/>
              <w:jc w:val="center"/>
            </w:pPr>
            <w:r/>
            <w:r>
              <w:rPr>
                <w:sz w:val="19"/>
              </w:rPr>
              <w:t>35.54</w:t>
            </w:r>
          </w:p>
        </w:tc>
        <w:tc>
          <w:tcPr>
            <w:tcW w:type="dxa" w:w="1152"/>
            <w:shd w:val="clear" w:color="auto" w:fill="FEF3C7"/>
          </w:tcPr>
          <w:p>
            <w:pPr>
              <w:keepNext/>
              <w:jc w:val="center"/>
            </w:pPr>
            <w:r/>
            <w:r>
              <w:rPr>
                <w:sz w:val="19"/>
              </w:rPr>
              <w:t>50.09</w:t>
            </w:r>
          </w:p>
        </w:tc>
        <w:tc>
          <w:tcPr>
            <w:tcW w:type="dxa" w:w="792"/>
            <w:shd w:val="clear" w:color="auto" w:fill="FEF3C7"/>
          </w:tcPr>
          <w:p>
            <w:pPr>
              <w:keepNext/>
              <w:jc w:val="center"/>
            </w:pPr>
            <w:r/>
            <w:r>
              <w:rPr>
                <w:sz w:val="19"/>
              </w:rPr>
              <w:t>38</w:t>
            </w:r>
          </w:p>
        </w:tc>
        <w:tc>
          <w:tcPr>
            <w:tcW w:type="dxa" w:w="1440"/>
            <w:shd w:val="clear" w:color="auto" w:fill="FEF3C7"/>
          </w:tcPr>
          <w:p>
            <w:pPr>
              <w:keepNext/>
              <w:jc w:val="center"/>
            </w:pPr>
            <w:r/>
            <w:r>
              <w:rPr>
                <w:sz w:val="19"/>
              </w:rPr>
              <w:t>Alert</w:t>
            </w:r>
          </w:p>
        </w:tc>
      </w:tr>
      <w:tr>
        <w:tc>
          <w:tcPr>
            <w:tcW w:type="dxa" w:w="864"/>
          </w:tcPr>
          <w:p>
            <w:r/>
            <w:r>
              <w:rPr>
                <w:sz w:val="19"/>
              </w:rPr>
              <w:t>MW5</w:t>
            </w:r>
          </w:p>
        </w:tc>
        <w:tc>
          <w:tcPr>
            <w:tcW w:type="dxa" w:w="2160"/>
          </w:tcPr>
          <w:p>
            <w:pPr>
              <w:jc w:val="center"/>
            </w:pPr>
            <w:r/>
            <w:r>
              <w:rPr>
                <w:sz w:val="19"/>
              </w:rPr>
              <w:t>13, 1, 8, 21, 49</w:t>
            </w:r>
          </w:p>
        </w:tc>
        <w:tc>
          <w:tcPr>
            <w:tcW w:type="dxa" w:w="864"/>
          </w:tcPr>
          <w:p>
            <w:pPr>
              <w:jc w:val="center"/>
            </w:pPr>
            <w:r/>
            <w:r>
              <w:rPr>
                <w:sz w:val="19"/>
              </w:rPr>
              <w:t>18.4</w:t>
            </w:r>
          </w:p>
        </w:tc>
        <w:tc>
          <w:tcPr>
            <w:tcW w:type="dxa" w:w="936"/>
          </w:tcPr>
          <w:p>
            <w:pPr>
              <w:jc w:val="center"/>
            </w:pPr>
            <w:r/>
            <w:r>
              <w:rPr>
                <w:sz w:val="19"/>
              </w:rPr>
              <w:t>18.60</w:t>
            </w:r>
          </w:p>
        </w:tc>
        <w:tc>
          <w:tcPr>
            <w:tcW w:type="dxa" w:w="1008"/>
          </w:tcPr>
          <w:p>
            <w:pPr>
              <w:jc w:val="center"/>
            </w:pPr>
            <w:r/>
            <w:r>
              <w:rPr>
                <w:sz w:val="19"/>
              </w:rPr>
              <w:t>37.00</w:t>
            </w:r>
          </w:p>
        </w:tc>
        <w:tc>
          <w:tcPr>
            <w:tcW w:type="dxa" w:w="1152"/>
          </w:tcPr>
          <w:p>
            <w:pPr>
              <w:jc w:val="center"/>
            </w:pPr>
            <w:r/>
            <w:r>
              <w:rPr>
                <w:sz w:val="19"/>
              </w:rPr>
              <w:t>55.59</w:t>
            </w:r>
          </w:p>
        </w:tc>
        <w:tc>
          <w:tcPr>
            <w:tcW w:type="dxa" w:w="792"/>
          </w:tcPr>
          <w:p>
            <w:pPr>
              <w:jc w:val="center"/>
            </w:pPr>
            <w:r/>
            <w:r>
              <w:rPr>
                <w:sz w:val="19"/>
              </w:rPr>
              <w:t>5</w:t>
            </w:r>
          </w:p>
        </w:tc>
        <w:tc>
          <w:tcPr>
            <w:tcW w:type="dxa" w:w="1440"/>
          </w:tcPr>
          <w:p>
            <w:pPr>
              <w:jc w:val="center"/>
            </w:pPr>
            <w:r/>
            <w:r>
              <w:rPr>
                <w:sz w:val="19"/>
              </w:rPr>
              <w:t>Below alert</w:t>
            </w:r>
          </w:p>
        </w:tc>
      </w:tr>
    </w:tbl>
    <w:p/>
    <w:p>
      <w:pPr>
        <w:pStyle w:val="ListBullet"/>
      </w:pPr>
      <w:r>
        <w:rPr>
          <w:b/>
        </w:rPr>
        <w:t xml:space="preserve">MW1 (43 cases): epidemic level. </w:t>
      </w:r>
      <w:r>
        <w:t>Far above a baseline that was mostly in the teens and twenties.</w:t>
      </w:r>
    </w:p>
    <w:p>
      <w:pPr>
        <w:pStyle w:val="ListBullet"/>
      </w:pPr>
      <w:r>
        <w:rPr>
          <w:b/>
        </w:rPr>
        <w:t xml:space="preserve">MW4 (38 cases): alert level. </w:t>
      </w:r>
      <w:r>
        <w:t>Above 35.54 but below 50.09.</w:t>
      </w:r>
    </w:p>
    <w:p>
      <w:pPr>
        <w:pStyle w:val="ListBullet"/>
      </w:pPr>
      <w:r>
        <w:rPr>
          <w:b/>
        </w:rPr>
        <w:t xml:space="preserve">MW2 (32 cases): below alert, even though 32 is a lot of cases. </w:t>
      </w:r>
      <w:r>
        <w:t>The 2025 baseline year had 46 cases in MW2 and 55 in MW3, which raised both the mean and the SD. An outbreak year in the baseline makes the thresholds higher for the next five years. The CESU should keep this in mind when 2025 is in the baseline.</w:t>
      </w:r>
    </w:p>
    <w:p>
      <w:pPr>
        <w:pStyle w:val="ListBullet"/>
      </w:pPr>
      <w:r>
        <w:rPr>
          <w:b/>
        </w:rPr>
        <w:t xml:space="preserve">MW5 (5 cases): below alert, but probably incomplete. </w:t>
      </w:r>
      <w:r>
        <w:t>MW5 is the latest week in the workbook, and late reports are still arriving. The most recent one or two weeks always look lower than they will end up.</w:t>
      </w:r>
    </w:p>
    <w:p>
      <w:pPr>
        <w:pStyle w:val="Heading1"/>
      </w:pPr>
      <w:r>
        <w:t>5. Barangay example: San Isidro, MW1 of 2026</w:t>
      </w:r>
    </w:p>
    <w:p>
      <w:r>
        <w:rPr>
          <w:i w:val="0"/>
        </w:rPr>
        <w:t>H-MAP repeats the same computation for each barangay, using only that barangay's cases. This is what drives the "above epidemic threshold" reason in the barangay risk tiers on the dashboard.</w:t>
      </w:r>
    </w:p>
    <w:p>
      <w:pPr>
        <w:ind w:left="576"/>
      </w:pPr>
      <w:r>
        <w:rPr>
          <w:rFonts w:ascii="Consolas" w:hAnsi="Consolas"/>
          <w:sz w:val="21"/>
        </w:rPr>
        <w:t>Baseline (2021-2025)  = 2, 1, 1, 2, 2</w:t>
      </w:r>
    </w:p>
    <w:p>
      <w:pPr>
        <w:ind w:left="576"/>
      </w:pPr>
      <w:r>
        <w:rPr>
          <w:rFonts w:ascii="Consolas" w:hAnsi="Consolas"/>
          <w:sz w:val="21"/>
        </w:rPr>
        <w:t>Mean                  = 8 / 5 = 1.6</w:t>
      </w:r>
    </w:p>
    <w:p>
      <w:pPr>
        <w:ind w:left="576"/>
      </w:pPr>
      <w:r>
        <w:rPr>
          <w:rFonts w:ascii="Consolas" w:hAnsi="Consolas"/>
          <w:sz w:val="21"/>
        </w:rPr>
        <w:t>Variance              = 1.20 / 4 = 0.30</w:t>
      </w:r>
    </w:p>
    <w:p>
      <w:pPr>
        <w:ind w:left="576"/>
      </w:pPr>
      <w:r>
        <w:rPr>
          <w:rFonts w:ascii="Consolas" w:hAnsi="Consolas"/>
          <w:sz w:val="21"/>
        </w:rPr>
        <w:t>SD                    = 0.5477</w:t>
      </w:r>
    </w:p>
    <w:p>
      <w:pPr>
        <w:ind w:left="576"/>
      </w:pPr>
      <w:r>
        <w:rPr>
          <w:rFonts w:ascii="Consolas" w:hAnsi="Consolas"/>
          <w:sz w:val="21"/>
        </w:rPr>
        <w:t>Alert                 = 2.15</w:t>
      </w:r>
    </w:p>
    <w:p>
      <w:pPr>
        <w:ind w:left="576"/>
      </w:pPr>
      <w:r>
        <w:rPr>
          <w:rFonts w:ascii="Consolas" w:hAnsi="Consolas"/>
          <w:sz w:val="21"/>
        </w:rPr>
        <w:t>Epidemic              = 2.70</w:t>
      </w:r>
    </w:p>
    <w:p>
      <w:r>
        <w:rPr>
          <w:b/>
        </w:rPr>
        <w:t xml:space="preserve">Result. </w:t>
      </w:r>
      <w:r>
        <w:rPr>
          <w:i w:val="0"/>
        </w:rPr>
        <w:t>San Isidro had 7 cases in MW1 of 2026, well above 2.70: epidemic level.</w:t>
      </w:r>
    </w:p>
    <w:p>
      <w:r>
        <w:rPr>
          <w:i w:val="0"/>
        </w:rPr>
        <w:t>All 16 barangays for the same week (the 2026 counts add up to the city total of 43):</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2448"/>
            <w:shd w:val="clear" w:color="auto" w:fill="DBEAFE"/>
          </w:tcPr>
          <w:p>
            <w:r/>
            <w:r>
              <w:rPr>
                <w:b/>
                <w:sz w:val="18"/>
              </w:rPr>
              <w:t>Barangay</w:t>
            </w:r>
          </w:p>
        </w:tc>
        <w:tc>
          <w:tcPr>
            <w:tcW w:type="dxa" w:w="1728"/>
            <w:shd w:val="clear" w:color="auto" w:fill="DBEAFE"/>
          </w:tcPr>
          <w:p>
            <w:r/>
            <w:r>
              <w:rPr>
                <w:b/>
                <w:sz w:val="18"/>
              </w:rPr>
              <w:t>2021-2025</w:t>
            </w:r>
          </w:p>
        </w:tc>
        <w:tc>
          <w:tcPr>
            <w:tcW w:type="dxa" w:w="864"/>
            <w:shd w:val="clear" w:color="auto" w:fill="DBEAFE"/>
          </w:tcPr>
          <w:p>
            <w:r/>
            <w:r>
              <w:rPr>
                <w:b/>
                <w:sz w:val="18"/>
              </w:rPr>
              <w:t>Mean</w:t>
            </w:r>
          </w:p>
        </w:tc>
        <w:tc>
          <w:tcPr>
            <w:tcW w:type="dxa" w:w="1008"/>
            <w:shd w:val="clear" w:color="auto" w:fill="DBEAFE"/>
          </w:tcPr>
          <w:p>
            <w:r/>
            <w:r>
              <w:rPr>
                <w:b/>
                <w:sz w:val="18"/>
              </w:rPr>
              <w:t>Alert</w:t>
            </w:r>
          </w:p>
        </w:tc>
        <w:tc>
          <w:tcPr>
            <w:tcW w:type="dxa" w:w="1152"/>
            <w:shd w:val="clear" w:color="auto" w:fill="DBEAFE"/>
          </w:tcPr>
          <w:p>
            <w:r/>
            <w:r>
              <w:rPr>
                <w:b/>
                <w:sz w:val="18"/>
              </w:rPr>
              <w:t>Epidemic</w:t>
            </w:r>
          </w:p>
        </w:tc>
        <w:tc>
          <w:tcPr>
            <w:tcW w:type="dxa" w:w="792"/>
            <w:shd w:val="clear" w:color="auto" w:fill="DBEAFE"/>
          </w:tcPr>
          <w:p>
            <w:r/>
            <w:r>
              <w:rPr>
                <w:b/>
                <w:sz w:val="18"/>
              </w:rPr>
              <w:t>2026</w:t>
            </w:r>
          </w:p>
        </w:tc>
        <w:tc>
          <w:tcPr>
            <w:tcW w:type="dxa" w:w="1440"/>
            <w:shd w:val="clear" w:color="auto" w:fill="DBEAFE"/>
          </w:tcPr>
          <w:p>
            <w:r/>
            <w:r>
              <w:rPr>
                <w:b/>
                <w:sz w:val="18"/>
              </w:rPr>
              <w:t>Level</w:t>
            </w:r>
          </w:p>
        </w:tc>
      </w:tr>
      <w:tr>
        <w:tc>
          <w:tcPr>
            <w:tcW w:type="dxa" w:w="2448"/>
            <w:shd w:val="clear" w:color="auto" w:fill="FECACA"/>
          </w:tcPr>
          <w:p>
            <w:r/>
            <w:r>
              <w:rPr>
                <w:sz w:val="18"/>
              </w:rPr>
              <w:t>B.F. Homes</w:t>
            </w:r>
          </w:p>
        </w:tc>
        <w:tc>
          <w:tcPr>
            <w:tcW w:type="dxa" w:w="1728"/>
            <w:shd w:val="clear" w:color="auto" w:fill="FECACA"/>
          </w:tcPr>
          <w:p>
            <w:pPr>
              <w:jc w:val="center"/>
            </w:pPr>
            <w:r/>
            <w:r>
              <w:rPr>
                <w:sz w:val="18"/>
              </w:rPr>
              <w:t>5, 0, 1, 1, 2</w:t>
            </w:r>
          </w:p>
        </w:tc>
        <w:tc>
          <w:tcPr>
            <w:tcW w:type="dxa" w:w="864"/>
            <w:shd w:val="clear" w:color="auto" w:fill="FECACA"/>
          </w:tcPr>
          <w:p>
            <w:pPr>
              <w:jc w:val="center"/>
            </w:pPr>
            <w:r/>
            <w:r>
              <w:rPr>
                <w:sz w:val="18"/>
              </w:rPr>
              <w:t>1.8</w:t>
            </w:r>
          </w:p>
        </w:tc>
        <w:tc>
          <w:tcPr>
            <w:tcW w:type="dxa" w:w="1008"/>
            <w:shd w:val="clear" w:color="auto" w:fill="FECACA"/>
          </w:tcPr>
          <w:p>
            <w:pPr>
              <w:jc w:val="center"/>
            </w:pPr>
            <w:r/>
            <w:r>
              <w:rPr>
                <w:sz w:val="18"/>
              </w:rPr>
              <w:t>3.72</w:t>
            </w:r>
          </w:p>
        </w:tc>
        <w:tc>
          <w:tcPr>
            <w:tcW w:type="dxa" w:w="1152"/>
            <w:shd w:val="clear" w:color="auto" w:fill="FECACA"/>
          </w:tcPr>
          <w:p>
            <w:pPr>
              <w:jc w:val="center"/>
            </w:pPr>
            <w:r/>
            <w:r>
              <w:rPr>
                <w:sz w:val="18"/>
              </w:rPr>
              <w:t>5.65</w:t>
            </w:r>
          </w:p>
        </w:tc>
        <w:tc>
          <w:tcPr>
            <w:tcW w:type="dxa" w:w="792"/>
            <w:shd w:val="clear" w:color="auto" w:fill="FECACA"/>
          </w:tcPr>
          <w:p>
            <w:pPr>
              <w:jc w:val="center"/>
            </w:pPr>
            <w:r/>
            <w:r>
              <w:rPr>
                <w:sz w:val="18"/>
              </w:rPr>
              <w:t>7</w:t>
            </w:r>
          </w:p>
        </w:tc>
        <w:tc>
          <w:tcPr>
            <w:tcW w:type="dxa" w:w="1440"/>
            <w:shd w:val="clear" w:color="auto" w:fill="FECACA"/>
          </w:tcPr>
          <w:p>
            <w:pPr>
              <w:jc w:val="center"/>
            </w:pPr>
            <w:r/>
            <w:r>
              <w:rPr>
                <w:sz w:val="18"/>
              </w:rPr>
              <w:t>Epidemic</w:t>
            </w:r>
          </w:p>
        </w:tc>
      </w:tr>
      <w:tr>
        <w:tc>
          <w:tcPr>
            <w:tcW w:type="dxa" w:w="2448"/>
            <w:shd w:val="clear" w:color="auto" w:fill="FEF3C7"/>
          </w:tcPr>
          <w:p>
            <w:r/>
            <w:r>
              <w:rPr>
                <w:sz w:val="18"/>
              </w:rPr>
              <w:t>Baclaran</w:t>
            </w:r>
          </w:p>
        </w:tc>
        <w:tc>
          <w:tcPr>
            <w:tcW w:type="dxa" w:w="1728"/>
            <w:shd w:val="clear" w:color="auto" w:fill="FEF3C7"/>
          </w:tcPr>
          <w:p>
            <w:pPr>
              <w:jc w:val="center"/>
            </w:pPr>
            <w:r/>
            <w:r>
              <w:rPr>
                <w:sz w:val="18"/>
              </w:rPr>
              <w:t>0, 0, 1, 1, 0</w:t>
            </w:r>
          </w:p>
        </w:tc>
        <w:tc>
          <w:tcPr>
            <w:tcW w:type="dxa" w:w="864"/>
            <w:shd w:val="clear" w:color="auto" w:fill="FEF3C7"/>
          </w:tcPr>
          <w:p>
            <w:pPr>
              <w:jc w:val="center"/>
            </w:pPr>
            <w:r/>
            <w:r>
              <w:rPr>
                <w:sz w:val="18"/>
              </w:rPr>
              <w:t>0.4</w:t>
            </w:r>
          </w:p>
        </w:tc>
        <w:tc>
          <w:tcPr>
            <w:tcW w:type="dxa" w:w="1008"/>
            <w:shd w:val="clear" w:color="auto" w:fill="FEF3C7"/>
          </w:tcPr>
          <w:p>
            <w:pPr>
              <w:jc w:val="center"/>
            </w:pPr>
            <w:r/>
            <w:r>
              <w:rPr>
                <w:sz w:val="18"/>
              </w:rPr>
              <w:t>0.95</w:t>
            </w:r>
          </w:p>
        </w:tc>
        <w:tc>
          <w:tcPr>
            <w:tcW w:type="dxa" w:w="1152"/>
            <w:shd w:val="clear" w:color="auto" w:fill="FEF3C7"/>
          </w:tcPr>
          <w:p>
            <w:pPr>
              <w:jc w:val="center"/>
            </w:pPr>
            <w:r/>
            <w:r>
              <w:rPr>
                <w:sz w:val="18"/>
              </w:rPr>
              <w:t>1.50</w:t>
            </w:r>
          </w:p>
        </w:tc>
        <w:tc>
          <w:tcPr>
            <w:tcW w:type="dxa" w:w="792"/>
            <w:shd w:val="clear" w:color="auto" w:fill="FEF3C7"/>
          </w:tcPr>
          <w:p>
            <w:pPr>
              <w:jc w:val="center"/>
            </w:pPr>
            <w:r/>
            <w:r>
              <w:rPr>
                <w:sz w:val="18"/>
              </w:rPr>
              <w:t>1</w:t>
            </w:r>
          </w:p>
        </w:tc>
        <w:tc>
          <w:tcPr>
            <w:tcW w:type="dxa" w:w="1440"/>
            <w:shd w:val="clear" w:color="auto" w:fill="FEF3C7"/>
          </w:tcPr>
          <w:p>
            <w:pPr>
              <w:jc w:val="center"/>
            </w:pPr>
            <w:r/>
            <w:r>
              <w:rPr>
                <w:sz w:val="18"/>
              </w:rPr>
              <w:t>Alert</w:t>
            </w:r>
          </w:p>
        </w:tc>
      </w:tr>
      <w:tr>
        <w:tc>
          <w:tcPr>
            <w:tcW w:type="dxa" w:w="2448"/>
          </w:tcPr>
          <w:p>
            <w:r/>
            <w:r>
              <w:rPr>
                <w:sz w:val="18"/>
              </w:rPr>
              <w:t>Don Bosco</w:t>
            </w:r>
          </w:p>
        </w:tc>
        <w:tc>
          <w:tcPr>
            <w:tcW w:type="dxa" w:w="1728"/>
          </w:tcPr>
          <w:p>
            <w:pPr>
              <w:jc w:val="center"/>
            </w:pPr>
            <w:r/>
            <w:r>
              <w:rPr>
                <w:sz w:val="18"/>
              </w:rPr>
              <w:t>1, 3, 4, 2, 3</w:t>
            </w:r>
          </w:p>
        </w:tc>
        <w:tc>
          <w:tcPr>
            <w:tcW w:type="dxa" w:w="864"/>
          </w:tcPr>
          <w:p>
            <w:pPr>
              <w:jc w:val="center"/>
            </w:pPr>
            <w:r/>
            <w:r>
              <w:rPr>
                <w:sz w:val="18"/>
              </w:rPr>
              <w:t>2.6</w:t>
            </w:r>
          </w:p>
        </w:tc>
        <w:tc>
          <w:tcPr>
            <w:tcW w:type="dxa" w:w="1008"/>
          </w:tcPr>
          <w:p>
            <w:pPr>
              <w:jc w:val="center"/>
            </w:pPr>
            <w:r/>
            <w:r>
              <w:rPr>
                <w:sz w:val="18"/>
              </w:rPr>
              <w:t>3.74</w:t>
            </w:r>
          </w:p>
        </w:tc>
        <w:tc>
          <w:tcPr>
            <w:tcW w:type="dxa" w:w="1152"/>
          </w:tcPr>
          <w:p>
            <w:pPr>
              <w:jc w:val="center"/>
            </w:pPr>
            <w:r/>
            <w:r>
              <w:rPr>
                <w:sz w:val="18"/>
              </w:rPr>
              <w:t>4.88</w:t>
            </w:r>
          </w:p>
        </w:tc>
        <w:tc>
          <w:tcPr>
            <w:tcW w:type="dxa" w:w="792"/>
          </w:tcPr>
          <w:p>
            <w:pPr>
              <w:jc w:val="center"/>
            </w:pPr>
            <w:r/>
            <w:r>
              <w:rPr>
                <w:sz w:val="18"/>
              </w:rPr>
              <w:t>1</w:t>
            </w:r>
          </w:p>
        </w:tc>
        <w:tc>
          <w:tcPr>
            <w:tcW w:type="dxa" w:w="1440"/>
          </w:tcPr>
          <w:p>
            <w:pPr>
              <w:jc w:val="center"/>
            </w:pPr>
            <w:r/>
            <w:r>
              <w:rPr>
                <w:sz w:val="18"/>
              </w:rPr>
              <w:t>Below alert</w:t>
            </w:r>
          </w:p>
        </w:tc>
      </w:tr>
      <w:tr>
        <w:tc>
          <w:tcPr>
            <w:tcW w:type="dxa" w:w="2448"/>
            <w:shd w:val="clear" w:color="auto" w:fill="FECACA"/>
          </w:tcPr>
          <w:p>
            <w:r/>
            <w:r>
              <w:rPr>
                <w:sz w:val="18"/>
              </w:rPr>
              <w:t>Don Galo</w:t>
            </w:r>
          </w:p>
        </w:tc>
        <w:tc>
          <w:tcPr>
            <w:tcW w:type="dxa" w:w="1728"/>
            <w:shd w:val="clear" w:color="auto" w:fill="FECACA"/>
          </w:tcPr>
          <w:p>
            <w:pPr>
              <w:jc w:val="center"/>
            </w:pPr>
            <w:r/>
            <w:r>
              <w:rPr>
                <w:sz w:val="18"/>
              </w:rPr>
              <w:t>1, 0, 0, 0, 0</w:t>
            </w:r>
          </w:p>
        </w:tc>
        <w:tc>
          <w:tcPr>
            <w:tcW w:type="dxa" w:w="864"/>
            <w:shd w:val="clear" w:color="auto" w:fill="FECACA"/>
          </w:tcPr>
          <w:p>
            <w:pPr>
              <w:jc w:val="center"/>
            </w:pPr>
            <w:r/>
            <w:r>
              <w:rPr>
                <w:sz w:val="18"/>
              </w:rPr>
              <w:t>0.2</w:t>
            </w:r>
          </w:p>
        </w:tc>
        <w:tc>
          <w:tcPr>
            <w:tcW w:type="dxa" w:w="1008"/>
            <w:shd w:val="clear" w:color="auto" w:fill="FECACA"/>
          </w:tcPr>
          <w:p>
            <w:pPr>
              <w:jc w:val="center"/>
            </w:pPr>
            <w:r/>
            <w:r>
              <w:rPr>
                <w:sz w:val="18"/>
              </w:rPr>
              <w:t>0.65</w:t>
            </w:r>
          </w:p>
        </w:tc>
        <w:tc>
          <w:tcPr>
            <w:tcW w:type="dxa" w:w="1152"/>
            <w:shd w:val="clear" w:color="auto" w:fill="FECACA"/>
          </w:tcPr>
          <w:p>
            <w:pPr>
              <w:jc w:val="center"/>
            </w:pPr>
            <w:r/>
            <w:r>
              <w:rPr>
                <w:sz w:val="18"/>
              </w:rPr>
              <w:t>1.09</w:t>
            </w:r>
          </w:p>
        </w:tc>
        <w:tc>
          <w:tcPr>
            <w:tcW w:type="dxa" w:w="792"/>
            <w:shd w:val="clear" w:color="auto" w:fill="FECACA"/>
          </w:tcPr>
          <w:p>
            <w:pPr>
              <w:jc w:val="center"/>
            </w:pPr>
            <w:r/>
            <w:r>
              <w:rPr>
                <w:sz w:val="18"/>
              </w:rPr>
              <w:t>3</w:t>
            </w:r>
          </w:p>
        </w:tc>
        <w:tc>
          <w:tcPr>
            <w:tcW w:type="dxa" w:w="1440"/>
            <w:shd w:val="clear" w:color="auto" w:fill="FECACA"/>
          </w:tcPr>
          <w:p>
            <w:pPr>
              <w:jc w:val="center"/>
            </w:pPr>
            <w:r/>
            <w:r>
              <w:rPr>
                <w:sz w:val="18"/>
              </w:rPr>
              <w:t>Epidemic</w:t>
            </w:r>
          </w:p>
        </w:tc>
      </w:tr>
      <w:tr>
        <w:tc>
          <w:tcPr>
            <w:tcW w:type="dxa" w:w="2448"/>
          </w:tcPr>
          <w:p>
            <w:r/>
            <w:r>
              <w:rPr>
                <w:sz w:val="18"/>
              </w:rPr>
              <w:t>La Huerta</w:t>
            </w:r>
          </w:p>
        </w:tc>
        <w:tc>
          <w:tcPr>
            <w:tcW w:type="dxa" w:w="1728"/>
          </w:tcPr>
          <w:p>
            <w:pPr>
              <w:jc w:val="center"/>
            </w:pPr>
            <w:r/>
            <w:r>
              <w:rPr>
                <w:sz w:val="18"/>
              </w:rPr>
              <w:t>0, 0, 2, 0, 0</w:t>
            </w:r>
          </w:p>
        </w:tc>
        <w:tc>
          <w:tcPr>
            <w:tcW w:type="dxa" w:w="864"/>
          </w:tcPr>
          <w:p>
            <w:pPr>
              <w:jc w:val="center"/>
            </w:pPr>
            <w:r/>
            <w:r>
              <w:rPr>
                <w:sz w:val="18"/>
              </w:rPr>
              <w:t>0.4</w:t>
            </w:r>
          </w:p>
        </w:tc>
        <w:tc>
          <w:tcPr>
            <w:tcW w:type="dxa" w:w="1008"/>
          </w:tcPr>
          <w:p>
            <w:pPr>
              <w:jc w:val="center"/>
            </w:pPr>
            <w:r/>
            <w:r>
              <w:rPr>
                <w:sz w:val="18"/>
              </w:rPr>
              <w:t>1.29</w:t>
            </w:r>
          </w:p>
        </w:tc>
        <w:tc>
          <w:tcPr>
            <w:tcW w:type="dxa" w:w="1152"/>
          </w:tcPr>
          <w:p>
            <w:pPr>
              <w:jc w:val="center"/>
            </w:pPr>
            <w:r/>
            <w:r>
              <w:rPr>
                <w:sz w:val="18"/>
              </w:rPr>
              <w:t>2.19</w:t>
            </w:r>
          </w:p>
        </w:tc>
        <w:tc>
          <w:tcPr>
            <w:tcW w:type="dxa" w:w="792"/>
          </w:tcPr>
          <w:p>
            <w:pPr>
              <w:jc w:val="center"/>
            </w:pPr>
            <w:r/>
            <w:r>
              <w:rPr>
                <w:sz w:val="18"/>
              </w:rPr>
              <w:t>0</w:t>
            </w:r>
          </w:p>
        </w:tc>
        <w:tc>
          <w:tcPr>
            <w:tcW w:type="dxa" w:w="1440"/>
          </w:tcPr>
          <w:p>
            <w:pPr>
              <w:jc w:val="center"/>
            </w:pPr>
            <w:r/>
            <w:r>
              <w:rPr>
                <w:sz w:val="18"/>
              </w:rPr>
              <w:t>Below alert</w:t>
            </w:r>
          </w:p>
        </w:tc>
      </w:tr>
      <w:tr>
        <w:tc>
          <w:tcPr>
            <w:tcW w:type="dxa" w:w="2448"/>
            <w:shd w:val="clear" w:color="auto" w:fill="FECACA"/>
          </w:tcPr>
          <w:p>
            <w:r/>
            <w:r>
              <w:rPr>
                <w:sz w:val="18"/>
              </w:rPr>
              <w:t>Marcelo Green Village</w:t>
            </w:r>
          </w:p>
        </w:tc>
        <w:tc>
          <w:tcPr>
            <w:tcW w:type="dxa" w:w="1728"/>
            <w:shd w:val="clear" w:color="auto" w:fill="FECACA"/>
          </w:tcPr>
          <w:p>
            <w:pPr>
              <w:jc w:val="center"/>
            </w:pPr>
            <w:r/>
            <w:r>
              <w:rPr>
                <w:sz w:val="18"/>
              </w:rPr>
              <w:t>1, 0, 0, 0, 1</w:t>
            </w:r>
          </w:p>
        </w:tc>
        <w:tc>
          <w:tcPr>
            <w:tcW w:type="dxa" w:w="864"/>
            <w:shd w:val="clear" w:color="auto" w:fill="FECACA"/>
          </w:tcPr>
          <w:p>
            <w:pPr>
              <w:jc w:val="center"/>
            </w:pPr>
            <w:r/>
            <w:r>
              <w:rPr>
                <w:sz w:val="18"/>
              </w:rPr>
              <w:t>0.4</w:t>
            </w:r>
          </w:p>
        </w:tc>
        <w:tc>
          <w:tcPr>
            <w:tcW w:type="dxa" w:w="1008"/>
            <w:shd w:val="clear" w:color="auto" w:fill="FECACA"/>
          </w:tcPr>
          <w:p>
            <w:pPr>
              <w:jc w:val="center"/>
            </w:pPr>
            <w:r/>
            <w:r>
              <w:rPr>
                <w:sz w:val="18"/>
              </w:rPr>
              <w:t>0.95</w:t>
            </w:r>
          </w:p>
        </w:tc>
        <w:tc>
          <w:tcPr>
            <w:tcW w:type="dxa" w:w="1152"/>
            <w:shd w:val="clear" w:color="auto" w:fill="FECACA"/>
          </w:tcPr>
          <w:p>
            <w:pPr>
              <w:jc w:val="center"/>
            </w:pPr>
            <w:r/>
            <w:r>
              <w:rPr>
                <w:sz w:val="18"/>
              </w:rPr>
              <w:t>1.50</w:t>
            </w:r>
          </w:p>
        </w:tc>
        <w:tc>
          <w:tcPr>
            <w:tcW w:type="dxa" w:w="792"/>
            <w:shd w:val="clear" w:color="auto" w:fill="FECACA"/>
          </w:tcPr>
          <w:p>
            <w:pPr>
              <w:jc w:val="center"/>
            </w:pPr>
            <w:r/>
            <w:r>
              <w:rPr>
                <w:sz w:val="18"/>
              </w:rPr>
              <w:t>2</w:t>
            </w:r>
          </w:p>
        </w:tc>
        <w:tc>
          <w:tcPr>
            <w:tcW w:type="dxa" w:w="1440"/>
            <w:shd w:val="clear" w:color="auto" w:fill="FECACA"/>
          </w:tcPr>
          <w:p>
            <w:pPr>
              <w:jc w:val="center"/>
            </w:pPr>
            <w:r/>
            <w:r>
              <w:rPr>
                <w:sz w:val="18"/>
              </w:rPr>
              <w:t>Epidemic</w:t>
            </w:r>
          </w:p>
        </w:tc>
      </w:tr>
      <w:tr>
        <w:tc>
          <w:tcPr>
            <w:tcW w:type="dxa" w:w="2448"/>
          </w:tcPr>
          <w:p>
            <w:r/>
            <w:r>
              <w:rPr>
                <w:sz w:val="18"/>
              </w:rPr>
              <w:t>Merville</w:t>
            </w:r>
          </w:p>
        </w:tc>
        <w:tc>
          <w:tcPr>
            <w:tcW w:type="dxa" w:w="1728"/>
          </w:tcPr>
          <w:p>
            <w:pPr>
              <w:jc w:val="center"/>
            </w:pPr>
            <w:r/>
            <w:r>
              <w:rPr>
                <w:sz w:val="18"/>
              </w:rPr>
              <w:t>1, 1, 0, 0, 1</w:t>
            </w:r>
          </w:p>
        </w:tc>
        <w:tc>
          <w:tcPr>
            <w:tcW w:type="dxa" w:w="864"/>
          </w:tcPr>
          <w:p>
            <w:pPr>
              <w:jc w:val="center"/>
            </w:pPr>
            <w:r/>
            <w:r>
              <w:rPr>
                <w:sz w:val="18"/>
              </w:rPr>
              <w:t>0.6</w:t>
            </w:r>
          </w:p>
        </w:tc>
        <w:tc>
          <w:tcPr>
            <w:tcW w:type="dxa" w:w="1008"/>
          </w:tcPr>
          <w:p>
            <w:pPr>
              <w:jc w:val="center"/>
            </w:pPr>
            <w:r/>
            <w:r>
              <w:rPr>
                <w:sz w:val="18"/>
              </w:rPr>
              <w:t>1.15</w:t>
            </w:r>
          </w:p>
        </w:tc>
        <w:tc>
          <w:tcPr>
            <w:tcW w:type="dxa" w:w="1152"/>
          </w:tcPr>
          <w:p>
            <w:pPr>
              <w:jc w:val="center"/>
            </w:pPr>
            <w:r/>
            <w:r>
              <w:rPr>
                <w:sz w:val="18"/>
              </w:rPr>
              <w:t>1.70</w:t>
            </w:r>
          </w:p>
        </w:tc>
        <w:tc>
          <w:tcPr>
            <w:tcW w:type="dxa" w:w="792"/>
          </w:tcPr>
          <w:p>
            <w:pPr>
              <w:jc w:val="center"/>
            </w:pPr>
            <w:r/>
            <w:r>
              <w:rPr>
                <w:sz w:val="18"/>
              </w:rPr>
              <w:t>1</w:t>
            </w:r>
          </w:p>
        </w:tc>
        <w:tc>
          <w:tcPr>
            <w:tcW w:type="dxa" w:w="1440"/>
          </w:tcPr>
          <w:p>
            <w:pPr>
              <w:jc w:val="center"/>
            </w:pPr>
            <w:r/>
            <w:r>
              <w:rPr>
                <w:sz w:val="18"/>
              </w:rPr>
              <w:t>Below alert</w:t>
            </w:r>
          </w:p>
        </w:tc>
      </w:tr>
      <w:tr>
        <w:tc>
          <w:tcPr>
            <w:tcW w:type="dxa" w:w="2448"/>
          </w:tcPr>
          <w:p>
            <w:r/>
            <w:r>
              <w:rPr>
                <w:sz w:val="18"/>
              </w:rPr>
              <w:t>Moonwalk</w:t>
            </w:r>
          </w:p>
        </w:tc>
        <w:tc>
          <w:tcPr>
            <w:tcW w:type="dxa" w:w="1728"/>
          </w:tcPr>
          <w:p>
            <w:pPr>
              <w:jc w:val="center"/>
            </w:pPr>
            <w:r/>
            <w:r>
              <w:rPr>
                <w:sz w:val="18"/>
              </w:rPr>
              <w:t>3, 0, 5, 0, 1</w:t>
            </w:r>
          </w:p>
        </w:tc>
        <w:tc>
          <w:tcPr>
            <w:tcW w:type="dxa" w:w="864"/>
          </w:tcPr>
          <w:p>
            <w:pPr>
              <w:jc w:val="center"/>
            </w:pPr>
            <w:r/>
            <w:r>
              <w:rPr>
                <w:sz w:val="18"/>
              </w:rPr>
              <w:t>1.8</w:t>
            </w:r>
          </w:p>
        </w:tc>
        <w:tc>
          <w:tcPr>
            <w:tcW w:type="dxa" w:w="1008"/>
          </w:tcPr>
          <w:p>
            <w:pPr>
              <w:jc w:val="center"/>
            </w:pPr>
            <w:r/>
            <w:r>
              <w:rPr>
                <w:sz w:val="18"/>
              </w:rPr>
              <w:t>3.97</w:t>
            </w:r>
          </w:p>
        </w:tc>
        <w:tc>
          <w:tcPr>
            <w:tcW w:type="dxa" w:w="1152"/>
          </w:tcPr>
          <w:p>
            <w:pPr>
              <w:jc w:val="center"/>
            </w:pPr>
            <w:r/>
            <w:r>
              <w:rPr>
                <w:sz w:val="18"/>
              </w:rPr>
              <w:t>6.14</w:t>
            </w:r>
          </w:p>
        </w:tc>
        <w:tc>
          <w:tcPr>
            <w:tcW w:type="dxa" w:w="792"/>
          </w:tcPr>
          <w:p>
            <w:pPr>
              <w:jc w:val="center"/>
            </w:pPr>
            <w:r/>
            <w:r>
              <w:rPr>
                <w:sz w:val="18"/>
              </w:rPr>
              <w:t>2</w:t>
            </w:r>
          </w:p>
        </w:tc>
        <w:tc>
          <w:tcPr>
            <w:tcW w:type="dxa" w:w="1440"/>
          </w:tcPr>
          <w:p>
            <w:pPr>
              <w:jc w:val="center"/>
            </w:pPr>
            <w:r/>
            <w:r>
              <w:rPr>
                <w:sz w:val="18"/>
              </w:rPr>
              <w:t>Below alert</w:t>
            </w:r>
          </w:p>
        </w:tc>
      </w:tr>
      <w:tr>
        <w:tc>
          <w:tcPr>
            <w:tcW w:type="dxa" w:w="2448"/>
            <w:shd w:val="clear" w:color="auto" w:fill="FECACA"/>
          </w:tcPr>
          <w:p>
            <w:r/>
            <w:r>
              <w:rPr>
                <w:sz w:val="18"/>
              </w:rPr>
              <w:t>San Antonio</w:t>
            </w:r>
          </w:p>
        </w:tc>
        <w:tc>
          <w:tcPr>
            <w:tcW w:type="dxa" w:w="1728"/>
            <w:shd w:val="clear" w:color="auto" w:fill="FECACA"/>
          </w:tcPr>
          <w:p>
            <w:pPr>
              <w:jc w:val="center"/>
            </w:pPr>
            <w:r/>
            <w:r>
              <w:rPr>
                <w:sz w:val="18"/>
              </w:rPr>
              <w:t>3, 0, 3, 2, 2</w:t>
            </w:r>
          </w:p>
        </w:tc>
        <w:tc>
          <w:tcPr>
            <w:tcW w:type="dxa" w:w="864"/>
            <w:shd w:val="clear" w:color="auto" w:fill="FECACA"/>
          </w:tcPr>
          <w:p>
            <w:pPr>
              <w:jc w:val="center"/>
            </w:pPr>
            <w:r/>
            <w:r>
              <w:rPr>
                <w:sz w:val="18"/>
              </w:rPr>
              <w:t>2.0</w:t>
            </w:r>
          </w:p>
        </w:tc>
        <w:tc>
          <w:tcPr>
            <w:tcW w:type="dxa" w:w="1008"/>
            <w:shd w:val="clear" w:color="auto" w:fill="FECACA"/>
          </w:tcPr>
          <w:p>
            <w:pPr>
              <w:jc w:val="center"/>
            </w:pPr>
            <w:r/>
            <w:r>
              <w:rPr>
                <w:sz w:val="18"/>
              </w:rPr>
              <w:t>3.22</w:t>
            </w:r>
          </w:p>
        </w:tc>
        <w:tc>
          <w:tcPr>
            <w:tcW w:type="dxa" w:w="1152"/>
            <w:shd w:val="clear" w:color="auto" w:fill="FECACA"/>
          </w:tcPr>
          <w:p>
            <w:pPr>
              <w:jc w:val="center"/>
            </w:pPr>
            <w:r/>
            <w:r>
              <w:rPr>
                <w:sz w:val="18"/>
              </w:rPr>
              <w:t>4.45</w:t>
            </w:r>
          </w:p>
        </w:tc>
        <w:tc>
          <w:tcPr>
            <w:tcW w:type="dxa" w:w="792"/>
            <w:shd w:val="clear" w:color="auto" w:fill="FECACA"/>
          </w:tcPr>
          <w:p>
            <w:pPr>
              <w:jc w:val="center"/>
            </w:pPr>
            <w:r/>
            <w:r>
              <w:rPr>
                <w:sz w:val="18"/>
              </w:rPr>
              <w:t>5</w:t>
            </w:r>
          </w:p>
        </w:tc>
        <w:tc>
          <w:tcPr>
            <w:tcW w:type="dxa" w:w="1440"/>
            <w:shd w:val="clear" w:color="auto" w:fill="FECACA"/>
          </w:tcPr>
          <w:p>
            <w:pPr>
              <w:jc w:val="center"/>
            </w:pPr>
            <w:r/>
            <w:r>
              <w:rPr>
                <w:sz w:val="18"/>
              </w:rPr>
              <w:t>Epidemic</w:t>
            </w:r>
          </w:p>
        </w:tc>
      </w:tr>
      <w:tr>
        <w:tc>
          <w:tcPr>
            <w:tcW w:type="dxa" w:w="2448"/>
            <w:shd w:val="clear" w:color="auto" w:fill="FEF3C7"/>
          </w:tcPr>
          <w:p>
            <w:r/>
            <w:r>
              <w:rPr>
                <w:sz w:val="18"/>
              </w:rPr>
              <w:t>San Dionisio</w:t>
            </w:r>
          </w:p>
        </w:tc>
        <w:tc>
          <w:tcPr>
            <w:tcW w:type="dxa" w:w="1728"/>
            <w:shd w:val="clear" w:color="auto" w:fill="FEF3C7"/>
          </w:tcPr>
          <w:p>
            <w:pPr>
              <w:jc w:val="center"/>
            </w:pPr>
            <w:r/>
            <w:r>
              <w:rPr>
                <w:sz w:val="18"/>
              </w:rPr>
              <w:t>2, 0, 3, 2, 6</w:t>
            </w:r>
          </w:p>
        </w:tc>
        <w:tc>
          <w:tcPr>
            <w:tcW w:type="dxa" w:w="864"/>
            <w:shd w:val="clear" w:color="auto" w:fill="FEF3C7"/>
          </w:tcPr>
          <w:p>
            <w:pPr>
              <w:jc w:val="center"/>
            </w:pPr>
            <w:r/>
            <w:r>
              <w:rPr>
                <w:sz w:val="18"/>
              </w:rPr>
              <w:t>2.6</w:t>
            </w:r>
          </w:p>
        </w:tc>
        <w:tc>
          <w:tcPr>
            <w:tcW w:type="dxa" w:w="1008"/>
            <w:shd w:val="clear" w:color="auto" w:fill="FEF3C7"/>
          </w:tcPr>
          <w:p>
            <w:pPr>
              <w:jc w:val="center"/>
            </w:pPr>
            <w:r/>
            <w:r>
              <w:rPr>
                <w:sz w:val="18"/>
              </w:rPr>
              <w:t>4.79</w:t>
            </w:r>
          </w:p>
        </w:tc>
        <w:tc>
          <w:tcPr>
            <w:tcW w:type="dxa" w:w="1152"/>
            <w:shd w:val="clear" w:color="auto" w:fill="FEF3C7"/>
          </w:tcPr>
          <w:p>
            <w:pPr>
              <w:jc w:val="center"/>
            </w:pPr>
            <w:r/>
            <w:r>
              <w:rPr>
                <w:sz w:val="18"/>
              </w:rPr>
              <w:t>6.98</w:t>
            </w:r>
          </w:p>
        </w:tc>
        <w:tc>
          <w:tcPr>
            <w:tcW w:type="dxa" w:w="792"/>
            <w:shd w:val="clear" w:color="auto" w:fill="FEF3C7"/>
          </w:tcPr>
          <w:p>
            <w:pPr>
              <w:jc w:val="center"/>
            </w:pPr>
            <w:r/>
            <w:r>
              <w:rPr>
                <w:sz w:val="18"/>
              </w:rPr>
              <w:t>5</w:t>
            </w:r>
          </w:p>
        </w:tc>
        <w:tc>
          <w:tcPr>
            <w:tcW w:type="dxa" w:w="1440"/>
            <w:shd w:val="clear" w:color="auto" w:fill="FEF3C7"/>
          </w:tcPr>
          <w:p>
            <w:pPr>
              <w:jc w:val="center"/>
            </w:pPr>
            <w:r/>
            <w:r>
              <w:rPr>
                <w:sz w:val="18"/>
              </w:rPr>
              <w:t>Alert</w:t>
            </w:r>
          </w:p>
        </w:tc>
      </w:tr>
      <w:tr>
        <w:tc>
          <w:tcPr>
            <w:tcW w:type="dxa" w:w="2448"/>
            <w:shd w:val="clear" w:color="auto" w:fill="FECACA"/>
          </w:tcPr>
          <w:p>
            <w:r/>
            <w:r>
              <w:rPr>
                <w:sz w:val="18"/>
              </w:rPr>
              <w:t>San Isidro</w:t>
            </w:r>
          </w:p>
        </w:tc>
        <w:tc>
          <w:tcPr>
            <w:tcW w:type="dxa" w:w="1728"/>
            <w:shd w:val="clear" w:color="auto" w:fill="FECACA"/>
          </w:tcPr>
          <w:p>
            <w:pPr>
              <w:jc w:val="center"/>
            </w:pPr>
            <w:r/>
            <w:r>
              <w:rPr>
                <w:sz w:val="18"/>
              </w:rPr>
              <w:t>2, 1, 1, 2, 2</w:t>
            </w:r>
          </w:p>
        </w:tc>
        <w:tc>
          <w:tcPr>
            <w:tcW w:type="dxa" w:w="864"/>
            <w:shd w:val="clear" w:color="auto" w:fill="FECACA"/>
          </w:tcPr>
          <w:p>
            <w:pPr>
              <w:jc w:val="center"/>
            </w:pPr>
            <w:r/>
            <w:r>
              <w:rPr>
                <w:sz w:val="18"/>
              </w:rPr>
              <w:t>1.6</w:t>
            </w:r>
          </w:p>
        </w:tc>
        <w:tc>
          <w:tcPr>
            <w:tcW w:type="dxa" w:w="1008"/>
            <w:shd w:val="clear" w:color="auto" w:fill="FECACA"/>
          </w:tcPr>
          <w:p>
            <w:pPr>
              <w:jc w:val="center"/>
            </w:pPr>
            <w:r/>
            <w:r>
              <w:rPr>
                <w:sz w:val="18"/>
              </w:rPr>
              <w:t>2.15</w:t>
            </w:r>
          </w:p>
        </w:tc>
        <w:tc>
          <w:tcPr>
            <w:tcW w:type="dxa" w:w="1152"/>
            <w:shd w:val="clear" w:color="auto" w:fill="FECACA"/>
          </w:tcPr>
          <w:p>
            <w:pPr>
              <w:jc w:val="center"/>
            </w:pPr>
            <w:r/>
            <w:r>
              <w:rPr>
                <w:sz w:val="18"/>
              </w:rPr>
              <w:t>2.70</w:t>
            </w:r>
          </w:p>
        </w:tc>
        <w:tc>
          <w:tcPr>
            <w:tcW w:type="dxa" w:w="792"/>
            <w:shd w:val="clear" w:color="auto" w:fill="FECACA"/>
          </w:tcPr>
          <w:p>
            <w:pPr>
              <w:jc w:val="center"/>
            </w:pPr>
            <w:r/>
            <w:r>
              <w:rPr>
                <w:sz w:val="18"/>
              </w:rPr>
              <w:t>7</w:t>
            </w:r>
          </w:p>
        </w:tc>
        <w:tc>
          <w:tcPr>
            <w:tcW w:type="dxa" w:w="1440"/>
            <w:shd w:val="clear" w:color="auto" w:fill="FECACA"/>
          </w:tcPr>
          <w:p>
            <w:pPr>
              <w:jc w:val="center"/>
            </w:pPr>
            <w:r/>
            <w:r>
              <w:rPr>
                <w:sz w:val="18"/>
              </w:rPr>
              <w:t>Epidemic</w:t>
            </w:r>
          </w:p>
        </w:tc>
      </w:tr>
      <w:tr>
        <w:tc>
          <w:tcPr>
            <w:tcW w:type="dxa" w:w="2448"/>
          </w:tcPr>
          <w:p>
            <w:r/>
            <w:r>
              <w:rPr>
                <w:sz w:val="18"/>
              </w:rPr>
              <w:t>San Martin de Porres</w:t>
            </w:r>
          </w:p>
        </w:tc>
        <w:tc>
          <w:tcPr>
            <w:tcW w:type="dxa" w:w="1728"/>
          </w:tcPr>
          <w:p>
            <w:pPr>
              <w:jc w:val="center"/>
            </w:pPr>
            <w:r/>
            <w:r>
              <w:rPr>
                <w:sz w:val="18"/>
              </w:rPr>
              <w:t>0, 0, 0, 1, 0</w:t>
            </w:r>
          </w:p>
        </w:tc>
        <w:tc>
          <w:tcPr>
            <w:tcW w:type="dxa" w:w="864"/>
          </w:tcPr>
          <w:p>
            <w:pPr>
              <w:jc w:val="center"/>
            </w:pPr>
            <w:r/>
            <w:r>
              <w:rPr>
                <w:sz w:val="18"/>
              </w:rPr>
              <w:t>0.2</w:t>
            </w:r>
          </w:p>
        </w:tc>
        <w:tc>
          <w:tcPr>
            <w:tcW w:type="dxa" w:w="1008"/>
          </w:tcPr>
          <w:p>
            <w:pPr>
              <w:jc w:val="center"/>
            </w:pPr>
            <w:r/>
            <w:r>
              <w:rPr>
                <w:sz w:val="18"/>
              </w:rPr>
              <w:t>0.65</w:t>
            </w:r>
          </w:p>
        </w:tc>
        <w:tc>
          <w:tcPr>
            <w:tcW w:type="dxa" w:w="1152"/>
          </w:tcPr>
          <w:p>
            <w:pPr>
              <w:jc w:val="center"/>
            </w:pPr>
            <w:r/>
            <w:r>
              <w:rPr>
                <w:sz w:val="18"/>
              </w:rPr>
              <w:t>1.09</w:t>
            </w:r>
          </w:p>
        </w:tc>
        <w:tc>
          <w:tcPr>
            <w:tcW w:type="dxa" w:w="792"/>
          </w:tcPr>
          <w:p>
            <w:pPr>
              <w:jc w:val="center"/>
            </w:pPr>
            <w:r/>
            <w:r>
              <w:rPr>
                <w:sz w:val="18"/>
              </w:rPr>
              <w:t>0</w:t>
            </w:r>
          </w:p>
        </w:tc>
        <w:tc>
          <w:tcPr>
            <w:tcW w:type="dxa" w:w="1440"/>
          </w:tcPr>
          <w:p>
            <w:pPr>
              <w:jc w:val="center"/>
            </w:pPr>
            <w:r/>
            <w:r>
              <w:rPr>
                <w:sz w:val="18"/>
              </w:rPr>
              <w:t>Below alert</w:t>
            </w:r>
          </w:p>
        </w:tc>
      </w:tr>
      <w:tr>
        <w:tc>
          <w:tcPr>
            <w:tcW w:type="dxa" w:w="2448"/>
            <w:shd w:val="clear" w:color="auto" w:fill="FEF3C7"/>
          </w:tcPr>
          <w:p>
            <w:r/>
            <w:r>
              <w:rPr>
                <w:sz w:val="18"/>
              </w:rPr>
              <w:t>Santo Niño</w:t>
            </w:r>
          </w:p>
        </w:tc>
        <w:tc>
          <w:tcPr>
            <w:tcW w:type="dxa" w:w="1728"/>
            <w:shd w:val="clear" w:color="auto" w:fill="FEF3C7"/>
          </w:tcPr>
          <w:p>
            <w:pPr>
              <w:jc w:val="center"/>
            </w:pPr>
            <w:r/>
            <w:r>
              <w:rPr>
                <w:sz w:val="18"/>
              </w:rPr>
              <w:t>1, 0, 2, 1, 0</w:t>
            </w:r>
          </w:p>
        </w:tc>
        <w:tc>
          <w:tcPr>
            <w:tcW w:type="dxa" w:w="864"/>
            <w:shd w:val="clear" w:color="auto" w:fill="FEF3C7"/>
          </w:tcPr>
          <w:p>
            <w:pPr>
              <w:jc w:val="center"/>
            </w:pPr>
            <w:r/>
            <w:r>
              <w:rPr>
                <w:sz w:val="18"/>
              </w:rPr>
              <w:t>0.8</w:t>
            </w:r>
          </w:p>
        </w:tc>
        <w:tc>
          <w:tcPr>
            <w:tcW w:type="dxa" w:w="1008"/>
            <w:shd w:val="clear" w:color="auto" w:fill="FEF3C7"/>
          </w:tcPr>
          <w:p>
            <w:pPr>
              <w:jc w:val="center"/>
            </w:pPr>
            <w:r/>
            <w:r>
              <w:rPr>
                <w:sz w:val="18"/>
              </w:rPr>
              <w:t>1.64</w:t>
            </w:r>
          </w:p>
        </w:tc>
        <w:tc>
          <w:tcPr>
            <w:tcW w:type="dxa" w:w="1152"/>
            <w:shd w:val="clear" w:color="auto" w:fill="FEF3C7"/>
          </w:tcPr>
          <w:p>
            <w:pPr>
              <w:jc w:val="center"/>
            </w:pPr>
            <w:r/>
            <w:r>
              <w:rPr>
                <w:sz w:val="18"/>
              </w:rPr>
              <w:t>2.47</w:t>
            </w:r>
          </w:p>
        </w:tc>
        <w:tc>
          <w:tcPr>
            <w:tcW w:type="dxa" w:w="792"/>
            <w:shd w:val="clear" w:color="auto" w:fill="FEF3C7"/>
          </w:tcPr>
          <w:p>
            <w:pPr>
              <w:jc w:val="center"/>
            </w:pPr>
            <w:r/>
            <w:r>
              <w:rPr>
                <w:sz w:val="18"/>
              </w:rPr>
              <w:t>2</w:t>
            </w:r>
          </w:p>
        </w:tc>
        <w:tc>
          <w:tcPr>
            <w:tcW w:type="dxa" w:w="1440"/>
            <w:shd w:val="clear" w:color="auto" w:fill="FEF3C7"/>
          </w:tcPr>
          <w:p>
            <w:pPr>
              <w:jc w:val="center"/>
            </w:pPr>
            <w:r/>
            <w:r>
              <w:rPr>
                <w:sz w:val="18"/>
              </w:rPr>
              <w:t>Alert</w:t>
            </w:r>
          </w:p>
        </w:tc>
      </w:tr>
      <w:tr>
        <w:tc>
          <w:tcPr>
            <w:tcW w:type="dxa" w:w="2448"/>
            <w:shd w:val="clear" w:color="auto" w:fill="FECACA"/>
          </w:tcPr>
          <w:p>
            <w:r/>
            <w:r>
              <w:rPr>
                <w:sz w:val="18"/>
              </w:rPr>
              <w:t>Sun Valley</w:t>
            </w:r>
          </w:p>
        </w:tc>
        <w:tc>
          <w:tcPr>
            <w:tcW w:type="dxa" w:w="1728"/>
            <w:shd w:val="clear" w:color="auto" w:fill="FECACA"/>
          </w:tcPr>
          <w:p>
            <w:pPr>
              <w:jc w:val="center"/>
            </w:pPr>
            <w:r/>
            <w:r>
              <w:rPr>
                <w:sz w:val="18"/>
              </w:rPr>
              <w:t>3, 1, 2, 0, 0</w:t>
            </w:r>
          </w:p>
        </w:tc>
        <w:tc>
          <w:tcPr>
            <w:tcW w:type="dxa" w:w="864"/>
            <w:shd w:val="clear" w:color="auto" w:fill="FECACA"/>
          </w:tcPr>
          <w:p>
            <w:pPr>
              <w:jc w:val="center"/>
            </w:pPr>
            <w:r/>
            <w:r>
              <w:rPr>
                <w:sz w:val="18"/>
              </w:rPr>
              <w:t>1.2</w:t>
            </w:r>
          </w:p>
        </w:tc>
        <w:tc>
          <w:tcPr>
            <w:tcW w:type="dxa" w:w="1008"/>
            <w:shd w:val="clear" w:color="auto" w:fill="FECACA"/>
          </w:tcPr>
          <w:p>
            <w:pPr>
              <w:jc w:val="center"/>
            </w:pPr>
            <w:r/>
            <w:r>
              <w:rPr>
                <w:sz w:val="18"/>
              </w:rPr>
              <w:t>2.50</w:t>
            </w:r>
          </w:p>
        </w:tc>
        <w:tc>
          <w:tcPr>
            <w:tcW w:type="dxa" w:w="1152"/>
            <w:shd w:val="clear" w:color="auto" w:fill="FECACA"/>
          </w:tcPr>
          <w:p>
            <w:pPr>
              <w:jc w:val="center"/>
            </w:pPr>
            <w:r/>
            <w:r>
              <w:rPr>
                <w:sz w:val="18"/>
              </w:rPr>
              <w:t>3.81</w:t>
            </w:r>
          </w:p>
        </w:tc>
        <w:tc>
          <w:tcPr>
            <w:tcW w:type="dxa" w:w="792"/>
            <w:shd w:val="clear" w:color="auto" w:fill="FECACA"/>
          </w:tcPr>
          <w:p>
            <w:pPr>
              <w:jc w:val="center"/>
            </w:pPr>
            <w:r/>
            <w:r>
              <w:rPr>
                <w:sz w:val="18"/>
              </w:rPr>
              <w:t>4</w:t>
            </w:r>
          </w:p>
        </w:tc>
        <w:tc>
          <w:tcPr>
            <w:tcW w:type="dxa" w:w="1440"/>
            <w:shd w:val="clear" w:color="auto" w:fill="FECACA"/>
          </w:tcPr>
          <w:p>
            <w:pPr>
              <w:jc w:val="center"/>
            </w:pPr>
            <w:r/>
            <w:r>
              <w:rPr>
                <w:sz w:val="18"/>
              </w:rPr>
              <w:t>Epidemic</w:t>
            </w:r>
          </w:p>
        </w:tc>
      </w:tr>
      <w:tr>
        <w:tc>
          <w:tcPr>
            <w:tcW w:type="dxa" w:w="2448"/>
            <w:shd w:val="clear" w:color="auto" w:fill="FEF3C7"/>
          </w:tcPr>
          <w:p>
            <w:r/>
            <w:r>
              <w:rPr>
                <w:sz w:val="18"/>
              </w:rPr>
              <w:t>Tambo</w:t>
            </w:r>
          </w:p>
        </w:tc>
        <w:tc>
          <w:tcPr>
            <w:tcW w:type="dxa" w:w="1728"/>
            <w:shd w:val="clear" w:color="auto" w:fill="FEF3C7"/>
          </w:tcPr>
          <w:p>
            <w:pPr>
              <w:jc w:val="center"/>
            </w:pPr>
            <w:r/>
            <w:r>
              <w:rPr>
                <w:sz w:val="18"/>
              </w:rPr>
              <w:t>0, 0, 0, 0, 3</w:t>
            </w:r>
          </w:p>
        </w:tc>
        <w:tc>
          <w:tcPr>
            <w:tcW w:type="dxa" w:w="864"/>
            <w:shd w:val="clear" w:color="auto" w:fill="FEF3C7"/>
          </w:tcPr>
          <w:p>
            <w:pPr>
              <w:jc w:val="center"/>
            </w:pPr>
            <w:r/>
            <w:r>
              <w:rPr>
                <w:sz w:val="18"/>
              </w:rPr>
              <w:t>0.6</w:t>
            </w:r>
          </w:p>
        </w:tc>
        <w:tc>
          <w:tcPr>
            <w:tcW w:type="dxa" w:w="1008"/>
            <w:shd w:val="clear" w:color="auto" w:fill="FEF3C7"/>
          </w:tcPr>
          <w:p>
            <w:pPr>
              <w:jc w:val="center"/>
            </w:pPr>
            <w:r/>
            <w:r>
              <w:rPr>
                <w:sz w:val="18"/>
              </w:rPr>
              <w:t>1.94</w:t>
            </w:r>
          </w:p>
        </w:tc>
        <w:tc>
          <w:tcPr>
            <w:tcW w:type="dxa" w:w="1152"/>
            <w:shd w:val="clear" w:color="auto" w:fill="FEF3C7"/>
          </w:tcPr>
          <w:p>
            <w:pPr>
              <w:jc w:val="center"/>
            </w:pPr>
            <w:r/>
            <w:r>
              <w:rPr>
                <w:sz w:val="18"/>
              </w:rPr>
              <w:t>3.28</w:t>
            </w:r>
          </w:p>
        </w:tc>
        <w:tc>
          <w:tcPr>
            <w:tcW w:type="dxa" w:w="792"/>
            <w:shd w:val="clear" w:color="auto" w:fill="FEF3C7"/>
          </w:tcPr>
          <w:p>
            <w:pPr>
              <w:jc w:val="center"/>
            </w:pPr>
            <w:r/>
            <w:r>
              <w:rPr>
                <w:sz w:val="18"/>
              </w:rPr>
              <w:t>2</w:t>
            </w:r>
          </w:p>
        </w:tc>
        <w:tc>
          <w:tcPr>
            <w:tcW w:type="dxa" w:w="1440"/>
            <w:shd w:val="clear" w:color="auto" w:fill="FEF3C7"/>
          </w:tcPr>
          <w:p>
            <w:pPr>
              <w:jc w:val="center"/>
            </w:pPr>
            <w:r/>
            <w:r>
              <w:rPr>
                <w:sz w:val="18"/>
              </w:rPr>
              <w:t>Alert</w:t>
            </w:r>
          </w:p>
        </w:tc>
      </w:tr>
      <w:tr>
        <w:tc>
          <w:tcPr>
            <w:tcW w:type="dxa" w:w="2448"/>
            <w:shd w:val="clear" w:color="auto" w:fill="FECACA"/>
          </w:tcPr>
          <w:p>
            <w:r/>
            <w:r>
              <w:rPr>
                <w:sz w:val="18"/>
              </w:rPr>
              <w:t>Vitalez</w:t>
            </w:r>
          </w:p>
        </w:tc>
        <w:tc>
          <w:tcPr>
            <w:tcW w:type="dxa" w:w="1728"/>
            <w:shd w:val="clear" w:color="auto" w:fill="FECACA"/>
          </w:tcPr>
          <w:p>
            <w:pPr>
              <w:jc w:val="center"/>
            </w:pPr>
            <w:r/>
            <w:r>
              <w:rPr>
                <w:sz w:val="18"/>
              </w:rPr>
              <w:t>0, 0, 0, 0, 0</w:t>
            </w:r>
          </w:p>
        </w:tc>
        <w:tc>
          <w:tcPr>
            <w:tcW w:type="dxa" w:w="864"/>
            <w:shd w:val="clear" w:color="auto" w:fill="FECACA"/>
          </w:tcPr>
          <w:p>
            <w:pPr>
              <w:jc w:val="center"/>
            </w:pPr>
            <w:r/>
            <w:r>
              <w:rPr>
                <w:sz w:val="18"/>
              </w:rPr>
              <w:t>0.0</w:t>
            </w:r>
          </w:p>
        </w:tc>
        <w:tc>
          <w:tcPr>
            <w:tcW w:type="dxa" w:w="1008"/>
            <w:shd w:val="clear" w:color="auto" w:fill="FECACA"/>
          </w:tcPr>
          <w:p>
            <w:pPr>
              <w:jc w:val="center"/>
            </w:pPr>
            <w:r/>
            <w:r>
              <w:rPr>
                <w:sz w:val="18"/>
              </w:rPr>
              <w:t>0.00</w:t>
            </w:r>
          </w:p>
        </w:tc>
        <w:tc>
          <w:tcPr>
            <w:tcW w:type="dxa" w:w="1152"/>
            <w:shd w:val="clear" w:color="auto" w:fill="FECACA"/>
          </w:tcPr>
          <w:p>
            <w:pPr>
              <w:jc w:val="center"/>
            </w:pPr>
            <w:r/>
            <w:r>
              <w:rPr>
                <w:sz w:val="18"/>
              </w:rPr>
              <w:t>0.00</w:t>
            </w:r>
          </w:p>
        </w:tc>
        <w:tc>
          <w:tcPr>
            <w:tcW w:type="dxa" w:w="792"/>
            <w:shd w:val="clear" w:color="auto" w:fill="FECACA"/>
          </w:tcPr>
          <w:p>
            <w:pPr>
              <w:jc w:val="center"/>
            </w:pPr>
            <w:r/>
            <w:r>
              <w:rPr>
                <w:sz w:val="18"/>
              </w:rPr>
              <w:t>1</w:t>
            </w:r>
          </w:p>
        </w:tc>
        <w:tc>
          <w:tcPr>
            <w:tcW w:type="dxa" w:w="1440"/>
            <w:shd w:val="clear" w:color="auto" w:fill="FECACA"/>
          </w:tcPr>
          <w:p>
            <w:pPr>
              <w:jc w:val="center"/>
            </w:pPr>
            <w:r/>
            <w:r>
              <w:rPr>
                <w:sz w:val="18"/>
              </w:rPr>
              <w:t>Epidemic</w:t>
            </w:r>
          </w:p>
        </w:tc>
      </w:tr>
    </w:tbl>
    <w:p/>
    <w:p>
      <w:r>
        <w:rPr>
          <w:b/>
        </w:rPr>
        <w:t xml:space="preserve">Small numbers need judgment. </w:t>
      </w:r>
      <w:r>
        <w:rPr>
          <w:i w:val="0"/>
        </w:rPr>
        <w:t>When a barangay's baseline is very small the thresholds are very low. Vitalez had no MW1 dengue cases in any baseline year, so its thresholds are 0 and its single case puts it at the epidemic level. Don Galo (baseline 1, 0, 0, 0, 0) reaches the epidemic level with 3 cases. These flags are correct by the rule, but one or two cases in a small barangay are weaker evidence than seven cases in San Isidro. H-MAP requires at least one case before it flags a barangay, and it raises a barangay to High risk only when an active hotspot (200 m, 3 or more cases, 4 weeks) is also present.</w:t>
      </w:r>
    </w:p>
    <w:p>
      <w:pPr>
        <w:pStyle w:val="Heading1"/>
      </w:pPr>
      <w:r>
        <w:t>6. Single-case diseases: Measles and AFP</w:t>
      </w:r>
    </w:p>
    <w:p>
      <w:r>
        <w:rPr>
          <w:i w:val="0"/>
        </w:rPr>
        <w:t>For Measles and Acute Flaccid Paralysis, the PIDSR rule is that one case is already an alert (DOH, 2014, p. 58). The mean + SD lines are hidden for these diseases on the dashboard. The example below shows why the formula alone would not work.</w:t>
      </w:r>
    </w:p>
    <w:p>
      <w:pPr>
        <w:ind w:left="576"/>
      </w:pPr>
      <w:r>
        <w:rPr>
          <w:rFonts w:ascii="Consolas" w:hAnsi="Consolas"/>
          <w:sz w:val="21"/>
        </w:rPr>
        <w:t>Measles, MW3 baseline (2021-2025) = 0, 0, 0, 1, 0</w:t>
      </w:r>
    </w:p>
    <w:p>
      <w:pPr>
        <w:ind w:left="576"/>
      </w:pPr>
      <w:r>
        <w:rPr>
          <w:rFonts w:ascii="Consolas" w:hAnsi="Consolas"/>
          <w:sz w:val="21"/>
        </w:rPr>
        <w:t>Mean = 0.2   SD = 0.447   Epidemic threshold = 1.09</w:t>
      </w:r>
    </w:p>
    <w:p>
      <w:r>
        <w:rPr>
          <w:i w:val="0"/>
        </w:rPr>
        <w:t>Suppose one measles case is reported in MW3. By the formula, 1 is below 1.09, so it would not be flagged. By the single-case rule it is flagged at once, which is what H-MAP does. (This is an illustration: there were no Confirmed or Probable measles or AFP cases in MW1 to MW5 of 2026.)</w:t>
      </w:r>
    </w:p>
    <w:p>
      <w:pPr>
        <w:pStyle w:val="Heading1"/>
      </w:pPr>
      <w:r>
        <w:t>7. How this differs from the 5YrAve sheet in the PIDSR workbook</w:t>
      </w:r>
    </w:p>
    <w:p>
      <w:r>
        <w:rPr>
          <w:i w:val="0"/>
        </w:rPr>
        <w:t>The CESU workbook's 5YrAve sheet answers a different question, so its numbers will not match the H-MAP thresholds: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872"/>
            <w:shd w:val="clear" w:color="auto" w:fill="DBEAFE"/>
          </w:tcPr>
          <w:p>
            <w:pPr>
              <w:keepNext/>
            </w:pPr>
            <w:r/>
            <w:r>
              <w:rPr>
                <w:b/>
                <w:sz w:val="19"/>
              </w:rPr>
            </w:r>
          </w:p>
        </w:tc>
        <w:tc>
          <w:tcPr>
            <w:tcW w:type="dxa" w:w="3744"/>
            <w:shd w:val="clear" w:color="auto" w:fill="DBEAFE"/>
          </w:tcPr>
          <w:p>
            <w:pPr>
              <w:keepNext/>
            </w:pPr>
            <w:r/>
            <w:r>
              <w:rPr>
                <w:b/>
                <w:sz w:val="19"/>
              </w:rPr>
              <w:t>5YrAve sheet (workbook)</w:t>
            </w:r>
          </w:p>
        </w:tc>
        <w:tc>
          <w:tcPr>
            <w:tcW w:type="dxa" w:w="3744"/>
            <w:shd w:val="clear" w:color="auto" w:fill="DBEAFE"/>
          </w:tcPr>
          <w:p>
            <w:pPr>
              <w:keepNext/>
            </w:pPr>
            <w:r/>
            <w:r>
              <w:rPr>
                <w:b/>
                <w:sz w:val="19"/>
              </w:rPr>
              <w:t>H-MAP PIDSR thresholds</w:t>
            </w:r>
          </w:p>
        </w:tc>
      </w:tr>
      <w:tr>
        <w:tc>
          <w:tcPr>
            <w:tcW w:type="dxa" w:w="1872"/>
          </w:tcPr>
          <w:p>
            <w:pPr>
              <w:keepNext/>
            </w:pPr>
            <w:r/>
            <w:r>
              <w:rPr>
                <w:sz w:val="19"/>
              </w:rPr>
              <w:t>Period</w:t>
            </w:r>
          </w:p>
        </w:tc>
        <w:tc>
          <w:tcPr>
            <w:tcW w:type="dxa" w:w="3744"/>
          </w:tcPr>
          <w:p>
            <w:pPr>
              <w:keepNext/>
            </w:pPr>
            <w:r/>
            <w:r>
              <w:rPr>
                <w:sz w:val="19"/>
              </w:rPr>
              <w:t>Cumulative, MW1 up to the selected week</w:t>
            </w:r>
          </w:p>
        </w:tc>
        <w:tc>
          <w:tcPr>
            <w:tcW w:type="dxa" w:w="3744"/>
          </w:tcPr>
          <w:p>
            <w:pPr>
              <w:keepNext/>
            </w:pPr>
            <w:r/>
            <w:r>
              <w:rPr>
                <w:sz w:val="19"/>
              </w:rPr>
              <w:t>One morbidity week</w:t>
            </w:r>
          </w:p>
        </w:tc>
      </w:tr>
      <w:tr>
        <w:tc>
          <w:tcPr>
            <w:tcW w:type="dxa" w:w="1872"/>
          </w:tcPr>
          <w:p>
            <w:pPr>
              <w:keepNext/>
            </w:pPr>
            <w:r/>
            <w:r>
              <w:rPr>
                <w:sz w:val="19"/>
              </w:rPr>
              <w:t>Classifications</w:t>
            </w:r>
          </w:p>
        </w:tc>
        <w:tc>
          <w:tcPr>
            <w:tcW w:type="dxa" w:w="3744"/>
          </w:tcPr>
          <w:p>
            <w:pPr>
              <w:keepNext/>
            </w:pPr>
            <w:r/>
            <w:r>
              <w:rPr>
                <w:sz w:val="19"/>
              </w:rPr>
              <w:t>All (including Suspect)</w:t>
            </w:r>
          </w:p>
        </w:tc>
        <w:tc>
          <w:tcPr>
            <w:tcW w:type="dxa" w:w="3744"/>
          </w:tcPr>
          <w:p>
            <w:pPr>
              <w:keepNext/>
            </w:pPr>
            <w:r/>
            <w:r>
              <w:rPr>
                <w:sz w:val="19"/>
              </w:rPr>
              <w:t>Confirmed + Probable only</w:t>
            </w:r>
          </w:p>
        </w:tc>
      </w:tr>
      <w:tr>
        <w:tc>
          <w:tcPr>
            <w:tcW w:type="dxa" w:w="1872"/>
          </w:tcPr>
          <w:p>
            <w:pPr>
              <w:keepNext/>
            </w:pPr>
            <w:r/>
            <w:r>
              <w:rPr>
                <w:sz w:val="19"/>
              </w:rPr>
              <w:t>Statistic</w:t>
            </w:r>
          </w:p>
        </w:tc>
        <w:tc>
          <w:tcPr>
            <w:tcW w:type="dxa" w:w="3744"/>
          </w:tcPr>
          <w:p>
            <w:pPr>
              <w:keepNext/>
            </w:pPr>
            <w:r/>
            <w:r>
              <w:rPr>
                <w:sz w:val="19"/>
              </w:rPr>
              <w:t>Average and median</w:t>
            </w:r>
          </w:p>
        </w:tc>
        <w:tc>
          <w:tcPr>
            <w:tcW w:type="dxa" w:w="3744"/>
          </w:tcPr>
          <w:p>
            <w:pPr>
              <w:keepNext/>
            </w:pPr>
            <w:r/>
            <w:r>
              <w:rPr>
                <w:sz w:val="19"/>
              </w:rPr>
              <w:t>Mean, SD, mean + 1 SD, mean + 2 SD</w:t>
            </w:r>
          </w:p>
        </w:tc>
      </w:tr>
      <w:tr>
        <w:tc>
          <w:tcPr>
            <w:tcW w:type="dxa" w:w="1872"/>
          </w:tcPr>
          <w:p>
            <w:r/>
            <w:r>
              <w:rPr>
                <w:sz w:val="19"/>
              </w:rPr>
              <w:t>Purpose</w:t>
            </w:r>
          </w:p>
        </w:tc>
        <w:tc>
          <w:tcPr>
            <w:tcW w:type="dxa" w:w="3744"/>
          </w:tcPr>
          <w:p>
            <w:r/>
            <w:r>
              <w:rPr>
                <w:sz w:val="19"/>
              </w:rPr>
              <w:t>Reference value for the memo</w:t>
            </w:r>
          </w:p>
        </w:tc>
        <w:tc>
          <w:tcPr>
            <w:tcW w:type="dxa" w:w="3744"/>
          </w:tcPr>
          <w:p>
            <w:r/>
            <w:r>
              <w:rPr>
                <w:sz w:val="19"/>
              </w:rPr>
              <w:t>Alert and epidemic signal</w:t>
            </w:r>
          </w:p>
        </w:tc>
      </w:tr>
    </w:tbl>
    <w:p/>
    <w:p>
      <w:r>
        <w:rPr>
          <w:i w:val="0"/>
        </w:rPr>
        <w:t>Example, dengue up to MW5: the cumulative MW1-5 totals for 2021 to 2025 (all classifications) are 107, 32, 126, 105, 246. Their average is 123.2, which is the value in the 5YrAve sheet. The 2026 cumulative total is 151 (146 Confirmed + Probable). H-MAP shows the 5YrAve reference on the Weekly Report and uses the PIDSR thresholds for alerts.</w:t>
      </w:r>
    </w:p>
    <w:p>
      <w:pPr>
        <w:pStyle w:val="Heading1"/>
      </w:pPr>
      <w:r>
        <w:t>8. Checking a threshold yourself in Excel</w:t>
      </w:r>
    </w:p>
    <w:p>
      <w:r>
        <w:rPr>
          <w:i w:val="0"/>
        </w:rPr>
        <w:t>Put the five baseline counts in cells B2 to F2 (for example 23, 6, 24, 12, 21) and use: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016"/>
            <w:shd w:val="clear" w:color="auto" w:fill="DBEAFE"/>
          </w:tcPr>
          <w:p>
            <w:pPr>
              <w:keepNext/>
            </w:pPr>
            <w:r/>
            <w:r>
              <w:rPr>
                <w:b/>
                <w:sz w:val="19"/>
              </w:rPr>
              <w:t>Cell</w:t>
            </w:r>
          </w:p>
        </w:tc>
        <w:tc>
          <w:tcPr>
            <w:tcW w:type="dxa" w:w="3456"/>
            <w:shd w:val="clear" w:color="auto" w:fill="DBEAFE"/>
          </w:tcPr>
          <w:p>
            <w:pPr>
              <w:keepNext/>
            </w:pPr>
            <w:r/>
            <w:r>
              <w:rPr>
                <w:b/>
                <w:sz w:val="19"/>
              </w:rPr>
              <w:t>Formula</w:t>
            </w:r>
          </w:p>
        </w:tc>
        <w:tc>
          <w:tcPr>
            <w:tcW w:type="dxa" w:w="2880"/>
            <w:shd w:val="clear" w:color="auto" w:fill="DBEAFE"/>
          </w:tcPr>
          <w:p>
            <w:pPr>
              <w:keepNext/>
            </w:pPr>
            <w:r/>
            <w:r>
              <w:rPr>
                <w:b/>
                <w:sz w:val="19"/>
              </w:rPr>
              <w:t>Result for Dengue MW1</w:t>
            </w:r>
          </w:p>
        </w:tc>
      </w:tr>
      <w:tr>
        <w:tc>
          <w:tcPr>
            <w:tcW w:type="dxa" w:w="2016"/>
          </w:tcPr>
          <w:p>
            <w:pPr>
              <w:keepNext/>
            </w:pPr>
            <w:r/>
            <w:r>
              <w:rPr>
                <w:sz w:val="19"/>
              </w:rPr>
              <w:t>G2 (mean)</w:t>
            </w:r>
          </w:p>
        </w:tc>
        <w:tc>
          <w:tcPr>
            <w:tcW w:type="dxa" w:w="3456"/>
          </w:tcPr>
          <w:p>
            <w:pPr>
              <w:keepNext/>
              <w:jc w:val="center"/>
            </w:pPr>
            <w:r/>
            <w:r>
              <w:rPr>
                <w:sz w:val="19"/>
              </w:rPr>
              <w:t>=AVERAGE(B2:F2)</w:t>
            </w:r>
          </w:p>
        </w:tc>
        <w:tc>
          <w:tcPr>
            <w:tcW w:type="dxa" w:w="2880"/>
          </w:tcPr>
          <w:p>
            <w:pPr>
              <w:keepNext/>
              <w:jc w:val="center"/>
            </w:pPr>
            <w:r/>
            <w:r>
              <w:rPr>
                <w:sz w:val="19"/>
              </w:rPr>
              <w:t>17.20</w:t>
            </w:r>
          </w:p>
        </w:tc>
      </w:tr>
      <w:tr>
        <w:tc>
          <w:tcPr>
            <w:tcW w:type="dxa" w:w="2016"/>
          </w:tcPr>
          <w:p>
            <w:pPr>
              <w:keepNext/>
            </w:pPr>
            <w:r/>
            <w:r>
              <w:rPr>
                <w:sz w:val="19"/>
              </w:rPr>
              <w:t>H2 (SD)</w:t>
            </w:r>
          </w:p>
        </w:tc>
        <w:tc>
          <w:tcPr>
            <w:tcW w:type="dxa" w:w="3456"/>
          </w:tcPr>
          <w:p>
            <w:pPr>
              <w:keepNext/>
              <w:jc w:val="center"/>
            </w:pPr>
            <w:r/>
            <w:r>
              <w:rPr>
                <w:sz w:val="19"/>
              </w:rPr>
              <w:t>=STDEV.S(B2:F2)</w:t>
            </w:r>
          </w:p>
        </w:tc>
        <w:tc>
          <w:tcPr>
            <w:tcW w:type="dxa" w:w="2880"/>
          </w:tcPr>
          <w:p>
            <w:pPr>
              <w:keepNext/>
              <w:jc w:val="center"/>
            </w:pPr>
            <w:r/>
            <w:r>
              <w:rPr>
                <w:sz w:val="19"/>
              </w:rPr>
              <w:t>7.85</w:t>
            </w:r>
          </w:p>
        </w:tc>
      </w:tr>
      <w:tr>
        <w:tc>
          <w:tcPr>
            <w:tcW w:type="dxa" w:w="2016"/>
          </w:tcPr>
          <w:p>
            <w:pPr>
              <w:keepNext/>
            </w:pPr>
            <w:r/>
            <w:r>
              <w:rPr>
                <w:sz w:val="19"/>
              </w:rPr>
              <w:t>I2 (alert)</w:t>
            </w:r>
          </w:p>
        </w:tc>
        <w:tc>
          <w:tcPr>
            <w:tcW w:type="dxa" w:w="3456"/>
          </w:tcPr>
          <w:p>
            <w:pPr>
              <w:keepNext/>
              <w:jc w:val="center"/>
            </w:pPr>
            <w:r/>
            <w:r>
              <w:rPr>
                <w:sz w:val="19"/>
              </w:rPr>
              <w:t>=G2+H2</w:t>
            </w:r>
          </w:p>
        </w:tc>
        <w:tc>
          <w:tcPr>
            <w:tcW w:type="dxa" w:w="2880"/>
          </w:tcPr>
          <w:p>
            <w:pPr>
              <w:keepNext/>
              <w:jc w:val="center"/>
            </w:pPr>
            <w:r/>
            <w:r>
              <w:rPr>
                <w:sz w:val="19"/>
              </w:rPr>
              <w:t>25.05</w:t>
            </w:r>
          </w:p>
        </w:tc>
      </w:tr>
      <w:tr>
        <w:tc>
          <w:tcPr>
            <w:tcW w:type="dxa" w:w="2016"/>
          </w:tcPr>
          <w:p>
            <w:r/>
            <w:r>
              <w:rPr>
                <w:sz w:val="19"/>
              </w:rPr>
              <w:t>J2 (epidemic)</w:t>
            </w:r>
          </w:p>
        </w:tc>
        <w:tc>
          <w:tcPr>
            <w:tcW w:type="dxa" w:w="3456"/>
          </w:tcPr>
          <w:p>
            <w:pPr>
              <w:jc w:val="center"/>
            </w:pPr>
            <w:r/>
            <w:r>
              <w:rPr>
                <w:sz w:val="19"/>
              </w:rPr>
              <w:t>=G2+2*H2</w:t>
            </w:r>
          </w:p>
        </w:tc>
        <w:tc>
          <w:tcPr>
            <w:tcW w:type="dxa" w:w="2880"/>
          </w:tcPr>
          <w:p>
            <w:pPr>
              <w:jc w:val="center"/>
            </w:pPr>
            <w:r/>
            <w:r>
              <w:rPr>
                <w:sz w:val="19"/>
              </w:rPr>
              <w:t>32.91</w:t>
            </w:r>
          </w:p>
        </w:tc>
      </w:tr>
    </w:tbl>
    <w:p/>
    <w:p>
      <w:r>
        <w:rPr>
          <w:i w:val="0"/>
        </w:rPr>
        <w:t>Use STDEV.S, not STDEV.P. STDEV.P divides by 5 instead of 4 and gives slightly lower thresholds (7.03 instead of 7.85 for this example, so an epidemic threshold of 31.25 instead of 32.91).</w:t>
      </w:r>
    </w:p>
    <w:p>
      <w:pPr>
        <w:pStyle w:val="Heading1"/>
      </w:pPr>
      <w:r>
        <w:t>9. Where the thresholds appear in H-MAP</w:t>
      </w:r>
    </w:p>
    <w:p>
      <w:pPr>
        <w:pStyle w:val="ListBullet"/>
      </w:pPr>
      <w:r>
        <w:rPr>
          <w:b/>
        </w:rPr>
        <w:t xml:space="preserve">Dashboard, weekly trend chart: </w:t>
      </w:r>
      <w:r>
        <w:t>the dashed lines are the 5-year mean, alert and epidemic thresholds. Use the Line / Histogram switch to see the weeks as a line or as bars (an epidemic curve). Weeks above the alert threshold are amber and weeks above the epidemic threshold are red in both views.</w:t>
      </w:r>
    </w:p>
    <w:p>
      <w:pPr>
        <w:pStyle w:val="ListBullet"/>
      </w:pPr>
      <w:r>
        <w:rPr>
          <w:b/>
        </w:rPr>
        <w:t xml:space="preserve">Dashboard, summary cards and barangay risk tiers: </w:t>
      </w:r>
      <w:r>
        <w:t>the per-barangay computation in Section 5.</w:t>
      </w:r>
    </w:p>
    <w:p>
      <w:pPr>
        <w:pStyle w:val="ListBullet"/>
      </w:pPr>
      <w:r>
        <w:rPr>
          <w:b/>
        </w:rPr>
        <w:t xml:space="preserve">Weekly Report: </w:t>
      </w:r>
      <w:r>
        <w:t>PIDSR level per disease next to the 5YrAve reference.</w:t>
      </w:r>
    </w:p>
    <w:p>
      <w:pPr>
        <w:pStyle w:val="ListBullet"/>
      </w:pPr>
      <w:r>
        <w:rPr>
          <w:b/>
        </w:rPr>
        <w:t xml:space="preserve">Alerts menu: </w:t>
      </w:r>
      <w:r>
        <w:t>a notification when a barangay crosses its epidemic threshold.</w:t>
      </w:r>
    </w:p>
    <w:p>
      <w:r>
        <w:rPr>
          <w:i w:val="0"/>
          <w:sz w:val="19"/>
        </w:rPr>
        <w:t>Reference: Department of Health. (2014). Manual of procedures for the Philippine Integrated Disease Surveillance and Response (3rd ed.). Epidemiology Bureau.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