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u w:val="single"/>
        </w:rPr>
      </w:pPr>
      <w:bookmarkStart w:colFirst="0" w:colLast="0" w:name="_cmagpi21c9o7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Quantitative Trading Research Report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jc w:val="center"/>
        <w:rPr/>
      </w:pPr>
      <w:bookmarkStart w:colFirst="0" w:colLast="0" w:name="_14wx5le5yvjj" w:id="1"/>
      <w:bookmarkEnd w:id="1"/>
      <w:r w:rsidDel="00000000" w:rsidR="00000000" w:rsidRPr="00000000">
        <w:rPr>
          <w:rtl w:val="0"/>
        </w:rPr>
        <w:t xml:space="preserve">Noise-Averse Intraday Momentum Trading Strategy</w:t>
      </w:r>
    </w:p>
    <w:p w:rsidR="00000000" w:rsidDel="00000000" w:rsidP="00000000" w:rsidRDefault="00000000" w:rsidRPr="00000000" w14:paraId="00000005">
      <w:pPr>
        <w:pStyle w:val="Subtitle"/>
        <w:jc w:val="center"/>
        <w:rPr/>
      </w:pPr>
      <w:bookmarkStart w:colFirst="0" w:colLast="0" w:name="_z2w854qxvxv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jc w:val="center"/>
        <w:rPr/>
      </w:pPr>
      <w:bookmarkStart w:colFirst="0" w:colLast="0" w:name="_b25wjm736a0d" w:id="3"/>
      <w:bookmarkEnd w:id="3"/>
      <w:r w:rsidDel="00000000" w:rsidR="00000000" w:rsidRPr="00000000">
        <w:rPr>
          <w:rtl w:val="0"/>
        </w:rPr>
        <w:t xml:space="preserve">By: Mariceline “Ember” Querubin</w:t>
      </w:r>
    </w:p>
    <w:p w:rsidR="00000000" w:rsidDel="00000000" w:rsidP="00000000" w:rsidRDefault="00000000" w:rsidRPr="00000000" w14:paraId="00000007">
      <w:pPr>
        <w:pStyle w:val="Subtitle"/>
        <w:jc w:val="center"/>
        <w:rPr/>
      </w:pPr>
      <w:bookmarkStart w:colFirst="0" w:colLast="0" w:name="_ljz6fi41s8id" w:id="4"/>
      <w:bookmarkEnd w:id="4"/>
      <w:r w:rsidDel="00000000" w:rsidR="00000000" w:rsidRPr="00000000">
        <w:rPr>
          <w:rtl w:val="0"/>
        </w:rPr>
        <w:t xml:space="preserve">Date: 2026-07-09, Thursday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  <w:t xml:space="preserve">Purpose: To demonstrate understanding of the strategy, the market opportunity, its risk/return profile, and the controls required before any capital is allocated. This version adds the completed exit and position-sizing design (catastrophic stop + fixed-fractional risk sizing) and shows all statistics on the full 2020–2026 sample.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jrsm41o87d1b" w:id="5"/>
      <w:bookmarkEnd w:id="5"/>
      <w:r w:rsidDel="00000000" w:rsidR="00000000" w:rsidRPr="00000000">
        <w:rPr>
          <w:rtl w:val="0"/>
        </w:rPr>
        <w:t xml:space="preserve">01 - Strategy Overview</w:t>
      </w:r>
    </w:p>
    <w:p w:rsidR="00000000" w:rsidDel="00000000" w:rsidP="00000000" w:rsidRDefault="00000000" w:rsidRPr="00000000" w14:paraId="0000000E">
      <w:pPr>
        <w:spacing w:after="80" w:line="256.8" w:lineRule="auto"/>
        <w:ind w:left="60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Asset class &amp; market: </w:t>
      </w:r>
      <w:r w:rsidDel="00000000" w:rsidR="00000000" w:rsidRPr="00000000">
        <w:rPr>
          <w:rtl w:val="0"/>
        </w:rPr>
        <w:t xml:space="preserve">Crypto perpetual futures (USDT-margined), 24/7.</w:t>
      </w:r>
    </w:p>
    <w:p w:rsidR="00000000" w:rsidDel="00000000" w:rsidP="00000000" w:rsidRDefault="00000000" w:rsidRPr="00000000" w14:paraId="0000000F">
      <w:pPr>
        <w:spacing w:after="80" w:line="256.8" w:lineRule="auto"/>
        <w:ind w:left="60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Instruments used: </w:t>
      </w:r>
      <w:r w:rsidDel="00000000" w:rsidR="00000000" w:rsidRPr="00000000">
        <w:rPr>
          <w:rtl w:val="0"/>
        </w:rPr>
        <w:t xml:space="preserve">Liquid perps. Primary book: seven majors (BTC, ETH, SOL, BNB, XRP, DOGE, ADA). Research universe: full listed set (up to 741 symbols); tokenized-equity/RWA products excluded by rule.</w:t>
      </w:r>
    </w:p>
    <w:p w:rsidR="00000000" w:rsidDel="00000000" w:rsidP="00000000" w:rsidRDefault="00000000" w:rsidRPr="00000000" w14:paraId="00000010">
      <w:pPr>
        <w:spacing w:after="80" w:line="256.8" w:lineRule="auto"/>
        <w:ind w:left="60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Time horizon: </w:t>
      </w:r>
      <w:r w:rsidDel="00000000" w:rsidR="00000000" w:rsidRPr="00000000">
        <w:rPr>
          <w:rtl w:val="0"/>
        </w:rPr>
        <w:t xml:space="preserve">Intraday only — every position opens and closes within one 13:30–23:59 UTC session; zero overnight exposure.</w:t>
      </w:r>
    </w:p>
    <w:p w:rsidR="00000000" w:rsidDel="00000000" w:rsidP="00000000" w:rsidRDefault="00000000" w:rsidRPr="00000000" w14:paraId="00000011">
      <w:pPr>
        <w:spacing w:after="80" w:line="256.8" w:lineRule="auto"/>
        <w:ind w:left="60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Trading frequency: </w:t>
      </w:r>
      <w:r w:rsidDel="00000000" w:rsidR="00000000" w:rsidRPr="00000000">
        <w:rPr>
          <w:rtl w:val="0"/>
        </w:rPr>
        <w:t xml:space="preserve">Session-based; decisions at fixed half-hour marks; ~0.3 entries per asset-session after filters.</w:t>
      </w:r>
    </w:p>
    <w:p w:rsidR="00000000" w:rsidDel="00000000" w:rsidP="00000000" w:rsidRDefault="00000000" w:rsidRPr="00000000" w14:paraId="00000012">
      <w:pPr>
        <w:spacing w:after="80" w:line="256.8" w:lineRule="auto"/>
        <w:ind w:left="60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Core hypothesis &amp; market inefficiency: </w:t>
      </w:r>
      <w:r w:rsidDel="00000000" w:rsidR="00000000" w:rsidRPr="00000000">
        <w:rPr>
          <w:rtl w:val="0"/>
        </w:rPr>
        <w:t xml:space="preserve">Most intraday movement is noise around the open. A move that escapes a statistically-defined “noise area” reflects a real demand/supply imbalance that takes hours to absorb, so it tends to continue to the session close.</w:t>
      </w:r>
    </w:p>
    <w:p w:rsidR="00000000" w:rsidDel="00000000" w:rsidP="00000000" w:rsidRDefault="00000000" w:rsidRPr="00000000" w14:paraId="00000013">
      <w:pPr>
        <w:spacing w:after="80" w:line="256.8" w:lineRule="auto"/>
        <w:ind w:left="60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Why the strategy has an edge: </w:t>
      </w:r>
      <w:r w:rsidDel="00000000" w:rsidR="00000000" w:rsidRPr="00000000">
        <w:rPr>
          <w:rtl w:val="0"/>
        </w:rPr>
        <w:t xml:space="preserve">A microstructure continuation effect: imbalance-driven breakouts persist intraday. </w:t>
      </w:r>
    </w:p>
    <w:p w:rsidR="00000000" w:rsidDel="00000000" w:rsidP="00000000" w:rsidRDefault="00000000" w:rsidRPr="00000000" w14:paraId="00000014">
      <w:pPr>
        <w:spacing w:after="80" w:line="256.8" w:lineRule="auto"/>
        <w:ind w:left="60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Discretionary / systematic / hybrid: </w:t>
      </w:r>
      <w:r w:rsidDel="00000000" w:rsidR="00000000" w:rsidRPr="00000000">
        <w:rPr>
          <w:rtl w:val="0"/>
        </w:rPr>
        <w:t xml:space="preserve">Fully systematic; no discretionary inputs. Manual override is stop-only.</w:t>
      </w:r>
    </w:p>
    <w:p w:rsidR="00000000" w:rsidDel="00000000" w:rsidP="00000000" w:rsidRDefault="00000000" w:rsidRPr="00000000" w14:paraId="00000015">
      <w:pPr>
        <w:spacing w:after="80" w:line="256.8" w:lineRule="auto"/>
        <w:ind w:left="60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Market rationale: </w:t>
      </w:r>
      <w:r w:rsidDel="00000000" w:rsidR="00000000" w:rsidRPr="00000000">
        <w:rPr>
          <w:rtl w:val="0"/>
        </w:rPr>
        <w:t xml:space="preserve">Imbalance absorption + participation confirmation; scheduled macro releases produce spikes that reverse, so they are excluded.</w:t>
      </w:r>
    </w:p>
    <w:p w:rsidR="00000000" w:rsidDel="00000000" w:rsidP="00000000" w:rsidRDefault="00000000" w:rsidRPr="00000000" w14:paraId="00000016">
      <w:pPr>
        <w:spacing w:after="80" w:line="256.8" w:lineRule="auto"/>
        <w:ind w:left="60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Origin: </w:t>
      </w:r>
      <w:r w:rsidDel="00000000" w:rsidR="00000000" w:rsidRPr="00000000">
        <w:rPr>
          <w:rtl w:val="0"/>
        </w:rPr>
        <w:t xml:space="preserve">Zarattini, Aziz &amp; Barbon (2024, S&amp;P 500 ETF); replicated on ES/NQ; ported here to crypto perps.</w:t>
      </w:r>
    </w:p>
    <w:p w:rsidR="00000000" w:rsidDel="00000000" w:rsidP="00000000" w:rsidRDefault="00000000" w:rsidRPr="00000000" w14:paraId="00000017">
      <w:pPr>
        <w:spacing w:after="80" w:line="256.8" w:lineRule="auto"/>
        <w:ind w:left="600" w:hanging="2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="256.8" w:lineRule="auto"/>
        <w:ind w:left="600" w:hanging="2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80" w:line="256.8" w:lineRule="auto"/>
        <w:rPr/>
      </w:pPr>
      <w:bookmarkStart w:colFirst="0" w:colLast="0" w:name="_s0q59zecz69" w:id="6"/>
      <w:bookmarkEnd w:id="6"/>
      <w:r w:rsidDel="00000000" w:rsidR="00000000" w:rsidRPr="00000000">
        <w:rPr>
          <w:rtl w:val="0"/>
        </w:rPr>
        <w:t xml:space="preserve">02 - Strategy Mechanics (MS/ EC/ PSL/ SL/ TP)</w:t>
      </w:r>
    </w:p>
    <w:p w:rsidR="00000000" w:rsidDel="00000000" w:rsidP="00000000" w:rsidRDefault="00000000" w:rsidRPr="00000000" w14:paraId="0000001A">
      <w:pPr>
        <w:spacing w:after="80" w:line="256.8" w:lineRule="auto"/>
        <w:ind w:left="0" w:firstLine="0"/>
        <w:rPr/>
      </w:pPr>
      <w:r w:rsidDel="00000000" w:rsidR="00000000" w:rsidRPr="00000000">
        <w:rPr>
          <w:rtl w:val="0"/>
        </w:rPr>
        <w:t xml:space="preserve">All quantities use only information available strictly before the decision instant (causal, event-driven forward pass). Session parameters are frozen at the 13:30 UTC open from prior-session data.</w:t>
      </w:r>
    </w:p>
    <w:p w:rsidR="00000000" w:rsidDel="00000000" w:rsidP="00000000" w:rsidRDefault="00000000" w:rsidRPr="00000000" w14:paraId="0000001B">
      <w:pPr>
        <w:pStyle w:val="Heading2"/>
        <w:spacing w:after="80" w:line="256.8" w:lineRule="auto"/>
        <w:rPr/>
      </w:pPr>
      <w:bookmarkStart w:colFirst="0" w:colLast="0" w:name="_xd5qxshhj31n" w:id="7"/>
      <w:bookmarkEnd w:id="7"/>
      <w:r w:rsidDel="00000000" w:rsidR="00000000" w:rsidRPr="00000000">
        <w:rPr>
          <w:rtl w:val="0"/>
        </w:rPr>
        <w:br w:type="textWrapping"/>
        <w:t xml:space="preserve">What is a Definition of a Session?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line="256.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ANCHOR/ OPEN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line="256.8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refers to 13:30 UTC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line="256.8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= first 1-minute bar open.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line="256.8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Forced flat at 23:59 UTC which avoids the 00:00 funding. 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line="256.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DECISION MARKS: 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line="256.8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 30 minutes from 14:00 UTC to 23:30 UTC. 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80" w:line="256.8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Signal on the mark-bar close and is filled at the next bar open with a ≤ 5 minute tolerance.</w:t>
      </w:r>
    </w:p>
    <w:p w:rsidR="00000000" w:rsidDel="00000000" w:rsidP="00000000" w:rsidRDefault="00000000" w:rsidRPr="00000000" w14:paraId="00000023">
      <w:pPr>
        <w:spacing w:after="80" w:line="256.8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80" w:line="256.8" w:lineRule="auto"/>
        <w:rPr/>
      </w:pPr>
      <w:bookmarkStart w:colFirst="0" w:colLast="0" w:name="_7kl1jhmyb13d" w:id="8"/>
      <w:bookmarkEnd w:id="8"/>
      <w:commentRangeStart w:id="0"/>
      <w:r w:rsidDel="00000000" w:rsidR="00000000" w:rsidRPr="00000000">
        <w:rPr>
          <w:rtl w:val="0"/>
        </w:rPr>
        <w:t xml:space="preserve">Market Structure (MS - The Noise Area)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strategy first asks: how much does this asset typically drift away from its session-open price, minute by minute, on a normal day? That typical drift is the “noise.” It is estimated as the average absolute move from the open, at each minute-of-session, over the prior N sessions (default N = 14):</w:t>
      </w:r>
    </w:p>
    <w:p w:rsidR="00000000" w:rsidDel="00000000" w:rsidP="00000000" w:rsidRDefault="00000000" w:rsidRPr="00000000" w14:paraId="00000026">
      <w:pPr>
        <w:spacing w:after="80" w:line="256.8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10" w:before="6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81550" cy="1314450"/>
            <wp:effectExtent b="12700" l="12700" r="12700" t="1270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3144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10" w:before="6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10" w:before="60" w:line="240" w:lineRule="auto"/>
        <w:jc w:val="left"/>
        <w:rPr/>
      </w:pPr>
      <w:r w:rsidDel="00000000" w:rsidR="00000000" w:rsidRPr="00000000">
        <w:rPr>
          <w:rtl w:val="0"/>
        </w:rPr>
        <w:t xml:space="preserve">Reading it: for a given minute-of-session t, take each of the last 14 sessions, measure how far that session’s price at minute t had moved from that session’s open (as a percentage, absolute value), and average them. closeⱼ(t) is session j’s price at minute t; openⱼ is session j’s open. A minimum of 10 valid prior sessions is required or no band is drawn.</w:t>
      </w:r>
    </w:p>
    <w:p w:rsidR="00000000" w:rsidDel="00000000" w:rsidP="00000000" w:rsidRDefault="00000000" w:rsidRPr="00000000" w14:paraId="0000002A">
      <w:pPr>
        <w:spacing w:after="80" w:line="256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="256.8" w:lineRule="auto"/>
        <w:rPr/>
      </w:pPr>
      <w:r w:rsidDel="00000000" w:rsidR="00000000" w:rsidRPr="00000000">
        <w:rPr>
          <w:rtl w:val="0"/>
        </w:rPr>
        <w:t xml:space="preserve">Because ranges widen through the day, σ(t) grows as the session progresses — the noise area is a funnel, narrow at the open and flaring out toward the close.</w:t>
      </w:r>
    </w:p>
    <w:p w:rsidR="00000000" w:rsidDel="00000000" w:rsidP="00000000" w:rsidRDefault="00000000" w:rsidRPr="00000000" w14:paraId="0000002C">
      <w:pPr>
        <w:spacing w:after="80" w:line="256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oce69m7dy86i" w:id="9"/>
      <w:bookmarkEnd w:id="9"/>
      <w:r w:rsidDel="00000000" w:rsidR="00000000" w:rsidRPr="00000000">
        <w:rPr>
          <w:rtl w:val="0"/>
        </w:rPr>
        <w:t xml:space="preserve">The Bands (Entry Boundaries)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noise amplitude σ(t) is turned into an upper and lower price boundary around the session. A width multiplier k (default 1.0) scales how far outside the noise a move must break to count as a signal. The boundaries are anchored gap-aware — to the higher of {open, previous close} on top and the lower on the bottom — so an overnight gap does not create false breakouts: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10" w:before="6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571500"/>
            <wp:effectExtent b="12700" l="12700" r="12700" t="127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10" w:before="6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10" w:before="6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673100"/>
            <wp:effectExtent b="12700" l="12700" r="12700" t="1270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10" w:before="6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Reading it: O is the session open, C</w:t>
      </w:r>
      <w:r w:rsidDel="00000000" w:rsidR="00000000" w:rsidRPr="00000000">
        <w:rPr>
          <w:vertAlign w:val="subscript"/>
          <w:rtl w:val="0"/>
        </w:rPr>
        <w:t xml:space="preserve">prev </w:t>
      </w:r>
      <w:r w:rsidDel="00000000" w:rsidR="00000000" w:rsidRPr="00000000">
        <w:rPr>
          <w:rtl w:val="0"/>
        </w:rPr>
        <w:t xml:space="preserve">the prior session’s close. Price inside the band is treated as noise and generates no trades. A close beyond a boundary is a candidate breakout. Raising k widens the band and demands a larger move; lowering k trades more often on smaller moves.</w:t>
      </w:r>
    </w:p>
    <w:p w:rsidR="00000000" w:rsidDel="00000000" w:rsidP="00000000" w:rsidRDefault="00000000" w:rsidRPr="00000000" w14:paraId="00000035">
      <w:pPr>
        <w:spacing w:after="110" w:before="6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10" w:before="60" w:line="240" w:lineRule="auto"/>
        <w:rPr/>
      </w:pPr>
      <w:bookmarkStart w:colFirst="0" w:colLast="0" w:name="_51zaegkq50h0" w:id="10"/>
      <w:bookmarkEnd w:id="10"/>
      <w:r w:rsidDel="00000000" w:rsidR="00000000" w:rsidRPr="00000000">
        <w:rPr>
          <w:rtl w:val="0"/>
        </w:rPr>
        <w:t xml:space="preserve">Volume Confirmation (Entry Filter)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 price breakout alone is not enough — real imbalances arrive with real participation, while thin-volume breakouts are typically stop-runs that reverse. An entry is therefore allowed only if the dollar volume in the window ending at the decision mark exceeds K times its own recent norm (default K = 2.0, i.e. twice the typical volume for that time of day):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00700" cy="1419225"/>
            <wp:effectExtent b="12700" l="12700" r="12700" t="127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4192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Reading it: V</w:t>
      </w:r>
      <w:r w:rsidDel="00000000" w:rsidR="00000000" w:rsidRPr="00000000">
        <w:rPr>
          <w:vertAlign w:val="subscript"/>
          <w:rtl w:val="0"/>
        </w:rPr>
        <w:t xml:space="preserve">win</w:t>
      </w:r>
      <w:r w:rsidDel="00000000" w:rsidR="00000000" w:rsidRPr="00000000">
        <w:rPr>
          <w:rtl w:val="0"/>
        </w:rPr>
        <w:t xml:space="preserve">(m) is the dollar volume in the 30-minute window ending at mark m; the right-hand side is K times the average of that same window across the prior N sessions. This single filter removes roughly 59% of trades and nearly tripled gross edge per trade in testing. Setting K = 0 disables it.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4ckqwmcorvtz" w:id="11"/>
      <w:bookmarkEnd w:id="11"/>
      <w:r w:rsidDel="00000000" w:rsidR="00000000" w:rsidRPr="00000000">
        <w:rPr>
          <w:rtl w:val="0"/>
        </w:rPr>
        <w:t xml:space="preserve">VWAP (Used by the Dynamic Stop)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 intraday volume-weighted average price is the running fair-value reference the trailing stop leans on. It is computed from the session open up to the current bar: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829300" cy="1590675"/>
            <wp:effectExtent b="12700" l="12700" r="12700" t="1270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5906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Reading it: p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is each bar’s typical price (high+low+close over 3), v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its volume; the sum runs from the session open to now. VWAP rising under a long position is confirmation; price falling back through it is the exit trigger below.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qnln5lfugdg1" w:id="12"/>
      <w:bookmarkEnd w:id="12"/>
      <w:r w:rsidDel="00000000" w:rsidR="00000000" w:rsidRPr="00000000">
        <w:rPr>
          <w:rtl w:val="0"/>
        </w:rPr>
        <w:t xml:space="preserve">Exits (Dynamic Stop, Catastrophic Stop, Take Profit)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There are three ways a position closes (besides the forced 23:59 flat). First, the dynamic trailing stop — for a long, exit when price falls back below the higher of VWAP and the lower band: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14400"/>
            <wp:effectExtent b="12700" l="12700" r="12700" t="1270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Second, a continuous intrabar catastrophic stop — a hard disaster brake checked every minute (not just at marks), set a fixed distance below entry (default 400 bps):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57800" cy="1200150"/>
            <wp:effectExtent b="12700" l="12700" r="12700" t="127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001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Reading it: stop_bps is the distance in basis points (400 = 4%). Its job is tail insurance — bounding the rare −600 to −1,000 bps gap — not improving returns. Excursion analysis showed a 400–500 bps level clips disasters while pre-empting under 11% of the big winners that carry the edge; tighter stops (≤200 bps) would gut 25%+ of big winners and are rejected.</w:t>
      </w:r>
    </w:p>
    <w:p w:rsidR="00000000" w:rsidDel="00000000" w:rsidP="00000000" w:rsidRDefault="00000000" w:rsidRPr="00000000" w14:paraId="0000004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/>
      </w:pPr>
      <w:r w:rsidDel="00000000" w:rsidR="00000000" w:rsidRPr="00000000">
        <w:rPr>
          <w:rtl w:val="0"/>
        </w:rPr>
        <w:t xml:space="preserve">Third, the take-profit. Deliberately, there is none. 96% of profit historically comes from the top ~50 trades (extreme positive skew, kurtosis above 100). A take-profit amputates exactly that right tail, so winners are instead held to the 23:59 forced close.</w:t>
      </w:r>
    </w:p>
    <w:p w:rsidR="00000000" w:rsidDel="00000000" w:rsidP="00000000" w:rsidRDefault="00000000" w:rsidRPr="00000000" w14:paraId="0000005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sgy2kstaegx1" w:id="13"/>
      <w:bookmarkEnd w:id="13"/>
      <w:r w:rsidDel="00000000" w:rsidR="00000000" w:rsidRPr="00000000">
        <w:rPr>
          <w:rtl w:val="0"/>
        </w:rPr>
        <w:t xml:space="preserve">Position Sizing (Fixed-Fractional Risk)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Every position is sized so that hitting the catastrophic stop costs a fixed, small fraction of equity. The position notional is the risk budget divided by the stop distance, capped by maximum leverage: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3100"/>
            <wp:effectExtent b="12700" l="12700" r="12700" t="127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Reading it: RISK_FRAC is the fraction of equity risked per trade (default 0.0001 = 0.01%), stop_dist the catastrophic-stop distance as a fraction (400 bps = 0.04), MAX_LEV the leverage ceiling (20×). Worked example at $100k equity: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49300"/>
            <wp:effectExtent b="12700" l="12700" r="12700" t="1270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So a 0.01%-risk trade with a 400 bps stop takes a 0.25% notional position; if the stop is hit, the loss is 0.01% of equity by construction. RISK_FRAC and MAX_LEV are risk-budget choices set from limits, not parameters tuned on backtest returns. The small default fraction is deliberate for a many-position all-perps book, where aggregate (not per-trade) risk should carry normal size.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Important Note on Realistic Fills: The catastrophic stop uses conservative fills (worse of {stop, bar close} on gap-through), so sizing is computed off the NOMINAL stop distance and gap-through trades can realize more than RISK_FRAC. Measured realized risk: median 0.39× nominal, 99th percentile 1.45×, worst single trade 18.7× (one 6-year gap event). Reported, not assumed away.</w:t>
      </w:r>
    </w:p>
    <w:p w:rsidR="00000000" w:rsidDel="00000000" w:rsidP="00000000" w:rsidRDefault="00000000" w:rsidRPr="00000000" w14:paraId="0000005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bfaabm3nhtvr" w:id="14"/>
      <w:bookmarkEnd w:id="14"/>
      <w:r w:rsidDel="00000000" w:rsidR="00000000" w:rsidRPr="00000000">
        <w:rPr>
          <w:rtl w:val="0"/>
        </w:rPr>
        <w:t xml:space="preserve">Filters Used to Avoid Poor Trades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Volume Confirmation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News Blackout - No trades are made on all assets on the day CPI, FOMC, and NFP news are released.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>
          <w:rFonts w:ascii="Calibri" w:cs="Calibri" w:eastAsia="Calibri" w:hAnsi="Calibri"/>
          <w:color w:val="2e74b5"/>
          <w:sz w:val="32"/>
          <w:szCs w:val="32"/>
        </w:rPr>
      </w:pPr>
      <w:bookmarkStart w:colFirst="0" w:colLast="0" w:name="_c7xvjbg0xm43" w:id="15"/>
      <w:bookmarkEnd w:id="15"/>
      <w:r w:rsidDel="00000000" w:rsidR="00000000" w:rsidRPr="00000000">
        <w:rPr>
          <w:rtl w:val="0"/>
        </w:rPr>
        <w:t xml:space="preserve">03A - Backtesting and Research (Taker Execution)</w:t>
      </w:r>
      <w:r w:rsidDel="00000000" w:rsidR="00000000" w:rsidRPr="00000000">
        <w:rPr>
          <w:rtl w:val="0"/>
        </w:rPr>
      </w:r>
    </w:p>
    <w:tbl>
      <w:tblPr>
        <w:tblStyle w:val="Table1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7150"/>
        <w:tblGridChange w:id="0">
          <w:tblGrid>
            <w:gridCol w:w="2350"/>
            <w:gridCol w:w="715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63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64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65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Backtest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66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Jul 2020 – Jul 2026 (Binance, full cycle); Oct 2023 – Jul 2026 (Blofin, independent replication).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67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Data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68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Binance Vision official archives (1-min klines + funding), single source, integrity-audited; independently replicated on Blofin.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69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Sample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6A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 to 741 assets; ~2,100 active session-dates; 84k trades (all-perps sized run).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6B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Transaction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6C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Taker 2 bps/side assumed (to be replaced by actual venue tier — open item).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6D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Slippage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6E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 bps/side base; stress +1/+2/+4; catastrophic-stop fills modelled worse-than-touch.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6F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Methodology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70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Pre-registered: frozen spec + anti-bias suite BEFORE results; single trial per hypothesis; append-only registry; deflated-Sharpe accounting.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120"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after="90" w:before="200" w:line="240" w:lineRule="auto"/>
        <w:rPr/>
      </w:pPr>
      <w:bookmarkStart w:colFirst="0" w:colLast="0" w:name="_a8vsd9l6x13f" w:id="16"/>
      <w:bookmarkEnd w:id="16"/>
      <w:r w:rsidDel="00000000" w:rsidR="00000000" w:rsidRPr="00000000">
        <w:rPr>
          <w:rtl w:val="0"/>
        </w:rPr>
        <w:t xml:space="preserve">Research Phases (all pre-registered)</w:t>
      </w:r>
    </w:p>
    <w:tbl>
      <w:tblPr>
        <w:tblStyle w:val="Table2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50"/>
        <w:gridCol w:w="4450"/>
        <w:gridCol w:w="2000"/>
        <w:tblGridChange w:id="0">
          <w:tblGrid>
            <w:gridCol w:w="3050"/>
            <w:gridCol w:w="4450"/>
            <w:gridCol w:w="20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73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Phase / 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74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 (net of costs)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75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Verdict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76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1. Frozen spec, full universe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77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Pooled Sharpe ≈ −0.9; gross ~2 bps/side &lt;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78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79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2. Per-asset walk-forward (grid)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7A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OOS Sharpe +0.86 (t≈1.3)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7B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Improved, unconfirmed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7C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3. Cross-sectional market-neutral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7D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Sharpe −0.23; real 13.2 bps/day spread &lt;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7E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7F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4. Volume-confirmed entries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80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Paired t=3.4; net −0.94→−0.38 (≤0)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81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Mechanism valid, econ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82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+ News blackout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83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+~0.2 Sharpe cross-venue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84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Valid. Recent returns are negative.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85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+ Catastrophic stop + fixed-risk sizing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86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Sharpe +0.46 all-perps (t=1.10), risk governor 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87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Deployable config, forward-test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120"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after="90" w:before="200" w:line="240" w:lineRule="auto"/>
        <w:rPr/>
      </w:pPr>
      <w:bookmarkStart w:colFirst="0" w:colLast="0" w:name="_icz6fzvv3lq4" w:id="17"/>
      <w:bookmarkEnd w:id="17"/>
      <w:r w:rsidDel="00000000" w:rsidR="00000000" w:rsidRPr="00000000">
        <w:rPr>
          <w:rtl w:val="0"/>
        </w:rPr>
        <w:t xml:space="preserve">Performance — final configuration (all-perps, 0.01% risk/trade, 400bps stop, 2020–2026)</w:t>
      </w:r>
    </w:p>
    <w:tbl>
      <w:tblPr>
        <w:tblStyle w:val="Table3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0"/>
        <w:gridCol w:w="2200"/>
        <w:gridCol w:w="2550"/>
        <w:gridCol w:w="2200"/>
        <w:tblGridChange w:id="0">
          <w:tblGrid>
            <w:gridCol w:w="2550"/>
            <w:gridCol w:w="2200"/>
            <w:gridCol w:w="2550"/>
            <w:gridCol w:w="22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8A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8B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8C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8D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8E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Sharpe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8F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+0.46 (t 1.10)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90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Max drawdown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91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−9.1%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92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Sortino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93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+1.07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94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Day win-rate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95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43.3%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96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Calmar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97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+0.35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98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Trade win-rate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99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44.7%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9A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CAGR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9B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+3.2%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9C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Trades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9D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83,777 / 741 assets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9E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Ann. vol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9F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8.4%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A0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Stopped trades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A1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12.9%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A2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Final equity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A3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1.225× (6.5y)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A4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Realized risk (med/99th/max)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A5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0.39× / 1.45× / 18.7×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120"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spacing w:after="120" w:line="264" w:lineRule="auto"/>
        <w:rPr/>
      </w:pPr>
      <w:bookmarkStart w:colFirst="0" w:colLast="0" w:name="_2w61b09kz7ow" w:id="18"/>
      <w:bookmarkEnd w:id="18"/>
      <w:r w:rsidDel="00000000" w:rsidR="00000000" w:rsidRPr="00000000">
        <w:rPr>
          <w:rtl w:val="0"/>
        </w:rPr>
        <w:t xml:space="preserve">03B - Backtesting and Research (Maker Execution)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>
      <w:pPr>
        <w:spacing w:after="120" w:line="276" w:lineRule="auto"/>
      </w:pPr>
      <w:r>
        <w:rPr>
          <w:rFonts w:ascii="Calibri" w:hAnsi="Calibri"/>
          <w:b/>
          <w:sz w:val="18"/>
        </w:rPr>
        <w:t xml:space="preserve">This section tests whether earning the exchange maker rebate on entry, instead of paying taker, improves the strategy's economics. </w:t>
      </w:r>
      <w:r>
        <w:rPr>
          <w:rFonts w:ascii="Calibri" w:hAnsi="Calibri"/>
          <w:sz w:val="18"/>
        </w:rPr>
        <w:t>Important framing: the winning configuration here is a DIFFERENT STRATEGY from §03A — it adds a breakout-confirmation entry layer (position entered only after price confirms the breakout by a few basis points, via a resting limit order, rather than at the signal bar). Results are therefore not directly comparable to the taker system above; they describe a modified entry mechanic. Walk-forward, per-asset, Binance 2020–2026, 541–547 assets. All exits and stops remain taker.</w:t>
      </w:r>
    </w:p>
    <w:p>
      <w:pPr>
        <w:pStyle w:val="Heading3"/>
      </w:pPr>
      <w:r>
        <w:rPr>
          <w:rFonts w:ascii="Calibri" w:hAnsi="Calibri"/>
        </w:rPr>
        <w:t>Entry Styles Tested</w:t>
      </w:r>
    </w:p>
    <w:p>
      <w:pPr>
        <w:spacing w:after="80" w:line="276" w:lineRule="auto"/>
      </w:pPr>
      <w:r>
        <w:rPr>
          <w:rFonts w:ascii="Calibri" w:hAnsi="Calibri"/>
          <w:b/>
          <w:sz w:val="18"/>
        </w:rPr>
        <w:t xml:space="preserve">•  </w:t>
      </w:r>
      <w:r>
        <w:rPr>
          <w:rFonts w:ascii="Calibri" w:hAnsi="Calibri"/>
          <w:b/>
          <w:sz w:val="18"/>
        </w:rPr>
        <w:t xml:space="preserve">Style A — passive pullback (true maker rebate): </w:t>
      </w:r>
      <w:r>
        <w:rPr>
          <w:rFonts w:ascii="Calibri" w:hAnsi="Calibri"/>
          <w:sz w:val="18"/>
        </w:rPr>
        <w:t>limit rests on the near side; fills only if price retraces; earns +1 bps. Misses breakouts that never retrace.</w:t>
      </w:r>
    </w:p>
    <w:p>
      <w:pPr>
        <w:spacing w:after="80" w:line="276" w:lineRule="auto"/>
      </w:pPr>
      <w:r>
        <w:rPr>
          <w:rFonts w:ascii="Calibri" w:hAnsi="Calibri"/>
          <w:b/>
          <w:sz w:val="18"/>
        </w:rPr>
        <w:t xml:space="preserve">•  </w:t>
      </w:r>
      <w:r>
        <w:rPr>
          <w:rFonts w:ascii="Calibri" w:hAnsi="Calibri"/>
          <w:b/>
          <w:sz w:val="18"/>
        </w:rPr>
        <w:t xml:space="preserve">Style B — breakout confirmation (taker): </w:t>
      </w:r>
      <w:r>
        <w:rPr>
          <w:rFonts w:ascii="Calibri" w:hAnsi="Calibri"/>
          <w:sz w:val="18"/>
        </w:rPr>
        <w:t>stop-limit on the far side; fills only if price continues past the breakout. A far-side resting order is marketable, so B pays taker — modelled that way so it cannot fabricate rebate edge.</w:t>
      </w:r>
    </w:p>
    <w:p>
      <w:pPr>
        <w:spacing w:after="80" w:line="276" w:lineRule="auto"/>
      </w:pPr>
      <w:r>
        <w:rPr>
          <w:rFonts w:ascii="Calibri" w:hAnsi="Calibri"/>
          <w:b/>
          <w:sz w:val="18"/>
        </w:rPr>
        <w:t xml:space="preserve">•  </w:t>
      </w:r>
      <w:r>
        <w:rPr>
          <w:rFonts w:ascii="Calibri" w:hAnsi="Calibri"/>
          <w:b/>
          <w:sz w:val="18"/>
        </w:rPr>
        <w:t xml:space="preserve">Style C — confirm-then-passive-maker (rebate): </w:t>
      </w:r>
      <w:r>
        <w:rPr>
          <w:rFonts w:ascii="Calibri" w:hAnsi="Calibri"/>
          <w:sz w:val="18"/>
        </w:rPr>
        <w:t>waits for the same confirmation as B (+5 bps), then posts a passive limit +3 bps beyond it, filling as momentum continues and earning +1 bps. The best configuration — and the one with the added confirmation layer.</w:t>
      </w:r>
    </w:p>
    <w:p>
      <w:pPr>
        <w:pStyle w:val="Heading3"/>
      </w:pPr>
      <w:r>
        <w:rPr>
          <w:rFonts w:ascii="Calibri" w:hAnsi="Calibri"/>
        </w:rPr>
        <w:t>Results — Entry-Style Comparison (walk-forward, pre-sizing)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fill="1F386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6"/>
              </w:rPr>
              <w:t>Entry style</w:t>
            </w:r>
          </w:p>
        </w:tc>
        <w:tc>
          <w:tcPr>
            <w:tcW w:type="dxa" w:w="1170"/>
            <w:shd w:val="clear" w:fill="1F386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6"/>
              </w:rPr>
              <w:t>Sharpe</w:t>
            </w:r>
          </w:p>
        </w:tc>
        <w:tc>
          <w:tcPr>
            <w:tcW w:type="dxa" w:w="1170"/>
            <w:shd w:val="clear" w:fill="1F386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6"/>
              </w:rPr>
              <w:t>t</w:t>
            </w:r>
          </w:p>
        </w:tc>
        <w:tc>
          <w:tcPr>
            <w:tcW w:type="dxa" w:w="1170"/>
            <w:shd w:val="clear" w:fill="1F386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6"/>
              </w:rPr>
              <w:t>Ann.</w:t>
            </w:r>
          </w:p>
        </w:tc>
        <w:tc>
          <w:tcPr>
            <w:tcW w:type="dxa" w:w="1170"/>
            <w:shd w:val="clear" w:fill="1F386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6"/>
              </w:rPr>
              <w:t>Fill</w:t>
            </w:r>
          </w:p>
        </w:tc>
        <w:tc>
          <w:tcPr>
            <w:tcW w:type="dxa" w:w="1170"/>
            <w:shd w:val="clear" w:fill="1F386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6"/>
              </w:rPr>
              <w:t>Entry cost</w:t>
            </w:r>
          </w:p>
        </w:tc>
        <w:tc>
          <w:tcPr>
            <w:tcW w:type="dxa" w:w="1170"/>
            <w:shd w:val="clear" w:fill="1F386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6"/>
              </w:rPr>
              <w:t>2025</w:t>
            </w:r>
          </w:p>
        </w:tc>
        <w:tc>
          <w:tcPr>
            <w:tcW w:type="dxa" w:w="1170"/>
            <w:shd w:val="clear" w:fill="1F386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6"/>
              </w:rPr>
              <w:t>2026</w:t>
            </w:r>
          </w:p>
        </w:tc>
      </w:tr>
      <w:tr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A — maker pullback</w:t>
            </w:r>
          </w:p>
        </w:tc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+0.29</w:t>
            </w:r>
          </w:p>
        </w:tc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+0.71</w:t>
            </w:r>
          </w:p>
        </w:tc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+4.0%</w:t>
            </w:r>
          </w:p>
        </w:tc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93%</w:t>
            </w:r>
          </w:p>
        </w:tc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+1bps reb</w:t>
            </w:r>
          </w:p>
        </w:tc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+1.19</w:t>
            </w:r>
          </w:p>
        </w:tc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−2.67</w:t>
            </w:r>
          </w:p>
        </w:tc>
      </w:tr>
      <w:tr>
        <w:tc>
          <w:tcPr>
            <w:tcW w:type="dxa" w:w="1170"/>
            <w:shd w:val="clear" w:fill="F0F3F8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B — confirm (taker)</w:t>
            </w:r>
          </w:p>
        </w:tc>
        <w:tc>
          <w:tcPr>
            <w:tcW w:type="dxa" w:w="1170"/>
            <w:shd w:val="clear" w:fill="F0F3F8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+1.05</w:t>
            </w:r>
          </w:p>
        </w:tc>
        <w:tc>
          <w:tcPr>
            <w:tcW w:type="dxa" w:w="1170"/>
            <w:shd w:val="clear" w:fill="F0F3F8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+2.57</w:t>
            </w:r>
          </w:p>
        </w:tc>
        <w:tc>
          <w:tcPr>
            <w:tcW w:type="dxa" w:w="1170"/>
            <w:shd w:val="clear" w:fill="F0F3F8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+14.7%</w:t>
            </w:r>
          </w:p>
        </w:tc>
        <w:tc>
          <w:tcPr>
            <w:tcW w:type="dxa" w:w="1170"/>
            <w:shd w:val="clear" w:fill="F0F3F8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91%</w:t>
            </w:r>
          </w:p>
        </w:tc>
        <w:tc>
          <w:tcPr>
            <w:tcW w:type="dxa" w:w="1170"/>
            <w:shd w:val="clear" w:fill="F0F3F8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−2bps tkr</w:t>
            </w:r>
          </w:p>
        </w:tc>
        <w:tc>
          <w:tcPr>
            <w:tcW w:type="dxa" w:w="1170"/>
            <w:shd w:val="clear" w:fill="F0F3F8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+1.69</w:t>
            </w:r>
          </w:p>
        </w:tc>
        <w:tc>
          <w:tcPr>
            <w:tcW w:type="dxa" w:w="1170"/>
            <w:shd w:val="clear" w:fill="F0F3F8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−1.39</w:t>
            </w:r>
          </w:p>
        </w:tc>
      </w:tr>
      <w:tr>
        <w:tc>
          <w:tcPr>
            <w:tcW w:type="dxa" w:w="1170"/>
            <w:shd w:val="clear" w:fill="E3EFE7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C — confirm + maker</w:t>
            </w:r>
          </w:p>
        </w:tc>
        <w:tc>
          <w:tcPr>
            <w:tcW w:type="dxa" w:w="1170"/>
            <w:shd w:val="clear" w:fill="E3EFE7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+1.17</w:t>
            </w:r>
          </w:p>
        </w:tc>
        <w:tc>
          <w:tcPr>
            <w:tcW w:type="dxa" w:w="1170"/>
            <w:shd w:val="clear" w:fill="E3EFE7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+2.87</w:t>
            </w:r>
          </w:p>
        </w:tc>
        <w:tc>
          <w:tcPr>
            <w:tcW w:type="dxa" w:w="1170"/>
            <w:shd w:val="clear" w:fill="E3EFE7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+16.6%</w:t>
            </w:r>
          </w:p>
        </w:tc>
        <w:tc>
          <w:tcPr>
            <w:tcW w:type="dxa" w:w="1170"/>
            <w:shd w:val="clear" w:fill="E3EFE7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89%</w:t>
            </w:r>
          </w:p>
        </w:tc>
        <w:tc>
          <w:tcPr>
            <w:tcW w:type="dxa" w:w="1170"/>
            <w:shd w:val="clear" w:fill="E3EFE7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+1bps reb</w:t>
            </w:r>
          </w:p>
        </w:tc>
        <w:tc>
          <w:tcPr>
            <w:tcW w:type="dxa" w:w="1170"/>
            <w:shd w:val="clear" w:fill="E3EFE7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+1.74</w:t>
            </w:r>
          </w:p>
        </w:tc>
        <w:tc>
          <w:tcPr>
            <w:tcW w:type="dxa" w:w="1170"/>
            <w:shd w:val="clear" w:fill="E3EFE7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−1.16</w:t>
            </w:r>
          </w:p>
        </w:tc>
      </w:tr>
    </w:tbl>
    <w:p>
      <w:pPr>
        <w:spacing w:after="120" w:line="276" w:lineRule="auto"/>
      </w:pPr>
      <w:r>
        <w:rPr>
          <w:rFonts w:ascii="Calibri" w:hAnsi="Calibri"/>
          <w:b/>
          <w:sz w:val="18"/>
        </w:rPr>
        <w:t xml:space="preserve">Offset robustness (Style B): </w:t>
      </w:r>
      <w:r>
        <w:rPr>
          <w:rFonts w:ascii="Calibri" w:hAnsi="Calibri"/>
          <w:sz w:val="18"/>
        </w:rPr>
        <w:t>Sharpe +1.13 / +1.05 / +1.02 at confirmation offsets 3 / 5 / 8 bps — barely moves, so not an artifact of one tuned value.</w:t>
      </w:r>
    </w:p>
    <w:p>
      <w:pPr>
        <w:pStyle w:val="Heading3"/>
      </w:pPr>
      <w:r>
        <w:rPr>
          <w:rFonts w:ascii="Calibri" w:hAnsi="Calibri"/>
        </w:rPr>
        <w:t>What This Shows</w:t>
      </w:r>
    </w:p>
    <w:p>
      <w:pPr>
        <w:spacing w:after="120" w:line="276" w:lineRule="auto"/>
      </w:pPr>
      <w:r>
        <w:rPr>
          <w:rFonts w:ascii="Calibri" w:hAnsi="Calibri"/>
          <w:b/>
          <w:color w:val="9C1F1F"/>
          <w:sz w:val="18"/>
        </w:rPr>
        <w:t xml:space="preserve">The maker rebate does not rescue the strategy. </w:t>
      </w:r>
      <w:r>
        <w:rPr>
          <w:rFonts w:ascii="Calibri" w:hAnsi="Calibri"/>
          <w:sz w:val="18"/>
        </w:rPr>
        <w:t>Style A — the true passive-rebate entry — is indistinguishable from zero (+0.29, t=0.71).</w:t>
      </w:r>
    </w:p>
    <w:p>
      <w:pPr>
        <w:spacing w:after="120" w:line="276" w:lineRule="auto"/>
      </w:pPr>
      <w:r>
        <w:rPr>
          <w:rFonts w:ascii="Calibri" w:hAnsi="Calibri"/>
          <w:b/>
          <w:color w:val="1D6B45"/>
          <w:sz w:val="18"/>
        </w:rPr>
        <w:t xml:space="preserve">What works is the entry timing (a new layer), not the fee. </w:t>
      </w:r>
      <w:r>
        <w:rPr>
          <w:rFonts w:ascii="Calibri" w:hAnsi="Calibri"/>
          <w:sz w:val="18"/>
        </w:rPr>
        <w:t>Requiring confirmation before entering (B and C) is the improvement, and it works even at full taker cost. This confirmation step is an ADDITION to §03A — a different, more selective entry — so B/C are a strategy variant, not the same system re-priced.</w:t>
      </w:r>
    </w:p>
    <w:p>
      <w:pPr>
        <w:spacing w:after="120" w:line="276" w:lineRule="auto"/>
      </w:pPr>
      <w:r>
        <w:rPr>
          <w:rFonts w:ascii="Calibri" w:hAnsi="Calibri"/>
          <w:b/>
          <w:sz w:val="18"/>
        </w:rPr>
        <w:t xml:space="preserve">The rebate then adds cleanly on top. </w:t>
      </w:r>
      <w:r>
        <w:rPr>
          <w:rFonts w:ascii="Calibri" w:hAnsi="Calibri"/>
          <w:sz w:val="18"/>
        </w:rPr>
        <w:t>Style C keeps the confirmation but posts entry as a passive limit — retaining 89% of fills while turning 2 bps taker cost into a +1 bps rebate (a 3 bps/trade swing on the cost gap). Walk-forward Sharpe +1.17, the best in the study.</w:t>
      </w:r>
    </w:p>
    <w:p>
      <w:pPr>
        <w:pStyle w:val="Heading3"/>
      </w:pPr>
      <w:r>
        <w:rPr>
          <w:rFonts w:ascii="Calibri" w:hAnsi="Calibri"/>
        </w:rPr>
        <w:t>Deployable Style C — After Position Sizing &amp; Catastrophic Stop</w:t>
      </w:r>
    </w:p>
    <w:p>
      <w:pPr>
        <w:spacing w:after="120" w:line="276" w:lineRule="auto"/>
      </w:pPr>
      <w:r>
        <w:rPr>
          <w:rFonts w:ascii="Calibri" w:hAnsi="Calibri"/>
          <w:sz w:val="18"/>
        </w:rPr>
        <w:t>Applying the §03A risk framework (0.01% risk/trade, 400 bps catastrophic stop, 20× cap) to the Style-C machine gives the deployable curve. As with the taker system, fixed-risk sizing equalizes trade influence and lowers the headline Sharpe from the walk-forward figure — sizing changes the risk profile, not the edge: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1F386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340"/>
            <w:shd w:val="clear" w:fill="1F386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6"/>
              </w:rPr>
              <w:t>Value</w:t>
            </w:r>
          </w:p>
        </w:tc>
        <w:tc>
          <w:tcPr>
            <w:tcW w:type="dxa" w:w="2340"/>
            <w:shd w:val="clear" w:fill="1F386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340"/>
            <w:shd w:val="clear" w:fill="1F386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Sharpe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+0.65 (t 1.59)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Max drawdown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−14.5%</w:t>
            </w:r>
          </w:p>
        </w:tc>
      </w:tr>
      <w:tr>
        <w:tc>
          <w:tcPr>
            <w:tcW w:type="dxa" w:w="2340"/>
            <w:shd w:val="clear" w:fill="F0F3F8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Sortino</w:t>
            </w:r>
          </w:p>
        </w:tc>
        <w:tc>
          <w:tcPr>
            <w:tcW w:type="dxa" w:w="2340"/>
            <w:shd w:val="clear" w:fill="F0F3F8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+1.68</w:t>
            </w:r>
          </w:p>
        </w:tc>
        <w:tc>
          <w:tcPr>
            <w:tcW w:type="dxa" w:w="2340"/>
            <w:shd w:val="clear" w:fill="F0F3F8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CAGR</w:t>
            </w:r>
          </w:p>
        </w:tc>
        <w:tc>
          <w:tcPr>
            <w:tcW w:type="dxa" w:w="2340"/>
            <w:shd w:val="clear" w:fill="F0F3F8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+7.0%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Calmar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+0.48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Realized risk (med/99th/max)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0.31× / 1.11× / 10.9×</w:t>
            </w:r>
          </w:p>
        </w:tc>
      </w:tr>
    </w:tbl>
    <w:p>
      <w:pPr>
        <w:spacing w:after="120" w:line="276" w:lineRule="auto"/>
      </w:pPr>
      <w:r>
        <w:rPr>
          <w:rFonts w:ascii="Calibri" w:hAnsi="Calibri"/>
          <w:b/>
          <w:sz w:val="18"/>
        </w:rPr>
        <w:t xml:space="preserve">Deployable yearly Sharpe: </w:t>
      </w:r>
      <w:r>
        <w:rPr>
          <w:rFonts w:ascii="Calibri" w:hAnsi="Calibri"/>
          <w:sz w:val="18"/>
        </w:rPr>
        <w:t>2020 +0.58 · 2021 −0.76 · 2022 +2.05 · 2023 −0.09 · 2024 +0.76 · 2025 +1.49 (+36%) · 2026 −1.56. Final equity 1.50× over six years; 137,014 trades / 541 assets; realized risk well-controlled (median 0.31× nominal, worst gap-through 10.9× — cleaner than the taker system's 18.7×).</w:t>
      </w:r>
    </w:p>
    <w:p>
      <w:pPr>
        <w:pStyle w:val="Heading3"/>
      </w:pPr>
      <w:r>
        <w:rPr>
          <w:rFonts w:ascii="Calibri" w:hAnsi="Calibri"/>
        </w:rPr>
        <w:t>Caveats — Required Before Treating This as a Headline</w:t>
      </w:r>
    </w:p>
    <w:p>
      <w:pPr>
        <w:spacing w:after="80" w:line="276" w:lineRule="auto"/>
      </w:pPr>
      <w:r>
        <w:rPr>
          <w:rFonts w:ascii="Calibri" w:hAnsi="Calibri"/>
          <w:b/>
          <w:sz w:val="18"/>
        </w:rPr>
        <w:t xml:space="preserve">•  </w:t>
      </w:r>
      <w:r>
        <w:rPr>
          <w:rFonts w:ascii="Calibri" w:hAnsi="Calibri"/>
          <w:b/>
          <w:sz w:val="18"/>
        </w:rPr>
        <w:t xml:space="preserve">Different strategy (confirmation layer). </w:t>
      </w:r>
      <w:r>
        <w:rPr>
          <w:rFonts w:ascii="Calibri" w:hAnsi="Calibri"/>
          <w:sz w:val="18"/>
        </w:rPr>
        <w:t>Styles B/C add a breakout-confirmation entry not in §03A. The +0.65 sized Sharpe is not an apples-to-apples improvement over §03A (+0.46) but the result of a modified entry mechanic.</w:t>
      </w:r>
    </w:p>
    <w:p>
      <w:pPr>
        <w:spacing w:after="80" w:line="276" w:lineRule="auto"/>
      </w:pPr>
      <w:r>
        <w:rPr>
          <w:rFonts w:ascii="Calibri" w:hAnsi="Calibri"/>
          <w:b/>
          <w:sz w:val="18"/>
        </w:rPr>
        <w:t xml:space="preserve">•  </w:t>
      </w:r>
      <w:r>
        <w:rPr>
          <w:rFonts w:ascii="Calibri" w:hAnsi="Calibri"/>
          <w:b/>
          <w:sz w:val="18"/>
        </w:rPr>
        <w:t xml:space="preserve">Not yet deflated. </w:t>
      </w:r>
      <w:r>
        <w:rPr>
          <w:rFonts w:ascii="Calibri" w:hAnsi="Calibri"/>
          <w:sz w:val="18"/>
        </w:rPr>
        <w:t>Walk-forward t=2.87 is on the closed data that trained the machine, across a 216-combo grid. Deflation has repeatedly cut raw t≈2.5 toward 0.5–0.7 in this study; not significance until deflated.</w:t>
      </w:r>
    </w:p>
    <w:p>
      <w:pPr>
        <w:spacing w:after="80" w:line="276" w:lineRule="auto"/>
      </w:pPr>
      <w:r>
        <w:rPr>
          <w:rFonts w:ascii="Calibri" w:hAnsi="Calibri"/>
          <w:b/>
          <w:sz w:val="18"/>
        </w:rPr>
        <w:t xml:space="preserve">•  </w:t>
      </w:r>
      <w:r>
        <w:rPr>
          <w:rFonts w:ascii="Calibri" w:hAnsi="Calibri"/>
          <w:b/>
          <w:sz w:val="18"/>
        </w:rPr>
        <w:t xml:space="preserve">C's offset-robustness confirmed only for B. </w:t>
      </w:r>
      <w:r>
        <w:rPr>
          <w:rFonts w:ascii="Calibri" w:hAnsi="Calibri"/>
          <w:sz w:val="18"/>
        </w:rPr>
        <w:t>B held across 3/5/8 bps; C ran at one setting. C at maker-offset 1 and 5 is still needed.</w:t>
      </w:r>
    </w:p>
    <w:p>
      <w:pPr>
        <w:spacing w:after="80" w:line="276" w:lineRule="auto"/>
      </w:pPr>
      <w:r>
        <w:rPr>
          <w:rFonts w:ascii="Calibri" w:hAnsi="Calibri"/>
          <w:b/>
          <w:sz w:val="18"/>
        </w:rPr>
        <w:t xml:space="preserve">•  </w:t>
      </w:r>
      <w:r>
        <w:rPr>
          <w:rFonts w:ascii="Calibri" w:hAnsi="Calibri"/>
          <w:b/>
          <w:sz w:val="18"/>
        </w:rPr>
        <w:t xml:space="preserve">2026 still negative (−1.56). </w:t>
      </w:r>
      <w:r>
        <w:rPr>
          <w:rFonts w:ascii="Calibri" w:hAnsi="Calibri"/>
          <w:sz w:val="18"/>
        </w:rPr>
        <w:t>Execution improvements soften but do not fix the regime — confirmed across seven mechanisms.</w:t>
      </w:r>
    </w:p>
    <w:p>
      <w:pPr>
        <w:spacing w:after="80" w:line="276" w:lineRule="auto"/>
      </w:pPr>
      <w:r>
        <w:rPr>
          <w:rFonts w:ascii="Calibri" w:hAnsi="Calibri"/>
          <w:b/>
          <w:sz w:val="18"/>
        </w:rPr>
        <w:t xml:space="preserve">•  </w:t>
      </w:r>
      <w:r>
        <w:rPr>
          <w:rFonts w:ascii="Calibri" w:hAnsi="Calibri"/>
          <w:b/>
          <w:sz w:val="18"/>
        </w:rPr>
        <w:t xml:space="preserve">In-sample estimate, not proof. </w:t>
      </w:r>
      <w:r>
        <w:rPr>
          <w:rFonts w:ascii="Calibri" w:hAnsi="Calibri"/>
          <w:sz w:val="18"/>
        </w:rPr>
        <w:t>All figures are on the training data — an optimistic bound. Only a forward test confirms.</w:t>
      </w:r>
    </w:p>
    <w:p w:rsidR="00000000" w:rsidDel="00000000" w:rsidP="00000000" w:rsidRDefault="00000000" w:rsidRPr="00000000" w14:paraId="000000AB">
      <w:pPr>
        <w:pStyle w:val="Heading1"/>
        <w:spacing w:after="120" w:line="264" w:lineRule="auto"/>
        <w:rPr/>
      </w:pPr>
      <w:bookmarkStart w:colFirst="0" w:colLast="0" w:name="_6q2xyk1c03ot" w:id="19"/>
      <w:bookmarkEnd w:id="19"/>
      <w:r w:rsidDel="00000000" w:rsidR="00000000" w:rsidRPr="00000000">
        <w:rPr>
          <w:rtl w:val="0"/>
        </w:rPr>
        <w:t xml:space="preserve">04 - </w:t>
      </w:r>
      <w:r w:rsidDel="00000000" w:rsidR="00000000" w:rsidRPr="00000000">
        <w:rPr>
          <w:rtl w:val="0"/>
        </w:rPr>
        <w:t xml:space="preserve">Expected Returns and Risk Limits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400" w:hanging="210"/>
      </w:pPr>
      <w:r w:rsidDel="00000000" w:rsidR="00000000" w:rsidRPr="00000000">
        <w:rPr>
          <w:rtl w:val="0"/>
        </w:rPr>
        <w:t xml:space="preserve">Max capital requested: Forward test first: paper or dust ($10k–$25k) to measure realized fills vs. assumptions.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ind w:left="400" w:hanging="21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Max risk per trade: Fixed-fractional: 0.01% of equity to the 400 bps stop (≈ 0.25% notional). Realized median 0.39× nominal; worst gap-through 18.7× on one 6-year event.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ind w:left="400" w:hanging="21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Max loss (daily/weekly/period): Proposed governors: −2%/day review, −5%/week halt, −10% peak-to-trough full stop. Realized max DD −9.1%; bootstrap tail to −48% at larger sizing — governors scale with RISK_FRAC.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400" w:hanging="21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Exposure &amp; leverage: Long/short, direction-balanced. Per-asset ≤ 20× cap (non-binding at this risk); effective leverage far lower under fixed-risk sizing.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400" w:hanging="210"/>
      </w:pPr>
      <w:r w:rsidDel="00000000" w:rsidR="00000000" w:rsidRPr="00000000">
        <w:rPr>
          <w:rtl w:val="0"/>
        </w:rPr>
        <w:t xml:space="preserve">Liquidity &amp; correlation: $5M session-volume floor; majors-7 primary book (keeps cost assumption realistic and concentrates in less-correlated names — alt legs are highly cross-correlated, so effective breadth is below nominal count).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400" w:hanging="210"/>
      </w:pPr>
      <w:r w:rsidDel="00000000" w:rsidR="00000000" w:rsidRPr="00000000">
        <w:rPr>
          <w:rtl w:val="0"/>
        </w:rPr>
        <w:t xml:space="preserve">Tail risk: Extreme positive skew (edge in rare days) + fat-tailed adverse gaps between marks; the catastrophic stop bounds the latter but conservative fills still allow occasional multi-×-nominal losses.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s5syll8zlnsq" w:id="20"/>
      <w:bookmarkEnd w:id="20"/>
      <w:r w:rsidDel="00000000" w:rsidR="00000000" w:rsidRPr="00000000">
        <w:rPr>
          <w:rtl w:val="0"/>
        </w:rPr>
        <w:t xml:space="preserve">What Could Cause the Strategy to Fail?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Regime: sustained low-vol, range-bound markets 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Crowding/arbitrage of the public published edge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Costs above ~4–6 bps/side taker turn the thin gross edge negative for the broad book.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Execution: unfillable at assumed prices on illiquid alts; between-mark gap risk.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/>
      </w:pPr>
      <w:bookmarkStart w:colFirst="0" w:colLast="0" w:name="_488ko82bnq9e" w:id="21"/>
      <w:bookmarkEnd w:id="21"/>
      <w:r w:rsidDel="00000000" w:rsidR="00000000" w:rsidRPr="00000000">
        <w:rPr>
          <w:rtl w:val="0"/>
        </w:rPr>
        <w:t xml:space="preserve">05 - Execution Plan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400" w:hanging="210"/>
      </w:pPr>
      <w:r w:rsidDel="00000000" w:rsidR="00000000" w:rsidRPr="00000000">
        <w:rPr>
          <w:rtl w:val="0"/>
        </w:rPr>
        <w:t xml:space="preserve">Venues: Variational, Blofin, Evedex, Hibachi under evaluation. Fee schedule &amp; liquidity confirmed per venue before allocation.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400" w:hanging="210"/>
      </w:pPr>
      <w:r w:rsidDel="00000000" w:rsidR="00000000" w:rsidRPr="00000000">
        <w:rPr>
          <w:rtl w:val="0"/>
        </w:rPr>
        <w:t xml:space="preserve">Order type: Taker (marketable) at next-bar open; passive/maker execution is the designated next research step to attack the cost gap; not yet validated.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400" w:hanging="21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Execution timing: Signal on mark bar-close; fill next bar open (≤5 min); catastrophic stop continuous intrabar; forced flat 23:59 UTC.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400" w:hanging="210"/>
      </w:pPr>
      <w:r w:rsidDel="00000000" w:rsidR="00000000" w:rsidRPr="00000000">
        <w:rPr>
          <w:rtl w:val="0"/>
        </w:rPr>
        <w:t xml:space="preserve">Liquidity checks / slippage: Pre-trade $5M floor + majors primary book; assume 2 bps/side, stress +4; skip entries failing volume confirmation; prefer passive fills in live test.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400" w:hanging="210"/>
      </w:pPr>
      <w:r w:rsidDel="00000000" w:rsidR="00000000" w:rsidRPr="00000000">
        <w:rPr>
          <w:rtl w:val="0"/>
        </w:rPr>
        <w:t xml:space="preserve">Monitoring / override: Daily P&amp;L vs bootstrap bands; realized-risk-per-trade tracker; drawdown governors; regime dashboard. Kill-switch only (flatten + halt); no discretionary entries.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rPr/>
      </w:pPr>
      <w:bookmarkStart w:colFirst="0" w:colLast="0" w:name="_5548fwgenip7" w:id="22"/>
      <w:bookmarkEnd w:id="22"/>
      <w:r w:rsidDel="00000000" w:rsidR="00000000" w:rsidRPr="00000000">
        <w:rPr>
          <w:rtl w:val="0"/>
        </w:rPr>
        <w:t xml:space="preserve">06 - Portfolio Fit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400" w:hanging="210"/>
      </w:pPr>
      <w:r w:rsidDel="00000000" w:rsidR="00000000" w:rsidRPr="00000000">
        <w:rPr>
          <w:rtl w:val="0"/>
        </w:rPr>
        <w:t xml:space="preserve">Correlation / diversification: Intraday, market-neutral, flat overnight — structurally low correlation to directional/carry books; positive diversification in principle, conditional on the edge being real (currently unconfirmed).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400" w:hanging="210"/>
      </w:pPr>
      <w:r w:rsidDel="00000000" w:rsidR="00000000" w:rsidRPr="00000000">
        <w:rPr>
          <w:rtl w:val="0"/>
        </w:rPr>
        <w:t xml:space="preserve">Capital efficiency: High when active (fractional leverage, no overnight capital); low current utilisation given regime and small forward-test size.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400" w:hanging="210"/>
      </w:pPr>
      <w:r w:rsidDel="00000000" w:rsidR="00000000" w:rsidRPr="00000000">
        <w:rPr>
          <w:rtl w:val="0"/>
        </w:rPr>
        <w:t xml:space="preserve">Expected contribution: Not material at this stage; informational (forward-test signal) rather than P&amp;L until confirmed live.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400" w:hanging="210"/>
      </w:pPr>
      <w:r w:rsidDel="00000000" w:rsidR="00000000" w:rsidRPr="00000000">
        <w:rPr>
          <w:rtl w:val="0"/>
        </w:rPr>
        <w:t xml:space="preserve">Conflicts / overlaps: Shares intraday execution windows and venue/margin capacity with any existing intraday crypto book; check shared signals before concurrent running.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/>
      </w:pPr>
      <w:bookmarkStart w:colFirst="0" w:colLast="0" w:name="_m15jp9beo9xz" w:id="23"/>
      <w:bookmarkEnd w:id="23"/>
      <w:r w:rsidDel="00000000" w:rsidR="00000000" w:rsidRPr="00000000">
        <w:rPr>
          <w:rtl w:val="0"/>
        </w:rPr>
        <w:t xml:space="preserve">07 - Recommendation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Across four pre-registered variants and two venues, the strategy shows a real but small gross edge. The completed exit/sizing design produces a correctly risk-managed, deployable configuration (Sharpe +0.46, max DD −9.1% at 0.01% risk/trade) but does not change the edge — only its risk profile. Robustness puts the broad-book edge at coin-flip odds after deflation; majors-7 is strongest (deflated Sharpe 0.67) but still unconfirmed if not deployed on a forward test. </w:t>
      </w:r>
    </w:p>
    <w:p w:rsidR="00000000" w:rsidDel="00000000" w:rsidP="00000000" w:rsidRDefault="00000000" w:rsidRPr="00000000" w14:paraId="000000C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Recommended next step: a frozen, zero/dust-capital FORWARD test of the full machine (volume-confirmed + news-blackout walk-forward + 400bps catastrophic stop + fixed-risk sizing), majors-7 primary with ETH/BTC/SOL controls, at the venue’s ACTUAL fee tier, judged from the freeze date forward — the only uncontaminated test. In parallel, a pre-registered maker/passive-execution study (the sole untested lever on the cost gap).</w:t>
      </w:r>
    </w:p>
    <w:p w:rsidR="00000000" w:rsidDel="00000000" w:rsidP="00000000" w:rsidRDefault="00000000" w:rsidRPr="00000000" w14:paraId="000000C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Open items before allocation: (1) confirm actual per-venue taker fees; (2) run the forward test with pre-committed criteria; (3) measure realized correlation to the live portfolio; (4) finalise the deployment risk fraction.</w:t>
      </w:r>
    </w:p>
    <w:p w:rsidR="00000000" w:rsidDel="00000000" w:rsidP="00000000" w:rsidRDefault="00000000" w:rsidRPr="00000000" w14:paraId="000000C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riceline Querubin" w:id="0" w:date="2026-07-09T14:27:51Z"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 formulas in a nice image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00" w:hanging="210"/>
      </w:pPr>
      <w:rPr>
        <w:u w:val="none"/>
      </w:rPr>
    </w:lvl>
    <w:lvl w:ilvl="1">
      <w:start w:val="1"/>
      <w:numFmt w:val="bullet"/>
      <w:lvlText w:val="–"/>
      <w:lvlJc w:val="left"/>
      <w:pPr>
        <w:ind w:left="760" w:hanging="21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400" w:hanging="210"/>
      </w:pPr>
      <w:rPr>
        <w:u w:val="none"/>
      </w:rPr>
    </w:lvl>
    <w:lvl w:ilvl="1">
      <w:start w:val="1"/>
      <w:numFmt w:val="bullet"/>
      <w:lvlText w:val="–"/>
      <w:lvlJc w:val="left"/>
      <w:pPr>
        <w:ind w:left="760" w:hanging="21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•"/>
      <w:lvlJc w:val="left"/>
      <w:pPr>
        <w:ind w:left="400" w:hanging="210"/>
      </w:pPr>
      <w:rPr>
        <w:u w:val="none"/>
      </w:rPr>
    </w:lvl>
    <w:lvl w:ilvl="1">
      <w:start w:val="1"/>
      <w:numFmt w:val="bullet"/>
      <w:lvlText w:val="–"/>
      <w:lvlJc w:val="left"/>
      <w:pPr>
        <w:ind w:left="760" w:hanging="21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4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9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